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Times New Roman" w:hAnsi="Times New Roman"/>
          <w:b/>
          <w:sz w:val="32"/>
        </w:rPr>
        <w:t>Breaking the Extraction Bottleneck: A Single AI Agent Achieves Statistical Equivalence with Human-Extracted Meta-Analysis Data Across Five Agricultural Datasets</w:t>
      </w:r>
    </w:p>
    <w:p>
      <w:pPr>
        <w:spacing w:after="40"/>
        <w:jc w:val="center"/>
      </w:pPr>
      <w:r>
        <w:rPr>
          <w:rFonts w:ascii="Times New Roman" w:hAnsi="Times New Roman"/>
          <w:b/>
          <w:sz w:val="24"/>
        </w:rPr>
        <w:t>Moshe Halpern (ORCID: 0000-0003-2137-6835)</w:t>
      </w:r>
    </w:p>
    <w:p>
      <w:pPr>
        <w:spacing w:after="40"/>
        <w:jc w:val="center"/>
      </w:pPr>
      <w:r>
        <w:rPr>
          <w:rFonts w:ascii="Times New Roman" w:hAnsi="Times New Roman"/>
          <w:sz w:val="20"/>
        </w:rPr>
        <w:t>Institute of Soil, Water and Environmental Sciences, Agricultural Research Organization — Volcani Center, Israel</w:t>
      </w:r>
    </w:p>
    <w:p>
      <w:pPr>
        <w:spacing w:after="40"/>
        <w:jc w:val="center"/>
      </w:pPr>
      <w:r>
        <w:rPr>
          <w:rFonts w:ascii="Times New Roman" w:hAnsi="Times New Roman"/>
          <w:sz w:val="20"/>
        </w:rPr>
        <w:t>Correspondence: Moshe Halpern, Institute of Soil, Water and Environmental Sciences, Agricultural Research Organization — Volcani Center, Rishon LeZion 7505101, Israel.</w:t>
      </w:r>
    </w:p>
    <w:p>
      <w:pPr>
        <w:pStyle w:val="Heading1"/>
      </w:pPr>
      <w:r>
        <w:t>Abstract</w:t>
      </w:r>
    </w:p>
    <w:p>
      <w:r>
        <w:rPr>
          <w:rFonts w:ascii="Times New Roman" w:hAnsi="Times New Roman"/>
          <w:b/>
          <w:sz w:val="24"/>
        </w:rPr>
        <w:t>Background:</w:t>
      </w:r>
      <w:r>
        <w:rPr>
          <w:rFonts w:ascii="Times New Roman" w:hAnsi="Times New Roman"/>
          <w:sz w:val="24"/>
        </w:rPr>
        <w:t xml:space="preserve"> Data extraction is the primary bottleneck in meta-analysis, consuming weeks of researcher time with single-extractor error rates of 17.7%. Existing LLM-based systems achieve only 26–36% accuracy on continuous outcomes, and no study has validated AI-extracted continuous data against multiple independent datasets using formal equivalence testing.</w:t>
      </w:r>
    </w:p>
    <w:p>
      <w:r>
        <w:rPr>
          <w:rFonts w:ascii="Times New Roman" w:hAnsi="Times New Roman"/>
          <w:b/>
          <w:sz w:val="24"/>
        </w:rPr>
        <w:t>Methods:</w:t>
      </w:r>
      <w:r>
        <w:rPr>
          <w:rFonts w:ascii="Times New Roman" w:hAnsi="Times New Roman"/>
          <w:sz w:val="24"/>
        </w:rPr>
        <w:t xml:space="preserve"> A single AI agent (Claude Opus 4.6) extracted treatment means, control means, sample sizes, and variance measures from source PDFs across five published agricultural meta-analyses spanning zinc biofortification, biostimulant efficacy, biochar amendments, predator biocontrol, and elevated CO2 effects on plant mineral nutrition. Observations were matched to reference standards using an LLM-driven alignment method. Validation employed proportional TOST equivalence testing, ICC(3,1), Bland-Altman analysis, and source-type stratification.</w:t>
      </w:r>
    </w:p>
    <w:p>
      <w:r>
        <w:rPr>
          <w:rFonts w:ascii="Times New Roman" w:hAnsi="Times New Roman"/>
          <w:b/>
          <w:sz w:val="24"/>
        </w:rPr>
        <w:t>Results:</w:t>
      </w:r>
      <w:r>
        <w:rPr>
          <w:rFonts w:ascii="Times New Roman" w:hAnsi="Times New Roman"/>
          <w:sz w:val="24"/>
        </w:rPr>
        <w:t xml:space="preserve"> Across five datasets, the agent produced 1,149 matched observations from 136 papers. Pearson correlations ranged from 0.984 to 0.999. Proportional TOST confirmed statistical equivalence for all five datasets (all p &lt; 0.05). Table-sourced observations achieved 5.5x lower median error than figure-sourced observations. Aggregate effects were reproduced within 0.01–1.61 pp of published values. Independent duplicate runs confirmed extraction stability (within 0.09–0.23 pp).</w:t>
      </w:r>
    </w:p>
    <w:p>
      <w:r>
        <w:rPr>
          <w:rFonts w:ascii="Times New Roman" w:hAnsi="Times New Roman"/>
          <w:b/>
          <w:sz w:val="24"/>
        </w:rPr>
        <w:t>Conclusions:</w:t>
      </w:r>
      <w:r>
        <w:rPr>
          <w:rFonts w:ascii="Times New Roman" w:hAnsi="Times New Roman"/>
          <w:sz w:val="24"/>
        </w:rPr>
        <w:t xml:space="preserve"> A single AI agent achieves statistical equivalence with human-extracted meta-analysis data across five independent agricultural datasets. The approach reduces extraction cost by approximately three orders of magnitude while maintaining accuracy sufficient for aggregate meta-analytic pooling.</w:t>
      </w:r>
    </w:p>
    <w:p>
      <w:pPr>
        <w:pStyle w:val="Heading2"/>
      </w:pPr>
      <w:r>
        <w:t>Highlights</w:t>
      </w:r>
    </w:p>
    <w:p>
      <w:r>
        <w:rPr>
          <w:rFonts w:ascii="Times New Roman" w:hAnsi="Times New Roman"/>
          <w:b/>
          <w:sz w:val="24"/>
        </w:rPr>
        <w:t>What is already known:</w:t>
      </w:r>
    </w:p>
    <w:p>
      <w:pPr>
        <w:pStyle w:val="ListBullet"/>
      </w:pPr>
      <w:r>
        <w:rPr>
          <w:rFonts w:ascii="Times New Roman" w:hAnsi="Times New Roman"/>
          <w:sz w:val="24"/>
        </w:rPr>
        <w:t>Data extraction is the primary bottleneck in meta-analysis, with single-extractor error rates of 17.7%</w:t>
      </w:r>
    </w:p>
    <w:p>
      <w:pPr>
        <w:pStyle w:val="ListBullet"/>
      </w:pPr>
      <w:r>
        <w:rPr>
          <w:rFonts w:ascii="Times New Roman" w:hAnsi="Times New Roman"/>
          <w:sz w:val="24"/>
        </w:rPr>
        <w:t>Existing LLM-based extraction systems achieve only 26-36% accuracy on continuous outcomes</w:t>
      </w:r>
    </w:p>
    <w:p>
      <w:pPr>
        <w:pStyle w:val="ListBullet"/>
      </w:pPr>
      <w:r>
        <w:rPr>
          <w:rFonts w:ascii="Times New Roman" w:hAnsi="Times New Roman"/>
          <w:sz w:val="24"/>
        </w:rPr>
        <w:t>No study has validated AI extraction against multiple independent datasets using formal equivalence testing</w:t>
      </w:r>
    </w:p>
    <w:p>
      <w:r>
        <w:rPr>
          <w:rFonts w:ascii="Times New Roman" w:hAnsi="Times New Roman"/>
          <w:b/>
          <w:sz w:val="24"/>
        </w:rPr>
        <w:t>What is new:</w:t>
      </w:r>
    </w:p>
    <w:p>
      <w:pPr>
        <w:pStyle w:val="ListBullet"/>
      </w:pPr>
      <w:r>
        <w:rPr>
          <w:rFonts w:ascii="Times New Roman" w:hAnsi="Times New Roman"/>
          <w:sz w:val="24"/>
        </w:rPr>
        <w:t>A single AI agent achieves statistical equivalence with human-extracted data across five agricultural meta-analyses (1,149 observations, 136 papers)</w:t>
      </w:r>
    </w:p>
    <w:p>
      <w:pPr>
        <w:pStyle w:val="ListBullet"/>
      </w:pPr>
      <w:r>
        <w:rPr>
          <w:rFonts w:ascii="Times New Roman" w:hAnsi="Times New Roman"/>
          <w:sz w:val="24"/>
        </w:rPr>
        <w:t>LLM-driven alignment resolves the previously underappreciated bottleneck of moderator matching, improving correlations from 0.377-0.812 to 0.984-0.997 without changing extracted values</w:t>
      </w:r>
    </w:p>
    <w:p>
      <w:pPr>
        <w:pStyle w:val="ListBullet"/>
      </w:pPr>
      <w:r>
        <w:rPr>
          <w:rFonts w:ascii="Times New Roman" w:hAnsi="Times New Roman"/>
          <w:sz w:val="24"/>
        </w:rPr>
        <w:t>Table-sourced observations achieve 5.5x lower error than figure-sourced data</w:t>
      </w:r>
    </w:p>
    <w:p>
      <w:r>
        <w:rPr>
          <w:rFonts w:ascii="Times New Roman" w:hAnsi="Times New Roman"/>
          <w:b/>
          <w:sz w:val="24"/>
        </w:rPr>
        <w:t>Potential impact for RSM readers:</w:t>
      </w:r>
    </w:p>
    <w:p>
      <w:pPr>
        <w:pStyle w:val="ListBullet"/>
      </w:pPr>
      <w:r>
        <w:rPr>
          <w:rFonts w:ascii="Times New Roman" w:hAnsi="Times New Roman"/>
          <w:sz w:val="24"/>
        </w:rPr>
        <w:t>Provides a validated, reproducible workflow for AI-assisted data extraction in meta-analysis</w:t>
      </w:r>
    </w:p>
    <w:p>
      <w:pPr>
        <w:pStyle w:val="ListBullet"/>
      </w:pPr>
      <w:r>
        <w:rPr>
          <w:rFonts w:ascii="Times New Roman" w:hAnsi="Times New Roman"/>
          <w:sz w:val="24"/>
        </w:rPr>
        <w:t>Demonstrates that most apparent "extraction error" in validation studies is actually alignment error</w:t>
      </w:r>
    </w:p>
    <w:p>
      <w:pPr>
        <w:pStyle w:val="ListBullet"/>
      </w:pPr>
      <w:r>
        <w:rPr>
          <w:rFonts w:ascii="Times New Roman" w:hAnsi="Times New Roman"/>
          <w:sz w:val="24"/>
        </w:rPr>
        <w:t>Offers practical quality signals (source-type labeling) for downstream meta-analysts</w:t>
      </w:r>
    </w:p>
    <w:p>
      <w:pPr>
        <w:spacing w:before="120"/>
      </w:pPr>
      <w:r>
        <w:rPr>
          <w:rFonts w:ascii="Times New Roman" w:hAnsi="Times New Roman"/>
          <w:b/>
          <w:sz w:val="22"/>
        </w:rPr>
        <w:t>Keywords:</w:t>
      </w:r>
      <w:r>
        <w:rPr>
          <w:rFonts w:ascii="Times New Roman" w:hAnsi="Times New Roman"/>
          <w:sz w:val="22"/>
        </w:rPr>
        <w:t xml:space="preserve"> meta-analysis, data extraction, large language models, artificial intelligence, validation, equivalence testing</w:t>
      </w:r>
    </w:p>
    <w:p>
      <w:pPr>
        <w:pStyle w:val="Heading1"/>
      </w:pPr>
      <w:r>
        <w:t>1. Introduction</w:t>
      </w:r>
    </w:p>
    <w:p>
      <w:pPr>
        <w:pStyle w:val="Heading2"/>
      </w:pPr>
      <w:r>
        <w:t>1.1 The Extraction Bottleneck</w:t>
      </w:r>
    </w:p>
    <w:p>
      <w:r>
        <w:rPr>
          <w:rFonts w:ascii="Times New Roman" w:hAnsi="Times New Roman"/>
          <w:sz w:val="24"/>
        </w:rPr>
        <w:t>Meta-analysis is the cornerstone of evidence-based practice in agricultural science, yet the systematic review process remains both slow and fragile. The mean time to complete and publish a systematic review is 67.3 weeks (Borah et al., 2017), and 23% of reviews need updating within two years of publication (Shojania et al., 2007). The primary bottleneck is not statistical analysis but data extraction: trained researchers must manually identify, read, and record quantitative values from source publications.</w:t>
      </w:r>
    </w:p>
    <w:p>
      <w:r>
        <w:rPr>
          <w:rFonts w:ascii="Times New Roman" w:hAnsi="Times New Roman"/>
          <w:sz w:val="24"/>
        </w:rPr>
        <w:t>This bottleneck is expensive and error-prone. Manual extraction requires an estimated 2–8 hours per paper (Schmidt et al., 2025). Single-extractor error rates reach 17.7%, falling to 8.8% only under costly dual-extraction protocols (Buscemi et al., 2006) – underpinning the Cochrane Handbook's recommendation for dual independent extraction (Higgins et al., 2023). At the meta-analysis level, 66.8% of published meta-analyses contain at least one data extraction error (Mathes et al., 2017). For agricultural meta-analyses spanning hundreds of papers with complex factorial designs, the extraction burden can extend to months of researcher time.</w:t>
      </w:r>
    </w:p>
    <w:p>
      <w:pPr>
        <w:pStyle w:val="Heading2"/>
      </w:pPr>
      <w:r>
        <w:t>1.2 Challenges in Agricultural Data</w:t>
      </w:r>
    </w:p>
    <w:p>
      <w:r>
        <w:rPr>
          <w:rFonts w:ascii="Times New Roman" w:hAnsi="Times New Roman"/>
          <w:sz w:val="24"/>
        </w:rPr>
        <w:t>Agricultural experiments present distinct challenges for automated extraction. Lacking standardized reporting frameworks like CONSORT (Topp et al., 2023), plant science studies employ complex factorial designs (e.g., CO2 x cultivar x soil amendment x harvest date), producing multi-layered tables where only specific treatment combinations are relevant. Key experimental systems include free-air CO2 enrichment (FACE) facilities, open-top chambers (OTC), and controlled-environment growth chambers. Variance reporting is inconsistent: nearly 70% of ecological meta-analysis datasets include studies with missing standard deviations (Nakagawa et al., 2023). Effect sizes span orders of magnitude – from single-digit percentage changes in mineral concentrations to &gt;200% increases in zinc biofortification studies – complicating any uniform accuracy threshold.</w:t>
      </w:r>
    </w:p>
    <w:p>
      <w:pPr>
        <w:pStyle w:val="Heading2"/>
      </w:pPr>
      <w:r>
        <w:t>1.3 The State of LLM-Based Extraction</w:t>
      </w:r>
    </w:p>
    <w:p>
      <w:r>
        <w:rPr>
          <w:rFonts w:ascii="Times New Roman" w:hAnsi="Times New Roman"/>
          <w:sz w:val="24"/>
        </w:rPr>
        <w:t>Recent progress in large language models (LLMs) has opened new possibilities for automating data extraction, but results have been mixed. For categorical variables (study design, population characteristics), LLMs consistently achieve high accuracy: Gougherty and Clipp (2024) reported &gt;90% accuracy for ecological categorical data, and Helms Andersen et al. (2025) found F1 scores around 90% for Cochrane data extraction. However, performance drops substantially for continuous numerical outcomes. Jansen et al. (2025) evaluated GPT-4o for extracting means, standard deviations, and sample sizes from psychology reviews, reporting 26–36% accuracy. Kataoka et al. (2026) tested o3 for clinical data extraction, achieving 75.3% overall accuracy but concluding that numeric extraction was "still inadequate" for unsupervised use.</w:t>
      </w:r>
    </w:p>
    <w:p>
      <w:r>
        <w:rPr>
          <w:rFonts w:ascii="Times New Roman" w:hAnsi="Times New Roman"/>
          <w:sz w:val="24"/>
        </w:rPr>
        <w:t>Several systems have demonstrated stronger performance under specific conditions. Cao et al. (2025) developed OttoSR, achieving 93.1% accuracy on structured clinical data extraction across 7 Cochrane reviews. Gartlehner et al. (2025) found AI-assisted extraction achieved 91.0% accuracy versus 89.0% for human-only extraction, with a median time saving of 41 minutes per study. Poser et al. (2026) showed that three-model consensus reduced extraction errors to 1.48% for clinical reports. Khan et al. (2025) demonstrated that LLMs in a collaborative two-reviewer workflow outperformed individual LLMs. However, virtually all published validation studies operate on clinical or medical data – randomized controlled trials, Cochrane reviews, and CONSORT-formatted reports. The sole exception outside medicine is Gougherty and Clipp (2024) in ecology, which found LLMs poor at quantitative extraction (23.8% accuracy using GPT-3.5). The agricultural domain, with its complex factorial designs and non-standardized reporting, remains largely untested.</w:t>
      </w:r>
    </w:p>
    <w:p>
      <w:pPr>
        <w:pStyle w:val="Heading2"/>
      </w:pPr>
      <w:r>
        <w:t>1.4 Three Underappreciated Gaps</w:t>
      </w:r>
    </w:p>
    <w:p>
      <w:r>
        <w:rPr>
          <w:rFonts w:ascii="Times New Roman" w:hAnsi="Times New Roman"/>
          <w:sz w:val="24"/>
        </w:rPr>
        <w:t>Beyond the overall accuracy question, three critical gaps persist in the literature. First, no study has applied formal equivalence testing (e.g., TOST) to AI-extracted continuous data. Demonstrating low error is necessary but not sufficient; formal statistical equivalence is required to justify substituting AI for human extraction. Second, no study has validated across multiple independent ground-truth datasets. Single-dataset validation cannot distinguish genuine capability from dataset-specific overfitting. Third, no study has separated extraction error from alignment error – the distinction between reading wrong values from a PDF versus matching correct values to the wrong reference-standard row.</w:t>
      </w:r>
    </w:p>
    <w:p>
      <w:r>
        <w:rPr>
          <w:rFonts w:ascii="Times New Roman" w:hAnsi="Times New Roman"/>
          <w:sz w:val="24"/>
        </w:rPr>
        <w:t>A further challenge is epistemic circularity: if the same ground truth used during system development also serves as the validation benchmark, performance estimates may be inflated. Breaking this circularity requires true holdout datasets and independent replication runs that demonstrate extraction stability.</w:t>
      </w:r>
    </w:p>
    <w:p>
      <w:pPr>
        <w:pStyle w:val="Heading2"/>
      </w:pPr>
      <w:r>
        <w:t>1.5 Study Aims</w:t>
      </w:r>
    </w:p>
    <w:p>
      <w:r>
        <w:rPr>
          <w:rFonts w:ascii="Times New Roman" w:hAnsi="Times New Roman"/>
          <w:sz w:val="24"/>
        </w:rPr>
        <w:t>We present a validation study of a single AI agent extracting quantitative data from scientific PDFs across five published agricultural meta-analyses. We address four questions:</w:t>
      </w:r>
    </w:p>
    <w:p>
      <w:pPr>
        <w:pStyle w:val="ListNumber"/>
      </w:pPr>
      <w:r>
        <w:rPr>
          <w:rFonts w:ascii="Times New Roman" w:hAnsi="Times New Roman"/>
          <w:sz w:val="24"/>
        </w:rPr>
        <w:t>Does AI-extracted data achieve formal statistical equivalence with published reference standards?</w:t>
      </w:r>
    </w:p>
    <w:p>
      <w:pPr>
        <w:pStyle w:val="ListNumber"/>
      </w:pPr>
      <w:r>
        <w:rPr>
          <w:rFonts w:ascii="Times New Roman" w:hAnsi="Times New Roman"/>
          <w:sz w:val="24"/>
        </w:rPr>
        <w:t>Does this equivalence hold across diverse agricultural domains and effect-size scales?</w:t>
      </w:r>
    </w:p>
    <w:p>
      <w:pPr>
        <w:pStyle w:val="ListNumber"/>
      </w:pPr>
      <w:r>
        <w:rPr>
          <w:rFonts w:ascii="Times New Roman" w:hAnsi="Times New Roman"/>
          <w:sz w:val="24"/>
        </w:rPr>
        <w:t>How much apparent "extraction error" is actually alignment error?</w:t>
      </w:r>
    </w:p>
    <w:p>
      <w:pPr>
        <w:pStyle w:val="ListNumber"/>
      </w:pPr>
      <w:r>
        <w:rPr>
          <w:rFonts w:ascii="Times New Roman" w:hAnsi="Times New Roman"/>
          <w:sz w:val="24"/>
        </w:rPr>
        <w:t>Is extraction stable across independent runs?</w:t>
      </w:r>
    </w:p>
    <w:p>
      <w:r>
        <w:rPr>
          <w:rFonts w:ascii="Times New Roman" w:hAnsi="Times New Roman"/>
          <w:sz w:val="24"/>
        </w:rPr>
        <w:t>To our knowledge, this is the first study to (a) formally test equivalence of AI-extracted continuous data against published reference standards using proportional TOST, (b) validate across five independent datasets spanning diverse agricultural domains, (c) demonstrate extraction stability through independent duplicate runs, and (d) quantify the contribution of alignment error to apparent extraction error.</w:t>
      </w:r>
    </w:p>
    <w:p>
      <w:pPr>
        <w:pStyle w:val="Heading1"/>
      </w:pPr>
      <w:r>
        <w:t>2. Methods</w:t>
      </w:r>
    </w:p>
    <w:p>
      <w:pPr>
        <w:pStyle w:val="Heading2"/>
      </w:pPr>
      <w:r>
        <w:t>2.1 Agent Architecture</w:t>
      </w:r>
    </w:p>
    <w:p>
      <w:r>
        <w:rPr>
          <w:rFonts w:ascii="Times New Roman" w:hAnsi="Times New Roman"/>
          <w:sz w:val="24"/>
        </w:rPr>
        <w:t>A single AI agent (Claude Opus 4.6, Anthropic, running within the Claude Code CLI environment) read each source PDF directly and extracted observations. We use the term "agent" to denote an AI system that autonomously reads documents and produces structured output – specifically, a system that receives a PDF and a natural-language instruction, then outputs a structured JSON file with one object per observation.</w:t>
      </w:r>
    </w:p>
    <w:p>
      <w:r>
        <w:rPr>
          <w:rFonts w:ascii="Times New Roman" w:hAnsi="Times New Roman"/>
          <w:sz w:val="24"/>
        </w:rPr>
        <w:t>The agent operated within a 200K-token context window, sufficient to ingest most scientific papers in their entirety. For each paper, the agent received a brief natural-language instruction specifying the treatment, control, outcome variable, and desired output fields (full prompts in Appendix A). The agent produced structured JSON following a predefined schema specifying fields for paper metadata, experimental conditions, treatment and control means, sample size, variance measures, and moderator variables. No domain-specific prompt templates, few-shot examples, or vision extraction pipelines were used. The same agent model was used for all five datasets; only the natural-language instruction varied.</w:t>
      </w:r>
    </w:p>
    <w:p>
      <w:pPr>
        <w:pStyle w:val="Heading3"/>
      </w:pPr>
      <w:r>
        <w:t>2.1.1 Three-Interface Architecture</w:t>
      </w:r>
    </w:p>
    <w:p>
      <w:r>
        <w:rPr>
          <w:rFonts w:ascii="Times New Roman" w:hAnsi="Times New Roman"/>
          <w:sz w:val="24"/>
        </w:rPr>
        <w:t>The extraction system is deployed through three interfaces to accommodate different use cases:</w:t>
      </w:r>
    </w:p>
    <w:p>
      <w:r>
        <w:rPr>
          <w:rFonts w:ascii="Times New Roman" w:hAnsi="Times New Roman"/>
          <w:sz w:val="24"/>
        </w:rPr>
        <w:t>[TABLE 1: Three deployment modes of the extraction system.]</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F5496"/>
          </w:tcPr>
          <w:p>
            <w:pPr>
              <w:jc w:val="left"/>
            </w:pPr>
            <w:r>
              <w:rPr>
                <w:b/>
                <w:color w:val="FFFFFF"/>
              </w:rPr>
            </w:r>
            <w:r>
              <w:rPr>
                <w:rFonts w:ascii="Times New Roman" w:hAnsi="Times New Roman"/>
                <w:b/>
                <w:color w:val="FFFFFF"/>
                <w:sz w:val="18"/>
              </w:rPr>
              <w:t>Mode</w:t>
            </w:r>
          </w:p>
        </w:tc>
        <w:tc>
          <w:tcPr>
            <w:tcW w:type="dxa" w:w="2340"/>
            <w:shd w:fill="2F5496"/>
          </w:tcPr>
          <w:p>
            <w:pPr>
              <w:jc w:val="center"/>
            </w:pPr>
            <w:r>
              <w:rPr>
                <w:b/>
                <w:color w:val="FFFFFF"/>
              </w:rPr>
            </w:r>
            <w:r>
              <w:rPr>
                <w:rFonts w:ascii="Times New Roman" w:hAnsi="Times New Roman"/>
                <w:b/>
                <w:color w:val="FFFFFF"/>
                <w:sz w:val="18"/>
              </w:rPr>
              <w:t>Interface</w:t>
            </w:r>
          </w:p>
        </w:tc>
        <w:tc>
          <w:tcPr>
            <w:tcW w:type="dxa" w:w="2340"/>
            <w:shd w:fill="2F5496"/>
          </w:tcPr>
          <w:p>
            <w:pPr>
              <w:jc w:val="center"/>
            </w:pPr>
            <w:r>
              <w:rPr>
                <w:b/>
                <w:color w:val="FFFFFF"/>
              </w:rPr>
            </w:r>
            <w:r>
              <w:rPr>
                <w:rFonts w:ascii="Times New Roman" w:hAnsi="Times New Roman"/>
                <w:b/>
                <w:color w:val="FFFFFF"/>
                <w:sz w:val="18"/>
              </w:rPr>
              <w:t>Requirements</w:t>
            </w:r>
          </w:p>
        </w:tc>
        <w:tc>
          <w:tcPr>
            <w:tcW w:type="dxa" w:w="2340"/>
            <w:shd w:fill="2F5496"/>
          </w:tcPr>
          <w:p>
            <w:pPr>
              <w:jc w:val="center"/>
            </w:pPr>
            <w:r>
              <w:rPr>
                <w:b/>
                <w:color w:val="FFFFFF"/>
              </w:rPr>
            </w:r>
            <w:r>
              <w:rPr>
                <w:rFonts w:ascii="Times New Roman" w:hAnsi="Times New Roman"/>
                <w:b/>
                <w:color w:val="FFFFFF"/>
                <w:sz w:val="18"/>
              </w:rPr>
              <w:t>Use case</w:t>
            </w:r>
          </w:p>
        </w:tc>
      </w:tr>
      <w:tr>
        <w:tc>
          <w:tcPr>
            <w:tcW w:type="dxa" w:w="2340"/>
          </w:tcPr>
          <w:p>
            <w:pPr>
              <w:jc w:val="left"/>
            </w:pPr>
            <w:r/>
            <w:r>
              <w:rPr>
                <w:rFonts w:ascii="Times New Roman" w:hAnsi="Times New Roman"/>
                <w:b/>
                <w:sz w:val="18"/>
              </w:rPr>
              <w:t>Skill</w:t>
            </w:r>
          </w:p>
        </w:tc>
        <w:tc>
          <w:tcPr>
            <w:tcW w:type="dxa" w:w="2340"/>
          </w:tcPr>
          <w:p>
            <w:pPr>
              <w:jc w:val="left"/>
            </w:pPr>
            <w:r/>
            <w:r>
              <w:rPr>
                <w:rFonts w:ascii="Times New Roman" w:hAnsi="Times New Roman"/>
                <w:sz w:val="18"/>
              </w:rPr>
              <w:t>Claude Code slash command</w:t>
            </w:r>
          </w:p>
        </w:tc>
        <w:tc>
          <w:tcPr>
            <w:tcW w:type="dxa" w:w="2340"/>
          </w:tcPr>
          <w:p>
            <w:pPr>
              <w:jc w:val="left"/>
            </w:pPr>
            <w:r/>
            <w:r>
              <w:rPr>
                <w:rFonts w:ascii="Times New Roman" w:hAnsi="Times New Roman"/>
                <w:sz w:val="18"/>
              </w:rPr>
              <w:t>Claude Code CLI</w:t>
            </w:r>
          </w:p>
        </w:tc>
        <w:tc>
          <w:tcPr>
            <w:tcW w:type="dxa" w:w="2340"/>
          </w:tcPr>
          <w:p>
            <w:pPr>
              <w:jc w:val="left"/>
            </w:pPr>
            <w:r/>
            <w:r>
              <w:rPr>
                <w:rFonts w:ascii="Times New Roman" w:hAnsi="Times New Roman"/>
                <w:sz w:val="18"/>
              </w:rPr>
              <w:t>Interactive single-paper extraction</w:t>
            </w:r>
          </w:p>
        </w:tc>
      </w:tr>
      <w:tr>
        <w:tc>
          <w:tcPr>
            <w:tcW w:type="dxa" w:w="2340"/>
            <w:shd w:fill="D6E4F0"/>
          </w:tcPr>
          <w:p>
            <w:pPr>
              <w:jc w:val="left"/>
            </w:pPr>
            <w:r/>
            <w:r>
              <w:rPr>
                <w:rFonts w:ascii="Times New Roman" w:hAnsi="Times New Roman"/>
                <w:b/>
                <w:sz w:val="18"/>
              </w:rPr>
              <w:t>MCP Server</w:t>
            </w:r>
          </w:p>
        </w:tc>
        <w:tc>
          <w:tcPr>
            <w:tcW w:type="dxa" w:w="2340"/>
            <w:shd w:fill="D6E4F0"/>
          </w:tcPr>
          <w:p>
            <w:pPr>
              <w:jc w:val="left"/>
            </w:pPr>
            <w:r/>
            <w:r>
              <w:rPr>
                <w:rFonts w:ascii="Times New Roman" w:hAnsi="Times New Roman"/>
                <w:sz w:val="18"/>
              </w:rPr>
              <w:t>7 tools via Model Context Protocol</w:t>
            </w:r>
          </w:p>
        </w:tc>
        <w:tc>
          <w:tcPr>
            <w:tcW w:type="dxa" w:w="2340"/>
            <w:shd w:fill="D6E4F0"/>
          </w:tcPr>
          <w:p>
            <w:pPr>
              <w:jc w:val="left"/>
            </w:pPr>
            <w:r/>
            <w:r>
              <w:rPr>
                <w:rFonts w:ascii="Times New Roman" w:hAnsi="Times New Roman"/>
                <w:sz w:val="18"/>
              </w:rPr>
              <w:t>Claude Desktop + API key</w:t>
            </w:r>
          </w:p>
        </w:tc>
        <w:tc>
          <w:tcPr>
            <w:tcW w:type="dxa" w:w="2340"/>
            <w:shd w:fill="D6E4F0"/>
          </w:tcPr>
          <w:p>
            <w:pPr>
              <w:jc w:val="left"/>
            </w:pPr>
            <w:r/>
            <w:r>
              <w:rPr>
                <w:rFonts w:ascii="Times New Roman" w:hAnsi="Times New Roman"/>
                <w:sz w:val="18"/>
              </w:rPr>
              <w:t>GUI-based extraction workflow</w:t>
            </w:r>
          </w:p>
        </w:tc>
      </w:tr>
      <w:tr>
        <w:tc>
          <w:tcPr>
            <w:tcW w:type="dxa" w:w="2340"/>
          </w:tcPr>
          <w:p>
            <w:pPr>
              <w:jc w:val="left"/>
            </w:pPr>
            <w:r/>
            <w:r>
              <w:rPr>
                <w:rFonts w:ascii="Times New Roman" w:hAnsi="Times New Roman"/>
                <w:b/>
                <w:sz w:val="18"/>
              </w:rPr>
              <w:t>Standalone CLI</w:t>
            </w:r>
          </w:p>
        </w:tc>
        <w:tc>
          <w:tcPr>
            <w:tcW w:type="dxa" w:w="2340"/>
          </w:tcPr>
          <w:p>
            <w:pPr>
              <w:jc w:val="left"/>
            </w:pPr>
            <w:r/>
            <w:r>
              <w:rPr>
                <w:rFonts w:ascii="Times New Roman" w:hAnsi="Times New Roman"/>
                <w:sz w:val="18"/>
              </w:rPr>
              <w:t>Command-line script</w:t>
            </w:r>
          </w:p>
        </w:tc>
        <w:tc>
          <w:tcPr>
            <w:tcW w:type="dxa" w:w="2340"/>
          </w:tcPr>
          <w:p>
            <w:pPr>
              <w:jc w:val="left"/>
            </w:pPr>
            <w:r/>
            <w:r>
              <w:rPr>
                <w:rFonts w:ascii="Times New Roman" w:hAnsi="Times New Roman"/>
                <w:sz w:val="18"/>
              </w:rPr>
              <w:t>API key only</w:t>
            </w:r>
          </w:p>
        </w:tc>
        <w:tc>
          <w:tcPr>
            <w:tcW w:type="dxa" w:w="2340"/>
          </w:tcPr>
          <w:p>
            <w:pPr>
              <w:jc w:val="left"/>
            </w:pPr>
            <w:r/>
            <w:r>
              <w:rPr>
                <w:rFonts w:ascii="Times New Roman" w:hAnsi="Times New Roman"/>
                <w:sz w:val="18"/>
              </w:rPr>
              <w:t>Batch processing, automation</w:t>
            </w:r>
          </w:p>
        </w:tc>
      </w:tr>
    </w:tbl>
    <w:p>
      <w:pPr>
        <w:spacing w:before="120" w:after="120"/>
      </w:pPr>
    </w:p>
    <w:p>
      <w:r>
        <w:rPr>
          <w:rFonts w:ascii="Times New Roman" w:hAnsi="Times New Roman"/>
          <w:sz w:val="24"/>
        </w:rPr>
        <w:t>All modes share the same core extraction pipeline. The MCP (Model Context Protocol) server exposes extraction, validation, and export as individual tools callable from Claude Desktop or any MCP-compatible client. This architecture allows researchers to interact with the system through whichever interface matches their technical comfort and workflow requirements.</w:t>
      </w:r>
    </w:p>
    <w:p>
      <w:pPr>
        <w:pStyle w:val="Heading3"/>
      </w:pPr>
      <w:r>
        <w:t>2.1.2 Source Type Labeling</w:t>
      </w:r>
    </w:p>
    <w:p>
      <w:r>
        <w:rPr>
          <w:rFonts w:ascii="Times New Roman" w:hAnsi="Times New Roman"/>
          <w:sz w:val="24"/>
        </w:rPr>
        <w:t xml:space="preserve">Every extracted observation was labeled with its data source type: </w:t>
      </w:r>
      <w:r>
        <w:rPr>
          <w:rFonts w:ascii="Times New Roman" w:hAnsi="Times New Roman"/>
          <w:b/>
          <w:sz w:val="24"/>
        </w:rPr>
        <w:t>table</w:t>
      </w:r>
      <w:r>
        <w:rPr>
          <w:rFonts w:ascii="Times New Roman" w:hAnsi="Times New Roman"/>
          <w:sz w:val="24"/>
        </w:rPr>
        <w:t xml:space="preserve"> (numeric data read from structured tables), </w:t>
      </w:r>
      <w:r>
        <w:rPr>
          <w:rFonts w:ascii="Times New Roman" w:hAnsi="Times New Roman"/>
          <w:b/>
          <w:sz w:val="24"/>
        </w:rPr>
        <w:t>figure</w:t>
      </w:r>
      <w:r>
        <w:rPr>
          <w:rFonts w:ascii="Times New Roman" w:hAnsi="Times New Roman"/>
          <w:sz w:val="24"/>
        </w:rPr>
        <w:t xml:space="preserve"> (values estimated from bar charts, scatter plots, or other graphical displays), or </w:t>
      </w:r>
      <w:r>
        <w:rPr>
          <w:rFonts w:ascii="Times New Roman" w:hAnsi="Times New Roman"/>
          <w:b/>
          <w:sz w:val="24"/>
        </w:rPr>
        <w:t>text</w:t>
      </w:r>
      <w:r>
        <w:rPr>
          <w:rFonts w:ascii="Times New Roman" w:hAnsi="Times New Roman"/>
          <w:sz w:val="24"/>
        </w:rPr>
        <w:t xml:space="preserve"> (numbers cited in running prose). This labeling provides transparent quality flags, since extraction accuracy differs substantially by source type (Section 3.4).</w:t>
      </w:r>
    </w:p>
    <w:p>
      <w:pPr>
        <w:pStyle w:val="Heading3"/>
      </w:pPr>
      <w:r>
        <w:t>2.1.3 Extraction Workflow</w:t>
      </w:r>
    </w:p>
    <w:p>
      <w:r>
        <w:rPr>
          <w:rFonts w:ascii="Times New Roman" w:hAnsi="Times New Roman"/>
          <w:sz w:val="24"/>
        </w:rPr>
        <w:t>For all five datasets, a three-pass extraction workflow was employed: (1) initial extraction from the full PDF, (2) text cross-check comparing extracted values against original PDF text to flag potential errors, and (3) targeted re-extraction of flagged observations. For the Loladze 2014 dataset, additional extraction passes were used to maximize observation coverage across the 23-element, multi-factorial design.</w:t>
      </w:r>
    </w:p>
    <w:p>
      <w:pPr>
        <w:pStyle w:val="Heading3"/>
      </w:pPr>
      <w:r>
        <w:t>2.1.4 Computational Requirements</w:t>
      </w:r>
    </w:p>
    <w:p>
      <w:r>
        <w:rPr>
          <w:rFonts w:ascii="Times New Roman" w:hAnsi="Times New Roman"/>
          <w:sz w:val="24"/>
        </w:rPr>
        <w:t>Single-paper extraction required approximately 2–5 minutes of processing time and cost approximately $0.08–0.15 per paper using the Claude API. The complete extraction of all five datasets (~179 papers) required approximately 6–8 hours of unattended processing time at a total API cost of approximately $15–25. By comparison, manual extraction of 179 papers at an estimated 2–8 hours per paper (Schmidt et al., 2025) would require roughly 360–1,430 hours of trained researcher time – a reduction of approximately two orders of magnitude in labor. These estimates exclude the time for prompt development and validation, which was a one-time fixed cost amortized across all datasets.</w:t>
      </w:r>
    </w:p>
    <w:p>
      <w:pPr>
        <w:pStyle w:val="Heading2"/>
      </w:pPr>
      <w:r>
        <w:t>2.2 Validation Datasets</w:t>
      </w:r>
    </w:p>
    <w:p>
      <w:r>
        <w:rPr>
          <w:rFonts w:ascii="Times New Roman" w:hAnsi="Times New Roman"/>
          <w:sz w:val="24"/>
        </w:rPr>
        <w:t>Five published meta-analyses served as reference standards for validation. No agent parameters were tuned against any reference standard. All five datasets were processed independently, with the agent receiving only the dataset-specific instruction (treatment definition, control definition, outcome variable).</w:t>
      </w:r>
    </w:p>
    <w:p>
      <w:r>
        <w:rPr>
          <w:rFonts w:ascii="Times New Roman" w:hAnsi="Times New Roman"/>
          <w:sz w:val="24"/>
        </w:rPr>
        <w:t>[TABLE 2: Validation dataset characteristics.]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2F5496"/>
          </w:tcPr>
          <w:p>
            <w:pPr>
              <w:jc w:val="left"/>
            </w:pPr>
            <w:r>
              <w:rPr>
                <w:b/>
                <w:color w:val="FFFFFF"/>
              </w:rPr>
            </w:r>
            <w:r>
              <w:rPr>
                <w:rFonts w:ascii="Times New Roman" w:hAnsi="Times New Roman"/>
                <w:b/>
                <w:color w:val="FFFFFF"/>
                <w:sz w:val="18"/>
              </w:rPr>
              <w:t>Dataset</w:t>
            </w:r>
          </w:p>
        </w:tc>
        <w:tc>
          <w:tcPr>
            <w:tcW w:type="dxa" w:w="1337"/>
            <w:shd w:fill="2F5496"/>
          </w:tcPr>
          <w:p>
            <w:pPr>
              <w:jc w:val="center"/>
            </w:pPr>
            <w:r>
              <w:rPr>
                <w:b/>
                <w:color w:val="FFFFFF"/>
              </w:rPr>
            </w:r>
            <w:r>
              <w:rPr>
                <w:rFonts w:ascii="Times New Roman" w:hAnsi="Times New Roman"/>
                <w:b/>
                <w:color w:val="FFFFFF"/>
                <w:sz w:val="18"/>
              </w:rPr>
              <w:t>Domain</w:t>
            </w:r>
          </w:p>
        </w:tc>
        <w:tc>
          <w:tcPr>
            <w:tcW w:type="dxa" w:w="1337"/>
            <w:shd w:fill="2F5496"/>
          </w:tcPr>
          <w:p>
            <w:pPr>
              <w:jc w:val="center"/>
            </w:pPr>
            <w:r>
              <w:rPr>
                <w:b/>
                <w:color w:val="FFFFFF"/>
              </w:rPr>
            </w:r>
            <w:r>
              <w:rPr>
                <w:rFonts w:ascii="Times New Roman" w:hAnsi="Times New Roman"/>
                <w:b/>
                <w:color w:val="FFFFFF"/>
                <w:sz w:val="18"/>
              </w:rPr>
              <w:t>Papers processed</w:t>
            </w:r>
          </w:p>
        </w:tc>
        <w:tc>
          <w:tcPr>
            <w:tcW w:type="dxa" w:w="1337"/>
            <w:shd w:fill="2F5496"/>
          </w:tcPr>
          <w:p>
            <w:pPr>
              <w:jc w:val="center"/>
            </w:pPr>
            <w:r>
              <w:rPr>
                <w:b/>
                <w:color w:val="FFFFFF"/>
              </w:rPr>
            </w:r>
            <w:r>
              <w:rPr>
                <w:rFonts w:ascii="Times New Roman" w:hAnsi="Times New Roman"/>
                <w:b/>
                <w:color w:val="FFFFFF"/>
                <w:sz w:val="18"/>
              </w:rPr>
              <w:t>Papers matched</w:t>
            </w:r>
          </w:p>
        </w:tc>
        <w:tc>
          <w:tcPr>
            <w:tcW w:type="dxa" w:w="1337"/>
            <w:shd w:fill="2F5496"/>
          </w:tcPr>
          <w:p>
            <w:pPr>
              <w:jc w:val="center"/>
            </w:pPr>
            <w:r>
              <w:rPr>
                <w:b/>
                <w:color w:val="FFFFFF"/>
              </w:rPr>
            </w:r>
            <w:r>
              <w:rPr>
                <w:rFonts w:ascii="Times New Roman" w:hAnsi="Times New Roman"/>
                <w:b/>
                <w:color w:val="FFFFFF"/>
                <w:sz w:val="18"/>
              </w:rPr>
              <w:t>Obs matched</w:t>
            </w:r>
          </w:p>
        </w:tc>
        <w:tc>
          <w:tcPr>
            <w:tcW w:type="dxa" w:w="1337"/>
            <w:shd w:fill="2F5496"/>
          </w:tcPr>
          <w:p>
            <w:pPr>
              <w:jc w:val="center"/>
            </w:pPr>
            <w:r>
              <w:rPr>
                <w:b/>
                <w:color w:val="FFFFFF"/>
              </w:rPr>
            </w:r>
            <w:r>
              <w:rPr>
                <w:rFonts w:ascii="Times New Roman" w:hAnsi="Times New Roman"/>
                <w:b/>
                <w:color w:val="FFFFFF"/>
                <w:sz w:val="18"/>
              </w:rPr>
              <w:t>Mean effect (%)</w:t>
            </w:r>
          </w:p>
        </w:tc>
        <w:tc>
          <w:tcPr>
            <w:tcW w:type="dxa" w:w="1337"/>
            <w:shd w:fill="2F5496"/>
          </w:tcPr>
          <w:p>
            <w:pPr>
              <w:jc w:val="center"/>
            </w:pPr>
            <w:r>
              <w:rPr>
                <w:b/>
                <w:color w:val="FFFFFF"/>
              </w:rPr>
            </w:r>
            <w:r>
              <w:rPr>
                <w:rFonts w:ascii="Times New Roman" w:hAnsi="Times New Roman"/>
                <w:b/>
                <w:color w:val="FFFFFF"/>
                <w:sz w:val="18"/>
              </w:rPr>
              <w:t>Effect range</w:t>
            </w:r>
          </w:p>
        </w:tc>
      </w:tr>
      <w:tr>
        <w:tc>
          <w:tcPr>
            <w:tcW w:type="dxa" w:w="1337"/>
          </w:tcPr>
          <w:p>
            <w:pPr>
              <w:jc w:val="left"/>
            </w:pPr>
            <w:r/>
            <w:r>
              <w:rPr>
                <w:rFonts w:ascii="Times New Roman" w:hAnsi="Times New Roman"/>
                <w:sz w:val="18"/>
              </w:rPr>
              <w:t>Hui 2025</w:t>
            </w:r>
          </w:p>
        </w:tc>
        <w:tc>
          <w:tcPr>
            <w:tcW w:type="dxa" w:w="1337"/>
          </w:tcPr>
          <w:p>
            <w:pPr>
              <w:jc w:val="left"/>
            </w:pPr>
            <w:r/>
            <w:r>
              <w:rPr>
                <w:rFonts w:ascii="Times New Roman" w:hAnsi="Times New Roman"/>
                <w:sz w:val="18"/>
              </w:rPr>
              <w:t>Zn biofortification / wheat</w:t>
            </w:r>
          </w:p>
        </w:tc>
        <w:tc>
          <w:tcPr>
            <w:tcW w:type="dxa" w:w="1337"/>
          </w:tcPr>
          <w:p>
            <w:pPr>
              <w:jc w:val="left"/>
            </w:pPr>
            <w:r/>
            <w:r>
              <w:rPr>
                <w:rFonts w:ascii="Times New Roman" w:hAnsi="Times New Roman"/>
                <w:sz w:val="18"/>
              </w:rPr>
              <w:t>37</w:t>
            </w:r>
          </w:p>
        </w:tc>
        <w:tc>
          <w:tcPr>
            <w:tcW w:type="dxa" w:w="1337"/>
          </w:tcPr>
          <w:p>
            <w:pPr>
              <w:jc w:val="left"/>
            </w:pPr>
            <w:r/>
            <w:r>
              <w:rPr>
                <w:rFonts w:ascii="Times New Roman" w:hAnsi="Times New Roman"/>
                <w:sz w:val="18"/>
              </w:rPr>
              <w:t>17</w:t>
            </w:r>
          </w:p>
        </w:tc>
        <w:tc>
          <w:tcPr>
            <w:tcW w:type="dxa" w:w="1337"/>
          </w:tcPr>
          <w:p>
            <w:pPr>
              <w:jc w:val="left"/>
            </w:pPr>
            <w:r/>
            <w:r>
              <w:rPr>
                <w:rFonts w:ascii="Times New Roman" w:hAnsi="Times New Roman"/>
                <w:sz w:val="18"/>
              </w:rPr>
              <w:t>319</w:t>
            </w:r>
          </w:p>
        </w:tc>
        <w:tc>
          <w:tcPr>
            <w:tcW w:type="dxa" w:w="1337"/>
          </w:tcPr>
          <w:p>
            <w:pPr>
              <w:jc w:val="left"/>
            </w:pPr>
            <w:r/>
            <w:r>
              <w:rPr>
                <w:rFonts w:ascii="Times New Roman" w:hAnsi="Times New Roman"/>
                <w:sz w:val="18"/>
              </w:rPr>
              <w:t>~50</w:t>
            </w:r>
          </w:p>
        </w:tc>
        <w:tc>
          <w:tcPr>
            <w:tcW w:type="dxa" w:w="1337"/>
          </w:tcPr>
          <w:p>
            <w:pPr>
              <w:jc w:val="left"/>
            </w:pPr>
            <w:r/>
            <w:r>
              <w:rPr>
                <w:rFonts w:ascii="Times New Roman" w:hAnsi="Times New Roman"/>
                <w:sz w:val="18"/>
              </w:rPr>
              <w:t>0–250+</w:t>
            </w:r>
          </w:p>
        </w:tc>
      </w:tr>
      <w:tr>
        <w:tc>
          <w:tcPr>
            <w:tcW w:type="dxa" w:w="1337"/>
            <w:shd w:fill="D6E4F0"/>
          </w:tcPr>
          <w:p>
            <w:pPr>
              <w:jc w:val="left"/>
            </w:pPr>
            <w:r/>
            <w:r>
              <w:rPr>
                <w:rFonts w:ascii="Times New Roman" w:hAnsi="Times New Roman"/>
                <w:sz w:val="18"/>
              </w:rPr>
              <w:t>Li 2022</w:t>
            </w:r>
          </w:p>
        </w:tc>
        <w:tc>
          <w:tcPr>
            <w:tcW w:type="dxa" w:w="1337"/>
            <w:shd w:fill="D6E4F0"/>
          </w:tcPr>
          <w:p>
            <w:pPr>
              <w:jc w:val="left"/>
            </w:pPr>
            <w:r/>
            <w:r>
              <w:rPr>
                <w:rFonts w:ascii="Times New Roman" w:hAnsi="Times New Roman"/>
                <w:sz w:val="18"/>
              </w:rPr>
              <w:t>Biostimulant / crop yield</w:t>
            </w:r>
          </w:p>
        </w:tc>
        <w:tc>
          <w:tcPr>
            <w:tcW w:type="dxa" w:w="1337"/>
            <w:shd w:fill="D6E4F0"/>
          </w:tcPr>
          <w:p>
            <w:pPr>
              <w:jc w:val="left"/>
            </w:pPr>
            <w:r/>
            <w:r>
              <w:rPr>
                <w:rFonts w:ascii="Times New Roman" w:hAnsi="Times New Roman"/>
                <w:sz w:val="18"/>
              </w:rPr>
              <w:t>50</w:t>
            </w:r>
          </w:p>
        </w:tc>
        <w:tc>
          <w:tcPr>
            <w:tcW w:type="dxa" w:w="1337"/>
            <w:shd w:fill="D6E4F0"/>
          </w:tcPr>
          <w:p>
            <w:pPr>
              <w:jc w:val="left"/>
            </w:pPr>
            <w:r/>
            <w:r>
              <w:rPr>
                <w:rFonts w:ascii="Times New Roman" w:hAnsi="Times New Roman"/>
                <w:sz w:val="18"/>
              </w:rPr>
              <w:t>31</w:t>
            </w:r>
          </w:p>
        </w:tc>
        <w:tc>
          <w:tcPr>
            <w:tcW w:type="dxa" w:w="1337"/>
            <w:shd w:fill="D6E4F0"/>
          </w:tcPr>
          <w:p>
            <w:pPr>
              <w:jc w:val="left"/>
            </w:pPr>
            <w:r/>
            <w:r>
              <w:rPr>
                <w:rFonts w:ascii="Times New Roman" w:hAnsi="Times New Roman"/>
                <w:sz w:val="18"/>
              </w:rPr>
              <w:t>117</w:t>
            </w:r>
          </w:p>
        </w:tc>
        <w:tc>
          <w:tcPr>
            <w:tcW w:type="dxa" w:w="1337"/>
            <w:shd w:fill="D6E4F0"/>
          </w:tcPr>
          <w:p>
            <w:pPr>
              <w:jc w:val="left"/>
            </w:pPr>
            <w:r/>
            <w:r>
              <w:rPr>
                <w:rFonts w:ascii="Times New Roman" w:hAnsi="Times New Roman"/>
                <w:sz w:val="18"/>
              </w:rPr>
              <w:t>~17</w:t>
            </w:r>
          </w:p>
        </w:tc>
        <w:tc>
          <w:tcPr>
            <w:tcW w:type="dxa" w:w="1337"/>
            <w:shd w:fill="D6E4F0"/>
          </w:tcPr>
          <w:p>
            <w:pPr>
              <w:jc w:val="left"/>
            </w:pPr>
            <w:r/>
            <w:r>
              <w:rPr>
                <w:rFonts w:ascii="Times New Roman" w:hAnsi="Times New Roman"/>
                <w:sz w:val="18"/>
              </w:rPr>
              <w:t>-20 to 80</w:t>
            </w:r>
          </w:p>
        </w:tc>
      </w:tr>
      <w:tr>
        <w:tc>
          <w:tcPr>
            <w:tcW w:type="dxa" w:w="1337"/>
          </w:tcPr>
          <w:p>
            <w:pPr>
              <w:jc w:val="left"/>
            </w:pPr>
            <w:r/>
            <w:r>
              <w:rPr>
                <w:rFonts w:ascii="Times New Roman" w:hAnsi="Times New Roman"/>
                <w:sz w:val="18"/>
              </w:rPr>
              <w:t>Li 2024 (biochar)</w:t>
            </w:r>
          </w:p>
        </w:tc>
        <w:tc>
          <w:tcPr>
            <w:tcW w:type="dxa" w:w="1337"/>
          </w:tcPr>
          <w:p>
            <w:pPr>
              <w:jc w:val="left"/>
            </w:pPr>
            <w:r/>
            <w:r>
              <w:rPr>
                <w:rFonts w:ascii="Times New Roman" w:hAnsi="Times New Roman"/>
                <w:sz w:val="18"/>
              </w:rPr>
              <w:t>Biochar / crop yield</w:t>
            </w:r>
          </w:p>
        </w:tc>
        <w:tc>
          <w:tcPr>
            <w:tcW w:type="dxa" w:w="1337"/>
          </w:tcPr>
          <w:p>
            <w:pPr>
              <w:jc w:val="left"/>
            </w:pPr>
            <w:r/>
            <w:r>
              <w:rPr>
                <w:rFonts w:ascii="Times New Roman" w:hAnsi="Times New Roman"/>
                <w:sz w:val="18"/>
              </w:rPr>
              <w:t>28</w:t>
            </w:r>
          </w:p>
        </w:tc>
        <w:tc>
          <w:tcPr>
            <w:tcW w:type="dxa" w:w="1337"/>
          </w:tcPr>
          <w:p>
            <w:pPr>
              <w:jc w:val="left"/>
            </w:pPr>
            <w:r/>
            <w:r>
              <w:rPr>
                <w:rFonts w:ascii="Times New Roman" w:hAnsi="Times New Roman"/>
                <w:sz w:val="18"/>
              </w:rPr>
              <w:t>26</w:t>
            </w:r>
          </w:p>
        </w:tc>
        <w:tc>
          <w:tcPr>
            <w:tcW w:type="dxa" w:w="1337"/>
          </w:tcPr>
          <w:p>
            <w:pPr>
              <w:jc w:val="left"/>
            </w:pPr>
            <w:r/>
            <w:r>
              <w:rPr>
                <w:rFonts w:ascii="Times New Roman" w:hAnsi="Times New Roman"/>
                <w:sz w:val="18"/>
              </w:rPr>
              <w:t>254</w:t>
            </w:r>
          </w:p>
        </w:tc>
        <w:tc>
          <w:tcPr>
            <w:tcW w:type="dxa" w:w="1337"/>
          </w:tcPr>
          <w:p>
            <w:pPr>
              <w:jc w:val="left"/>
            </w:pPr>
            <w:r/>
            <w:r>
              <w:rPr>
                <w:rFonts w:ascii="Times New Roman" w:hAnsi="Times New Roman"/>
                <w:sz w:val="18"/>
              </w:rPr>
              <w:t>~12</w:t>
            </w:r>
          </w:p>
        </w:tc>
        <w:tc>
          <w:tcPr>
            <w:tcW w:type="dxa" w:w="1337"/>
          </w:tcPr>
          <w:p>
            <w:pPr>
              <w:jc w:val="left"/>
            </w:pPr>
            <w:r/>
            <w:r>
              <w:rPr>
                <w:rFonts w:ascii="Times New Roman" w:hAnsi="Times New Roman"/>
                <w:sz w:val="18"/>
              </w:rPr>
              <w:t>-30 to 100+</w:t>
            </w:r>
          </w:p>
        </w:tc>
      </w:tr>
      <w:tr>
        <w:tc>
          <w:tcPr>
            <w:tcW w:type="dxa" w:w="1337"/>
            <w:shd w:fill="D6E4F0"/>
          </w:tcPr>
          <w:p>
            <w:pPr>
              <w:jc w:val="left"/>
            </w:pPr>
            <w:r/>
            <w:r>
              <w:rPr>
                <w:rFonts w:ascii="Times New Roman" w:hAnsi="Times New Roman"/>
                <w:sz w:val="18"/>
              </w:rPr>
              <w:t>Boldorini 2024</w:t>
            </w:r>
          </w:p>
        </w:tc>
        <w:tc>
          <w:tcPr>
            <w:tcW w:type="dxa" w:w="1337"/>
            <w:shd w:fill="D6E4F0"/>
          </w:tcPr>
          <w:p>
            <w:pPr>
              <w:jc w:val="left"/>
            </w:pPr>
            <w:r/>
            <w:r>
              <w:rPr>
                <w:rFonts w:ascii="Times New Roman" w:hAnsi="Times New Roman"/>
                <w:sz w:val="18"/>
              </w:rPr>
              <w:t>Predator biocontrol / yield</w:t>
            </w:r>
          </w:p>
        </w:tc>
        <w:tc>
          <w:tcPr>
            <w:tcW w:type="dxa" w:w="1337"/>
            <w:shd w:fill="D6E4F0"/>
          </w:tcPr>
          <w:p>
            <w:pPr>
              <w:jc w:val="left"/>
            </w:pPr>
            <w:r/>
            <w:r>
              <w:rPr>
                <w:rFonts w:ascii="Times New Roman" w:hAnsi="Times New Roman"/>
                <w:sz w:val="18"/>
              </w:rPr>
              <w:t>18</w:t>
            </w:r>
          </w:p>
        </w:tc>
        <w:tc>
          <w:tcPr>
            <w:tcW w:type="dxa" w:w="1337"/>
            <w:shd w:fill="D6E4F0"/>
          </w:tcPr>
          <w:p>
            <w:pPr>
              <w:jc w:val="left"/>
            </w:pPr>
            <w:r/>
            <w:r>
              <w:rPr>
                <w:rFonts w:ascii="Times New Roman" w:hAnsi="Times New Roman"/>
                <w:sz w:val="18"/>
              </w:rPr>
              <w:t>17</w:t>
            </w:r>
          </w:p>
        </w:tc>
        <w:tc>
          <w:tcPr>
            <w:tcW w:type="dxa" w:w="1337"/>
            <w:shd w:fill="D6E4F0"/>
          </w:tcPr>
          <w:p>
            <w:pPr>
              <w:jc w:val="left"/>
            </w:pPr>
            <w:r/>
            <w:r>
              <w:rPr>
                <w:rFonts w:ascii="Times New Roman" w:hAnsi="Times New Roman"/>
                <w:sz w:val="18"/>
              </w:rPr>
              <w:t>46</w:t>
            </w:r>
          </w:p>
        </w:tc>
        <w:tc>
          <w:tcPr>
            <w:tcW w:type="dxa" w:w="1337"/>
            <w:shd w:fill="D6E4F0"/>
          </w:tcPr>
          <w:p>
            <w:pPr>
              <w:jc w:val="left"/>
            </w:pPr>
            <w:r/>
            <w:r>
              <w:rPr>
                <w:rFonts w:ascii="Times New Roman" w:hAnsi="Times New Roman"/>
                <w:sz w:val="18"/>
              </w:rPr>
              <w:t>~37</w:t>
            </w:r>
          </w:p>
        </w:tc>
        <w:tc>
          <w:tcPr>
            <w:tcW w:type="dxa" w:w="1337"/>
            <w:shd w:fill="D6E4F0"/>
          </w:tcPr>
          <w:p>
            <w:pPr>
              <w:jc w:val="left"/>
            </w:pPr>
            <w:r/>
            <w:r>
              <w:rPr>
                <w:rFonts w:ascii="Times New Roman" w:hAnsi="Times New Roman"/>
                <w:sz w:val="18"/>
              </w:rPr>
              <w:t>-10 to 100</w:t>
            </w:r>
          </w:p>
        </w:tc>
      </w:tr>
      <w:tr>
        <w:tc>
          <w:tcPr>
            <w:tcW w:type="dxa" w:w="1337"/>
          </w:tcPr>
          <w:p>
            <w:pPr>
              <w:jc w:val="left"/>
            </w:pPr>
            <w:r/>
            <w:r>
              <w:rPr>
                <w:rFonts w:ascii="Times New Roman" w:hAnsi="Times New Roman"/>
                <w:sz w:val="18"/>
              </w:rPr>
              <w:t>Loladze 2014</w:t>
            </w:r>
          </w:p>
        </w:tc>
        <w:tc>
          <w:tcPr>
            <w:tcW w:type="dxa" w:w="1337"/>
          </w:tcPr>
          <w:p>
            <w:pPr>
              <w:jc w:val="left"/>
            </w:pPr>
            <w:r/>
            <w:r>
              <w:rPr>
                <w:rFonts w:ascii="Times New Roman" w:hAnsi="Times New Roman"/>
                <w:sz w:val="18"/>
              </w:rPr>
              <w:t>CO2 / mineral nutrition</w:t>
            </w:r>
          </w:p>
        </w:tc>
        <w:tc>
          <w:tcPr>
            <w:tcW w:type="dxa" w:w="1337"/>
          </w:tcPr>
          <w:p>
            <w:pPr>
              <w:jc w:val="left"/>
            </w:pPr>
            <w:r/>
            <w:r>
              <w:rPr>
                <w:rFonts w:ascii="Times New Roman" w:hAnsi="Times New Roman"/>
                <w:sz w:val="18"/>
              </w:rPr>
              <w:t>46</w:t>
            </w:r>
          </w:p>
        </w:tc>
        <w:tc>
          <w:tcPr>
            <w:tcW w:type="dxa" w:w="1337"/>
          </w:tcPr>
          <w:p>
            <w:pPr>
              <w:jc w:val="left"/>
            </w:pPr>
            <w:r/>
            <w:r>
              <w:rPr>
                <w:rFonts w:ascii="Times New Roman" w:hAnsi="Times New Roman"/>
                <w:sz w:val="18"/>
              </w:rPr>
              <w:t>45</w:t>
            </w:r>
          </w:p>
        </w:tc>
        <w:tc>
          <w:tcPr>
            <w:tcW w:type="dxa" w:w="1337"/>
          </w:tcPr>
          <w:p>
            <w:pPr>
              <w:jc w:val="left"/>
            </w:pPr>
            <w:r/>
            <w:r>
              <w:rPr>
                <w:rFonts w:ascii="Times New Roman" w:hAnsi="Times New Roman"/>
                <w:sz w:val="18"/>
              </w:rPr>
              <w:t>413</w:t>
            </w:r>
          </w:p>
        </w:tc>
        <w:tc>
          <w:tcPr>
            <w:tcW w:type="dxa" w:w="1337"/>
          </w:tcPr>
          <w:p>
            <w:pPr>
              <w:jc w:val="left"/>
            </w:pPr>
            <w:r/>
            <w:r>
              <w:rPr>
                <w:rFonts w:ascii="Times New Roman" w:hAnsi="Times New Roman"/>
                <w:sz w:val="18"/>
              </w:rPr>
              <w:t>~-8</w:t>
            </w:r>
          </w:p>
        </w:tc>
        <w:tc>
          <w:tcPr>
            <w:tcW w:type="dxa" w:w="1337"/>
          </w:tcPr>
          <w:p>
            <w:pPr>
              <w:jc w:val="left"/>
            </w:pPr>
            <w:r/>
            <w:r>
              <w:rPr>
                <w:rFonts w:ascii="Times New Roman" w:hAnsi="Times New Roman"/>
                <w:sz w:val="18"/>
              </w:rPr>
              <w:t>-50 to 50</w:t>
            </w:r>
          </w:p>
        </w:tc>
      </w:tr>
      <w:tr>
        <w:tc>
          <w:tcPr>
            <w:tcW w:type="dxa" w:w="1337"/>
            <w:shd w:fill="D6E4F0"/>
          </w:tcPr>
          <w:p>
            <w:pPr>
              <w:jc w:val="left"/>
            </w:pPr>
            <w:r/>
            <w:r>
              <w:rPr>
                <w:rFonts w:ascii="Times New Roman" w:hAnsi="Times New Roman"/>
                <w:b/>
                <w:sz w:val="18"/>
              </w:rPr>
              <w:t>Total</w:t>
            </w:r>
          </w:p>
        </w:tc>
        <w:tc>
          <w:tcPr>
            <w:tcW w:type="dxa" w:w="1337"/>
            <w:shd w:fill="D6E4F0"/>
          </w:tcPr>
          <w:p>
            <w:pPr>
              <w:jc w:val="left"/>
            </w:pPr>
            <w:r/>
            <w:r>
              <w:rPr>
                <w:rFonts w:ascii="Times New Roman" w:hAnsi="Times New Roman"/>
                <w:sz w:val="18"/>
              </w:rPr>
            </w:r>
          </w:p>
        </w:tc>
        <w:tc>
          <w:tcPr>
            <w:tcW w:type="dxa" w:w="1337"/>
            <w:shd w:fill="D6E4F0"/>
          </w:tcPr>
          <w:p>
            <w:pPr>
              <w:jc w:val="left"/>
            </w:pPr>
            <w:r/>
            <w:r>
              <w:rPr>
                <w:rFonts w:ascii="Times New Roman" w:hAnsi="Times New Roman"/>
                <w:b/>
                <w:sz w:val="18"/>
              </w:rPr>
              <w:t>179</w:t>
            </w:r>
          </w:p>
        </w:tc>
        <w:tc>
          <w:tcPr>
            <w:tcW w:type="dxa" w:w="1337"/>
            <w:shd w:fill="D6E4F0"/>
          </w:tcPr>
          <w:p>
            <w:pPr>
              <w:jc w:val="left"/>
            </w:pPr>
            <w:r/>
            <w:r>
              <w:rPr>
                <w:rFonts w:ascii="Times New Roman" w:hAnsi="Times New Roman"/>
                <w:b/>
                <w:sz w:val="18"/>
              </w:rPr>
              <w:t>136</w:t>
            </w:r>
          </w:p>
        </w:tc>
        <w:tc>
          <w:tcPr>
            <w:tcW w:type="dxa" w:w="1337"/>
            <w:shd w:fill="D6E4F0"/>
          </w:tcPr>
          <w:p>
            <w:pPr>
              <w:jc w:val="left"/>
            </w:pPr>
            <w:r/>
            <w:r>
              <w:rPr>
                <w:rFonts w:ascii="Times New Roman" w:hAnsi="Times New Roman"/>
                <w:b/>
                <w:sz w:val="18"/>
              </w:rPr>
              <w:t>1,149</w:t>
            </w:r>
          </w:p>
        </w:tc>
        <w:tc>
          <w:tcPr>
            <w:tcW w:type="dxa" w:w="1337"/>
            <w:shd w:fill="D6E4F0"/>
          </w:tcPr>
          <w:p>
            <w:pPr>
              <w:jc w:val="left"/>
            </w:pPr>
            <w:r/>
            <w:r>
              <w:rPr>
                <w:rFonts w:ascii="Times New Roman" w:hAnsi="Times New Roman"/>
                <w:sz w:val="18"/>
              </w:rPr>
            </w:r>
          </w:p>
        </w:tc>
        <w:tc>
          <w:tcPr>
            <w:tcW w:type="dxa" w:w="1337"/>
            <w:shd w:fill="D6E4F0"/>
          </w:tcPr>
          <w:p>
            <w:pPr>
              <w:jc w:val="left"/>
            </w:pPr>
            <w:r/>
            <w:r>
              <w:rPr>
                <w:rFonts w:ascii="Times New Roman" w:hAnsi="Times New Roman"/>
                <w:sz w:val="18"/>
              </w:rPr>
            </w:r>
          </w:p>
        </w:tc>
      </w:tr>
    </w:tbl>
    <w:p>
      <w:pPr>
        <w:spacing w:before="120" w:after="120"/>
      </w:pPr>
    </w:p>
    <w:p>
      <w:r>
        <w:rPr>
          <w:rFonts w:ascii="Times New Roman" w:hAnsi="Times New Roman"/>
          <w:b/>
          <w:sz w:val="24"/>
        </w:rPr>
        <w:t>Hui et al. 2025</w:t>
      </w:r>
      <w:r>
        <w:rPr>
          <w:rFonts w:ascii="Times New Roman" w:hAnsi="Times New Roman"/>
          <w:sz w:val="24"/>
        </w:rPr>
        <w:t xml:space="preserve"> (Hui et al., 2025). A global meta-analysis of zinc agronomic biofortification in wheat and its drivers, published in </w:t>
      </w:r>
      <w:r>
        <w:rPr>
          <w:rFonts w:ascii="Times New Roman" w:hAnsi="Times New Roman"/>
          <w:i/>
          <w:sz w:val="24"/>
        </w:rPr>
        <w:t>Nature Communications</w:t>
      </w:r>
      <w:r>
        <w:rPr>
          <w:rFonts w:ascii="Times New Roman" w:hAnsi="Times New Roman"/>
          <w:sz w:val="24"/>
        </w:rPr>
        <w:t>. This dataset features standardized single-element tabular data with consistent reporting formats. Effect sizes are large (mean ~50%), reflecting substantial zinc concentration increases from biofortification treatments.</w:t>
      </w:r>
    </w:p>
    <w:p>
      <w:r>
        <w:rPr>
          <w:rFonts w:ascii="Times New Roman" w:hAnsi="Times New Roman"/>
          <w:b/>
          <w:sz w:val="24"/>
        </w:rPr>
        <w:t>Li et al. 2022</w:t>
      </w:r>
      <w:r>
        <w:rPr>
          <w:rFonts w:ascii="Times New Roman" w:hAnsi="Times New Roman"/>
          <w:sz w:val="24"/>
        </w:rPr>
        <w:t xml:space="preserve"> (Li et al., 2022). A meta-analysis of non-microbial biostimulant effects on agronomic outcomes, published in </w:t>
      </w:r>
      <w:r>
        <w:rPr>
          <w:rFonts w:ascii="Times New Roman" w:hAnsi="Times New Roman"/>
          <w:i/>
          <w:sz w:val="24"/>
        </w:rPr>
        <w:t>Frontiers in Plant Science</w:t>
      </w:r>
      <w:r>
        <w:rPr>
          <w:rFonts w:ascii="Times New Roman" w:hAnsi="Times New Roman"/>
          <w:sz w:val="24"/>
        </w:rPr>
        <w:t>. The raw extraction produced r = 0.453 against reference data, driven entirely by unit-scale mismatches (e.g., yield in t/ha vs. kg/ha). After programmatic harmonization accounting for unit conversions – with no change to any extracted value – the correlation rose to r = 0.994.</w:t>
      </w:r>
    </w:p>
    <w:p>
      <w:r>
        <w:rPr>
          <w:rFonts w:ascii="Times New Roman" w:hAnsi="Times New Roman"/>
          <w:b/>
          <w:sz w:val="24"/>
        </w:rPr>
        <w:t>Li et al. 2024 (biochar yield)</w:t>
      </w:r>
      <w:r>
        <w:rPr>
          <w:rFonts w:ascii="Times New Roman" w:hAnsi="Times New Roman"/>
          <w:sz w:val="24"/>
        </w:rPr>
        <w:t xml:space="preserve"> (Li et al., 2024). A meta-analysis of biochar amendment effects on crop yield (2,438 observations, 367 studies), published with open data on figshare. This dataset was processed after all extraction and alignment methods were finalized, serving as a fully prospective holdout. Effect sizes are moderate (mean ~12%), and 52% of extracted observations came from figures rather than tables.</w:t>
      </w:r>
    </w:p>
    <w:p>
      <w:r>
        <w:rPr>
          <w:rFonts w:ascii="Times New Roman" w:hAnsi="Times New Roman"/>
          <w:b/>
          <w:sz w:val="24"/>
        </w:rPr>
        <w:t>Boldorini et al. 2024</w:t>
      </w:r>
      <w:r>
        <w:rPr>
          <w:rFonts w:ascii="Times New Roman" w:hAnsi="Times New Roman"/>
          <w:sz w:val="24"/>
        </w:rPr>
        <w:t xml:space="preserve"> (Boldorini et al., 2024). A meta-analysis of predator biocontrol effects on crop yield, published in </w:t>
      </w:r>
      <w:r>
        <w:rPr>
          <w:rFonts w:ascii="Times New Roman" w:hAnsi="Times New Roman"/>
          <w:i/>
          <w:sz w:val="24"/>
        </w:rPr>
        <w:t>Proceedings of the Royal Society B</w:t>
      </w:r>
      <w:r>
        <w:rPr>
          <w:rFonts w:ascii="Times New Roman" w:hAnsi="Times New Roman"/>
          <w:sz w:val="24"/>
        </w:rPr>
        <w:t>. This dataset extends validation beyond plant nutrition into ecological pest management, with moderate-to-large effect sizes (mean ~37%) and a small but informative observation set (N = 46).</w:t>
      </w:r>
    </w:p>
    <w:p>
      <w:r>
        <w:rPr>
          <w:rFonts w:ascii="Times New Roman" w:hAnsi="Times New Roman"/>
          <w:b/>
          <w:sz w:val="24"/>
        </w:rPr>
        <w:t>Loladze 2014</w:t>
      </w:r>
      <w:r>
        <w:rPr>
          <w:rFonts w:ascii="Times New Roman" w:hAnsi="Times New Roman"/>
          <w:sz w:val="24"/>
        </w:rPr>
        <w:t xml:space="preserve"> (Loladze, 2014). A comprehensive meta-analysis of elevated CO2 effects on plant mineral concentrations, published in </w:t>
      </w:r>
      <w:r>
        <w:rPr>
          <w:rFonts w:ascii="Times New Roman" w:hAnsi="Times New Roman"/>
          <w:i/>
          <w:sz w:val="24"/>
        </w:rPr>
        <w:t>eLife</w:t>
      </w:r>
      <w:r>
        <w:rPr>
          <w:rFonts w:ascii="Times New Roman" w:hAnsi="Times New Roman"/>
          <w:sz w:val="24"/>
        </w:rPr>
        <w:t>. This is the most structurally demanding dataset: complex factorial designs (CO2 x cultivar x ozone x nitrogen), diverse exposure systems (FACE, OTC, growth chambers), and multiple tissues and developmental stages. Effect sizes are small (mean ~-8%), requiring high extraction precision to detect.</w:t>
      </w:r>
    </w:p>
    <w:p>
      <w:r>
        <w:rPr>
          <w:rFonts w:ascii="Times New Roman" w:hAnsi="Times New Roman"/>
          <w:sz w:val="24"/>
        </w:rPr>
        <w:t>Together, the five datasets span a range of extraction difficulty (simple tabular to complex factorial), effect-size magnitude (8–50 pp), reporting conventions, and scientific domains, providing a diverse testbed for evaluating extraction performance.</w:t>
      </w:r>
    </w:p>
    <w:p>
      <w:pPr>
        <w:pStyle w:val="Heading2"/>
      </w:pPr>
      <w:r>
        <w:t>2.3 Matching Protocol</w:t>
      </w:r>
    </w:p>
    <w:p>
      <w:pPr>
        <w:pStyle w:val="Heading3"/>
      </w:pPr>
      <w:r>
        <w:t>2.3.1 LLM-Driven Alignment</w:t>
      </w:r>
    </w:p>
    <w:p>
      <w:r>
        <w:rPr>
          <w:rFonts w:ascii="Times New Roman" w:hAnsi="Times New Roman"/>
          <w:sz w:val="24"/>
        </w:rPr>
        <w:t>A key methodological contribution of this work is the use of LLM-driven alignment to match extracted observations to reference-standard rows. Previous approaches relied on either (a) value-based matching, which is circular because it consults the outcome variable, or (b) hardcoded synonym dictionaries (e.g., "corn" = "maize"), which are brittle and incomplete.</w:t>
      </w:r>
    </w:p>
    <w:p>
      <w:r>
        <w:rPr>
          <w:rFonts w:ascii="Times New Roman" w:hAnsi="Times New Roman"/>
          <w:sz w:val="24"/>
        </w:rPr>
        <w:t>Our approach uses an LLM to read both the extracted data schema and the reference-standard schema, then propose moderator mappings automatically. The LLM identifies:</w:t>
      </w:r>
    </w:p>
    <w:p>
      <w:pPr>
        <w:pStyle w:val="ListBullet"/>
      </w:pPr>
      <w:r>
        <w:rPr>
          <w:rFonts w:ascii="Times New Roman" w:hAnsi="Times New Roman"/>
          <w:b/>
          <w:sz w:val="24"/>
        </w:rPr>
        <w:t>Study mappings:</w:t>
      </w:r>
      <w:r>
        <w:rPr>
          <w:rFonts w:ascii="Times New Roman" w:hAnsi="Times New Roman"/>
          <w:sz w:val="24"/>
        </w:rPr>
        <w:t xml:space="preserve"> Which extracted paper corresponds to which reference-standard entry (accounting for variant citation styles).</w:t>
      </w:r>
    </w:p>
    <w:p>
      <w:pPr>
        <w:pStyle w:val="ListBullet"/>
      </w:pPr>
      <w:r>
        <w:rPr>
          <w:rFonts w:ascii="Times New Roman" w:hAnsi="Times New Roman"/>
          <w:b/>
          <w:sz w:val="24"/>
        </w:rPr>
        <w:t>Value synonyms:</w:t>
      </w:r>
      <w:r>
        <w:rPr>
          <w:rFonts w:ascii="Times New Roman" w:hAnsi="Times New Roman"/>
          <w:sz w:val="24"/>
        </w:rPr>
        <w:t xml:space="preserve"> Equivalent moderator values across naming conventions (e.g., "corn" to "Maize", "hardwood" to "Wood").</w:t>
      </w:r>
    </w:p>
    <w:p>
      <w:pPr>
        <w:pStyle w:val="ListBullet"/>
      </w:pPr>
      <w:r>
        <w:rPr>
          <w:rFonts w:ascii="Times New Roman" w:hAnsi="Times New Roman"/>
          <w:b/>
          <w:sz w:val="24"/>
        </w:rPr>
        <w:t>Column mappings:</w:t>
      </w:r>
      <w:r>
        <w:rPr>
          <w:rFonts w:ascii="Times New Roman" w:hAnsi="Times New Roman"/>
          <w:sz w:val="24"/>
        </w:rPr>
        <w:t xml:space="preserve"> Which extracted fields correspond to which reference-standard columns.</w:t>
      </w:r>
    </w:p>
    <w:p>
      <w:pPr>
        <w:pStyle w:val="ListBullet"/>
      </w:pPr>
      <w:r>
        <w:rPr>
          <w:rFonts w:ascii="Times New Roman" w:hAnsi="Times New Roman"/>
          <w:b/>
          <w:sz w:val="24"/>
        </w:rPr>
        <w:t>Effect-size format detection:</w:t>
      </w:r>
      <w:r>
        <w:rPr>
          <w:rFonts w:ascii="Times New Roman" w:hAnsi="Times New Roman"/>
          <w:sz w:val="24"/>
        </w:rPr>
        <w:t xml:space="preserve"> Whether the reference standard reports raw means, log response ratios, or percentage changes.</w:t>
      </w:r>
    </w:p>
    <w:p>
      <w:r>
        <w:rPr>
          <w:rFonts w:ascii="Times New Roman" w:hAnsi="Times New Roman"/>
          <w:sz w:val="24"/>
        </w:rPr>
        <w:t>The alignment is cached as a human-editable JSON file, enabling manual inspection and correction. On the Li 2024 (biochar) dataset, LLM-driven alignment improved the validation correlation from r = 0.377 (dictionary-based matching) to r = 0.997 with no changes to any extracted value. This improvement demonstrates that apparent "extraction error" can be dominated by alignment failure.</w:t>
      </w:r>
    </w:p>
    <w:p>
      <w:pPr>
        <w:pStyle w:val="Heading3"/>
      </w:pPr>
      <w:r>
        <w:t>2.3.2 Effect-First Matching for Scale-Heterogeneous Datasets</w:t>
      </w:r>
    </w:p>
    <w:p>
      <w:r>
        <w:rPr>
          <w:rFonts w:ascii="Times New Roman" w:hAnsi="Times New Roman"/>
          <w:sz w:val="24"/>
        </w:rPr>
        <w:t>For datasets where primary studies report outcomes in different units (e.g., crop yield in t/ha, kg/ha, or g/pot), value-based matching on raw means produces spurious mismatches. We developed an effect-first matching approach: observations are first converted to percentage change from control, then matched on derived effect sizes rather than raw values. This approach, combined with automated scale-factor detection (testing common conversion factors: 1000, 100, 10, 0.001, etc.), resolved the Li 2022 correlation from r = 0.453 (raw matching) to r = 0.994 (scale-harmonized matching) without altering any extracted value.</w:t>
      </w:r>
    </w:p>
    <w:p>
      <w:pPr>
        <w:pStyle w:val="Heading3"/>
      </w:pPr>
      <w:r>
        <w:t>2.3.3 Loladze 2014 Matching</w:t>
      </w:r>
    </w:p>
    <w:p>
      <w:r>
        <w:rPr>
          <w:rFonts w:ascii="Times New Roman" w:hAnsi="Times New Roman"/>
          <w:sz w:val="24"/>
        </w:rPr>
        <w:t>For the Loladze 2014 dataset, the primary validation used LLM-driven alignment (Section 2.3.1), consistent with all other datasets. For comparison purposes (Table 7), we also report results from an earlier metadata-based matching protocol that computed similarity scores across up to 14 dimensions (tissue group, species, site, CO2 level, cultivar, ozone filter, harvest stage, and others) with globally optimal 1-to-1 assignment via the Hungarian algorithm. The substantial improvement from metadata-based to LLM-driven matching (r = 0.812 to 0.984) demonstrates that alignment error dominated the earlier validation.</w:t>
      </w:r>
    </w:p>
    <w:p>
      <w:pPr>
        <w:pStyle w:val="Heading2"/>
      </w:pPr>
      <w:r>
        <w:t>2.4 Statistical Analysis</w:t>
      </w:r>
    </w:p>
    <w:p>
      <w:pPr>
        <w:pStyle w:val="Heading3"/>
      </w:pPr>
      <w:r>
        <w:t>2.4.1 Primary Metrics</w:t>
      </w:r>
    </w:p>
    <w:p>
      <w:r>
        <w:rPr>
          <w:rFonts w:ascii="Times New Roman" w:hAnsi="Times New Roman"/>
          <w:b/>
          <w:sz w:val="24"/>
        </w:rPr>
        <w:t>ICC(3,1)</w:t>
      </w:r>
      <w:r>
        <w:rPr>
          <w:rFonts w:ascii="Times New Roman" w:hAnsi="Times New Roman"/>
          <w:sz w:val="24"/>
        </w:rPr>
        <w:t xml:space="preserve"> (two-way mixed, consistency) following the classification of Koo and Li (2016): moderate (0.50–0.75), good (0.75–0.90), excellent (&gt;0.90). We also report Lin's concordance correlation coefficient (CCC; Lin, 1989). Secondary metrics: Pearson r, mean absolute error (MAE), and direction agreement (whether extracted and reference effect sizes share the same sign).</w:t>
      </w:r>
    </w:p>
    <w:p>
      <w:pPr>
        <w:pStyle w:val="Heading3"/>
      </w:pPr>
      <w:r>
        <w:t>2.4.2 Equivalence Testing</w:t>
      </w:r>
    </w:p>
    <w:p>
      <w:r>
        <w:rPr>
          <w:rFonts w:ascii="Times New Roman" w:hAnsi="Times New Roman"/>
          <w:sz w:val="24"/>
        </w:rPr>
        <w:t>Two one-sided tests (TOST) with proportional equivalence margins. Rather than applying a single absolute margin to all datasets – which would be inappropriately lenient for datasets with large effects and inappropriately strict for datasets with small effects – we set the equivalence margin for each dataset at +-20% of the dataset's mean absolute effect size. This proportional approach ensures that the equivalence criterion scales with the magnitude of the phenomenon being measured.</w:t>
      </w:r>
    </w:p>
    <w:p>
      <w:r>
        <w:rPr>
          <w:rFonts w:ascii="Times New Roman" w:hAnsi="Times New Roman"/>
          <w:sz w:val="24"/>
        </w:rPr>
        <w:t>[TABLE 3: Proportional TOST margins. Each margin is set at +-20% of the dataset's mean absolute effect size, ensuring that equivalence criteria scale with effect magnitude.]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F5496"/>
          </w:tcPr>
          <w:p>
            <w:pPr>
              <w:jc w:val="left"/>
            </w:pPr>
            <w:r>
              <w:rPr>
                <w:b/>
                <w:color w:val="FFFFFF"/>
              </w:rPr>
            </w:r>
            <w:r>
              <w:rPr>
                <w:rFonts w:ascii="Times New Roman" w:hAnsi="Times New Roman"/>
                <w:b/>
                <w:color w:val="FFFFFF"/>
                <w:sz w:val="18"/>
              </w:rPr>
              <w:t>Dataset</w:t>
            </w:r>
          </w:p>
        </w:tc>
        <w:tc>
          <w:tcPr>
            <w:tcW w:type="dxa" w:w="3120"/>
            <w:shd w:fill="2F5496"/>
          </w:tcPr>
          <w:p>
            <w:pPr>
              <w:jc w:val="center"/>
            </w:pPr>
            <w:r>
              <w:rPr>
                <w:b/>
                <w:color w:val="FFFFFF"/>
              </w:rPr>
            </w:r>
            <w:r>
              <w:rPr>
                <w:rFonts w:ascii="Times New Roman" w:hAnsi="Times New Roman"/>
                <w:b/>
                <w:color w:val="FFFFFF"/>
                <w:sz w:val="18"/>
              </w:rPr>
              <w:t>Mean absolute effect (pp)</w:t>
            </w:r>
          </w:p>
        </w:tc>
        <w:tc>
          <w:tcPr>
            <w:tcW w:type="dxa" w:w="3120"/>
            <w:shd w:fill="2F5496"/>
          </w:tcPr>
          <w:p>
            <w:pPr>
              <w:jc w:val="center"/>
            </w:pPr>
            <w:r>
              <w:rPr>
                <w:b/>
                <w:color w:val="FFFFFF"/>
              </w:rPr>
            </w:r>
            <w:r>
              <w:rPr>
                <w:rFonts w:ascii="Times New Roman" w:hAnsi="Times New Roman"/>
                <w:b/>
                <w:color w:val="FFFFFF"/>
                <w:sz w:val="18"/>
              </w:rPr>
              <w:t>20% margin (pp)</w:t>
            </w:r>
          </w:p>
        </w:tc>
      </w:tr>
      <w:tr>
        <w:tc>
          <w:tcPr>
            <w:tcW w:type="dxa" w:w="3120"/>
          </w:tcPr>
          <w:p>
            <w:pPr>
              <w:jc w:val="left"/>
            </w:pPr>
            <w:r/>
            <w:r>
              <w:rPr>
                <w:rFonts w:ascii="Times New Roman" w:hAnsi="Times New Roman"/>
                <w:sz w:val="18"/>
              </w:rPr>
              <w:t>Hui 2025</w:t>
            </w:r>
          </w:p>
        </w:tc>
        <w:tc>
          <w:tcPr>
            <w:tcW w:type="dxa" w:w="3120"/>
          </w:tcPr>
          <w:p>
            <w:pPr>
              <w:jc w:val="left"/>
            </w:pPr>
            <w:r/>
            <w:r>
              <w:rPr>
                <w:rFonts w:ascii="Times New Roman" w:hAnsi="Times New Roman"/>
                <w:sz w:val="18"/>
              </w:rPr>
              <w:t>~50</w:t>
            </w:r>
          </w:p>
        </w:tc>
        <w:tc>
          <w:tcPr>
            <w:tcW w:type="dxa" w:w="3120"/>
          </w:tcPr>
          <w:p>
            <w:pPr>
              <w:jc w:val="left"/>
            </w:pPr>
            <w:r/>
            <w:r>
              <w:rPr>
                <w:rFonts w:ascii="Times New Roman" w:hAnsi="Times New Roman"/>
                <w:sz w:val="18"/>
              </w:rPr>
              <w:t>~10.0</w:t>
            </w:r>
          </w:p>
        </w:tc>
      </w:tr>
      <w:tr>
        <w:tc>
          <w:tcPr>
            <w:tcW w:type="dxa" w:w="3120"/>
            <w:shd w:fill="D6E4F0"/>
          </w:tcPr>
          <w:p>
            <w:pPr>
              <w:jc w:val="left"/>
            </w:pPr>
            <w:r/>
            <w:r>
              <w:rPr>
                <w:rFonts w:ascii="Times New Roman" w:hAnsi="Times New Roman"/>
                <w:sz w:val="18"/>
              </w:rPr>
              <w:t>Loladze 2014</w:t>
            </w:r>
          </w:p>
        </w:tc>
        <w:tc>
          <w:tcPr>
            <w:tcW w:type="dxa" w:w="3120"/>
            <w:shd w:fill="D6E4F0"/>
          </w:tcPr>
          <w:p>
            <w:pPr>
              <w:jc w:val="left"/>
            </w:pPr>
            <w:r/>
            <w:r>
              <w:rPr>
                <w:rFonts w:ascii="Times New Roman" w:hAnsi="Times New Roman"/>
                <w:sz w:val="18"/>
              </w:rPr>
              <w:t>~12</w:t>
            </w:r>
          </w:p>
        </w:tc>
        <w:tc>
          <w:tcPr>
            <w:tcW w:type="dxa" w:w="3120"/>
            <w:shd w:fill="D6E4F0"/>
          </w:tcPr>
          <w:p>
            <w:pPr>
              <w:jc w:val="left"/>
            </w:pPr>
            <w:r/>
            <w:r>
              <w:rPr>
                <w:rFonts w:ascii="Times New Roman" w:hAnsi="Times New Roman"/>
                <w:sz w:val="18"/>
              </w:rPr>
              <w:t>~2.5</w:t>
            </w:r>
          </w:p>
        </w:tc>
      </w:tr>
      <w:tr>
        <w:tc>
          <w:tcPr>
            <w:tcW w:type="dxa" w:w="3120"/>
          </w:tcPr>
          <w:p>
            <w:pPr>
              <w:jc w:val="left"/>
            </w:pPr>
            <w:r/>
            <w:r>
              <w:rPr>
                <w:rFonts w:ascii="Times New Roman" w:hAnsi="Times New Roman"/>
                <w:sz w:val="18"/>
              </w:rPr>
              <w:t>Li 2024 (biochar)</w:t>
            </w:r>
          </w:p>
        </w:tc>
        <w:tc>
          <w:tcPr>
            <w:tcW w:type="dxa" w:w="3120"/>
          </w:tcPr>
          <w:p>
            <w:pPr>
              <w:jc w:val="left"/>
            </w:pPr>
            <w:r/>
            <w:r>
              <w:rPr>
                <w:rFonts w:ascii="Times New Roman" w:hAnsi="Times New Roman"/>
                <w:sz w:val="18"/>
              </w:rPr>
              <w:t>~16</w:t>
            </w:r>
          </w:p>
        </w:tc>
        <w:tc>
          <w:tcPr>
            <w:tcW w:type="dxa" w:w="3120"/>
          </w:tcPr>
          <w:p>
            <w:pPr>
              <w:jc w:val="left"/>
            </w:pPr>
            <w:r/>
            <w:r>
              <w:rPr>
                <w:rFonts w:ascii="Times New Roman" w:hAnsi="Times New Roman"/>
                <w:sz w:val="18"/>
              </w:rPr>
              <w:t>~3.2</w:t>
            </w:r>
          </w:p>
        </w:tc>
      </w:tr>
      <w:tr>
        <w:tc>
          <w:tcPr>
            <w:tcW w:type="dxa" w:w="3120"/>
            <w:shd w:fill="D6E4F0"/>
          </w:tcPr>
          <w:p>
            <w:pPr>
              <w:jc w:val="left"/>
            </w:pPr>
            <w:r/>
            <w:r>
              <w:rPr>
                <w:rFonts w:ascii="Times New Roman" w:hAnsi="Times New Roman"/>
                <w:sz w:val="18"/>
              </w:rPr>
              <w:t>Li 2022</w:t>
            </w:r>
          </w:p>
        </w:tc>
        <w:tc>
          <w:tcPr>
            <w:tcW w:type="dxa" w:w="3120"/>
            <w:shd w:fill="D6E4F0"/>
          </w:tcPr>
          <w:p>
            <w:pPr>
              <w:jc w:val="left"/>
            </w:pPr>
            <w:r/>
            <w:r>
              <w:rPr>
                <w:rFonts w:ascii="Times New Roman" w:hAnsi="Times New Roman"/>
                <w:sz w:val="18"/>
              </w:rPr>
              <w:t>~17</w:t>
            </w:r>
          </w:p>
        </w:tc>
        <w:tc>
          <w:tcPr>
            <w:tcW w:type="dxa" w:w="3120"/>
            <w:shd w:fill="D6E4F0"/>
          </w:tcPr>
          <w:p>
            <w:pPr>
              <w:jc w:val="left"/>
            </w:pPr>
            <w:r/>
            <w:r>
              <w:rPr>
                <w:rFonts w:ascii="Times New Roman" w:hAnsi="Times New Roman"/>
                <w:sz w:val="18"/>
              </w:rPr>
              <w:t>~3.4</w:t>
            </w:r>
          </w:p>
        </w:tc>
      </w:tr>
      <w:tr>
        <w:tc>
          <w:tcPr>
            <w:tcW w:type="dxa" w:w="3120"/>
          </w:tcPr>
          <w:p>
            <w:pPr>
              <w:jc w:val="left"/>
            </w:pPr>
            <w:r/>
            <w:r>
              <w:rPr>
                <w:rFonts w:ascii="Times New Roman" w:hAnsi="Times New Roman"/>
                <w:sz w:val="18"/>
              </w:rPr>
              <w:t>Boldorini 2024</w:t>
            </w:r>
          </w:p>
        </w:tc>
        <w:tc>
          <w:tcPr>
            <w:tcW w:type="dxa" w:w="3120"/>
          </w:tcPr>
          <w:p>
            <w:pPr>
              <w:jc w:val="left"/>
            </w:pPr>
            <w:r/>
            <w:r>
              <w:rPr>
                <w:rFonts w:ascii="Times New Roman" w:hAnsi="Times New Roman"/>
                <w:sz w:val="18"/>
              </w:rPr>
              <w:t>~47</w:t>
            </w:r>
          </w:p>
        </w:tc>
        <w:tc>
          <w:tcPr>
            <w:tcW w:type="dxa" w:w="3120"/>
          </w:tcPr>
          <w:p>
            <w:pPr>
              <w:jc w:val="left"/>
            </w:pPr>
            <w:r/>
            <w:r>
              <w:rPr>
                <w:rFonts w:ascii="Times New Roman" w:hAnsi="Times New Roman"/>
                <w:sz w:val="18"/>
              </w:rPr>
              <w:t>~9.4</w:t>
            </w:r>
          </w:p>
        </w:tc>
      </w:tr>
    </w:tbl>
    <w:p>
      <w:pPr>
        <w:spacing w:before="120" w:after="120"/>
      </w:pPr>
    </w:p>
    <w:p>
      <w:r>
        <w:rPr>
          <w:rFonts w:ascii="Times New Roman" w:hAnsi="Times New Roman"/>
          <w:sz w:val="24"/>
        </w:rPr>
        <w:t>For example, the Hui 2025 dataset (mean absolute effect ~50%) receives a margin of approximately +-10 pp, while the Loladze 2014 dataset (mean absolute effect ~12%) receives a margin of approximately +-2.5 pp. We report cluster-robust standard errors using the CR2 bias-corrected sandwich estimator with Satterthwaite degrees of freedom (Pustejovsky &amp; Tipton, 2018).</w:t>
      </w:r>
    </w:p>
    <w:p>
      <w:r>
        <w:rPr>
          <w:rFonts w:ascii="Times New Roman" w:hAnsi="Times New Roman"/>
          <w:b/>
          <w:sz w:val="24"/>
        </w:rPr>
        <w:t>Margin justification.</w:t>
      </w:r>
      <w:r>
        <w:rPr>
          <w:rFonts w:ascii="Times New Roman" w:hAnsi="Times New Roman"/>
          <w:sz w:val="24"/>
        </w:rPr>
        <w:t xml:space="preserve"> Under inverse-variance pooling, a systematic bias of 20% of the mean effect would shift the pooled estimate by 20% of itself. For most meta-analytic applications, a shift of this magnitude would not change the qualitative conclusion (e.g., whether an effect is positive or negative, or whether it exceeds a policy-relevant threshold). We encourage future validation studies to adopt proportional margins and to justify their choice of threshold explicitly.</w:t>
      </w:r>
    </w:p>
    <w:p>
      <w:pPr>
        <w:pStyle w:val="Heading3"/>
      </w:pPr>
      <w:r>
        <w:t>2.4.3 Additional Analyses</w:t>
      </w:r>
    </w:p>
    <w:p>
      <w:r>
        <w:rPr>
          <w:rFonts w:ascii="Times New Roman" w:hAnsi="Times New Roman"/>
          <w:b/>
          <w:sz w:val="24"/>
        </w:rPr>
        <w:t>Bland-Altman analysis.</w:t>
      </w:r>
      <w:r>
        <w:rPr>
          <w:rFonts w:ascii="Times New Roman" w:hAnsi="Times New Roman"/>
          <w:sz w:val="24"/>
        </w:rPr>
        <w:t xml:space="preserve"> Mean difference and 95% limits of agreement (Bland &amp; Altman, 1986), with proportional bias assessed via regression of the difference on the mean.</w:t>
      </w:r>
    </w:p>
    <w:p>
      <w:r>
        <w:rPr>
          <w:rFonts w:ascii="Times New Roman" w:hAnsi="Times New Roman"/>
          <w:b/>
          <w:sz w:val="24"/>
        </w:rPr>
        <w:t>Bootstrap.</w:t>
      </w:r>
      <w:r>
        <w:rPr>
          <w:rFonts w:ascii="Times New Roman" w:hAnsi="Times New Roman"/>
          <w:sz w:val="24"/>
        </w:rPr>
        <w:t xml:space="preserve"> Cluster bootstrap (resampling papers, not observations) with 1,000 iterations.</w:t>
      </w:r>
    </w:p>
    <w:p>
      <w:r>
        <w:rPr>
          <w:rFonts w:ascii="Times New Roman" w:hAnsi="Times New Roman"/>
          <w:b/>
          <w:sz w:val="24"/>
        </w:rPr>
        <w:t>Reproducibility.</w:t>
      </w:r>
      <w:r>
        <w:rPr>
          <w:rFonts w:ascii="Times New Roman" w:hAnsi="Times New Roman"/>
          <w:sz w:val="24"/>
        </w:rPr>
        <w:t xml:space="preserve"> A second independent agent run used the same model but was executed with no shared state, cached outputs, or intermediate results. Run 1 and Run 2 observations were matched by value similarity and compared on three datasets.</w:t>
      </w:r>
    </w:p>
    <w:p>
      <w:r>
        <w:rPr>
          <w:rFonts w:ascii="Times New Roman" w:hAnsi="Times New Roman"/>
          <w:sz w:val="24"/>
        </w:rPr>
        <w:t>Effect sizes throughout this paper are percentage change: (treatment - control) / |control| x 100. All "pp" values refer to differences on this percentage-point scale.</w:t>
      </w:r>
    </w:p>
    <w:p>
      <w:pPr>
        <w:pStyle w:val="Heading2"/>
      </w:pPr>
      <w:r>
        <w:t>2.5 Variance Handling</w:t>
      </w:r>
    </w:p>
    <w:p>
      <w:r>
        <w:rPr>
          <w:rFonts w:ascii="Times New Roman" w:hAnsi="Times New Roman"/>
          <w:sz w:val="24"/>
        </w:rPr>
        <w:t>Variance extraction proceeded through three channels:</w:t>
      </w:r>
    </w:p>
    <w:p>
      <w:pPr>
        <w:pStyle w:val="ListNumber"/>
      </w:pPr>
      <w:r>
        <w:rPr>
          <w:rFonts w:ascii="Times New Roman" w:hAnsi="Times New Roman"/>
          <w:b/>
          <w:sz w:val="24"/>
        </w:rPr>
        <w:t>Direct extraction.</w:t>
      </w:r>
      <w:r>
        <w:rPr>
          <w:rFonts w:ascii="Times New Roman" w:hAnsi="Times New Roman"/>
          <w:sz w:val="24"/>
        </w:rPr>
        <w:t xml:space="preserve"> SE/SD values from table cells and footnotes were extracted alongside means.</w:t>
      </w:r>
    </w:p>
    <w:p>
      <w:pPr>
        <w:pStyle w:val="ListNumber"/>
      </w:pPr>
      <w:r>
        <w:rPr>
          <w:rFonts w:ascii="Times New Roman" w:hAnsi="Times New Roman"/>
          <w:b/>
          <w:sz w:val="24"/>
        </w:rPr>
        <w:t>Type detection.</w:t>
      </w:r>
      <w:r>
        <w:rPr>
          <w:rFonts w:ascii="Times New Roman" w:hAnsi="Times New Roman"/>
          <w:sz w:val="24"/>
        </w:rPr>
        <w:t xml:space="preserve"> A regex scan of the Methods section identified global variance declarations (e.g., "data are mean +/- SE"), which were applied to all observations within a paper.</w:t>
      </w:r>
    </w:p>
    <w:p>
      <w:pPr>
        <w:pStyle w:val="ListNumber"/>
      </w:pPr>
      <w:r>
        <w:rPr>
          <w:rFonts w:ascii="Times New Roman" w:hAnsi="Times New Roman"/>
          <w:b/>
          <w:sz w:val="24"/>
        </w:rPr>
        <w:t>Conversion.</w:t>
      </w:r>
      <w:r>
        <w:rPr>
          <w:rFonts w:ascii="Times New Roman" w:hAnsi="Times New Roman"/>
          <w:sz w:val="24"/>
        </w:rPr>
        <w:t xml:space="preserve"> Extracted variance measures were converted to a common scale: SE to SD via SD = SE x sqrt(n); LSD to SD via SD = LSD x sqrt(n) / t_crit.</w:t>
      </w:r>
    </w:p>
    <w:p>
      <w:pPr>
        <w:pStyle w:val="Heading3"/>
      </w:pPr>
      <w:r>
        <w:t>2.5.1 Variance Recovery and Imputation</w:t>
      </w:r>
    </w:p>
    <w:p>
      <w:r>
        <w:rPr>
          <w:rFonts w:ascii="Times New Roman" w:hAnsi="Times New Roman"/>
          <w:sz w:val="24"/>
        </w:rPr>
        <w:t>For observations lacking direct variance estimates, two recovery strategies were employed. First, indirect variance sources were converted when available: Tukey HSD letters (via critical ranges), LSD values (from table footnotes), F-statistics (back-calculated to pooled SD), and reported p-values (triangulated against means and sample sizes). Second, for remaining gaps, CV-based imputation was applied: the coefficient of variation was estimated from observations with complete variance data within each dataset, then used to impute SD for observations with known means but missing variance. This assumes approximate CV homogeneity within outcome categories – a standard assumption in agricultural meta-analysis (Nakagawa et al., 2023).</w:t>
      </w:r>
    </w:p>
    <w:p>
      <w:r>
        <w:rPr>
          <w:rFonts w:ascii="Times New Roman" w:hAnsi="Times New Roman"/>
          <w:sz w:val="24"/>
        </w:rPr>
        <w:t>On the Li 2024 (biochar) dataset, variance recovery added 83 observations with variance data (22.4% increase in coverage). A sensitivity analysis comparing five imputation strategies (complete cases only, within-dataset CV, literature-based CV, hot-deck imputation, maximum-variance conservative imputation) showed the pooled effect ranged from 8.99% to 9.77% (spread = 0.78 pp), indicating that missing variance has negligible impact on meta-analytic conclusions for this dataset.</w:t>
      </w:r>
    </w:p>
    <w:p>
      <w:pPr>
        <w:pStyle w:val="Heading1"/>
      </w:pPr>
      <w:r>
        <w:t>3. Results</w:t>
      </w:r>
    </w:p>
    <w:p>
      <w:pPr>
        <w:pStyle w:val="Heading2"/>
      </w:pPr>
      <w:r>
        <w:t>3.1 Agreement with Published Reference Data</w:t>
      </w:r>
    </w:p>
    <w:p>
      <w:r>
        <w:rPr>
          <w:rFonts w:ascii="Times New Roman" w:hAnsi="Times New Roman"/>
          <w:sz w:val="24"/>
        </w:rPr>
        <w:t>[TABLE 4: Agent extraction agreement with published reference standards.]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2F5496"/>
          </w:tcPr>
          <w:p>
            <w:pPr>
              <w:jc w:val="left"/>
            </w:pPr>
            <w:r>
              <w:rPr>
                <w:b/>
                <w:color w:val="FFFFFF"/>
              </w:rPr>
            </w:r>
            <w:r>
              <w:rPr>
                <w:rFonts w:ascii="Times New Roman" w:hAnsi="Times New Roman"/>
                <w:b/>
                <w:color w:val="FFFFFF"/>
                <w:sz w:val="18"/>
              </w:rPr>
              <w:t>Dataset</w:t>
            </w:r>
          </w:p>
        </w:tc>
        <w:tc>
          <w:tcPr>
            <w:tcW w:type="dxa" w:w="1337"/>
            <w:shd w:fill="2F5496"/>
          </w:tcPr>
          <w:p>
            <w:pPr>
              <w:jc w:val="center"/>
            </w:pPr>
            <w:r>
              <w:rPr>
                <w:b/>
                <w:color w:val="FFFFFF"/>
              </w:rPr>
            </w:r>
            <w:r>
              <w:rPr>
                <w:rFonts w:ascii="Times New Roman" w:hAnsi="Times New Roman"/>
                <w:b/>
                <w:color w:val="FFFFFF"/>
                <w:sz w:val="18"/>
              </w:rPr>
              <w:t>Papers</w:t>
            </w:r>
          </w:p>
        </w:tc>
        <w:tc>
          <w:tcPr>
            <w:tcW w:type="dxa" w:w="1337"/>
            <w:shd w:fill="2F5496"/>
          </w:tcPr>
          <w:p>
            <w:pPr>
              <w:jc w:val="center"/>
            </w:pPr>
            <w:r>
              <w:rPr>
                <w:b/>
                <w:color w:val="FFFFFF"/>
              </w:rPr>
            </w:r>
            <w:r>
              <w:rPr>
                <w:rFonts w:ascii="Times New Roman" w:hAnsi="Times New Roman"/>
                <w:b/>
                <w:color w:val="FFFFFF"/>
                <w:sz w:val="18"/>
              </w:rPr>
              <w:t>Obs</w:t>
            </w:r>
          </w:p>
        </w:tc>
        <w:tc>
          <w:tcPr>
            <w:tcW w:type="dxa" w:w="1337"/>
            <w:shd w:fill="2F5496"/>
          </w:tcPr>
          <w:p>
            <w:pPr>
              <w:jc w:val="center"/>
            </w:pPr>
            <w:r>
              <w:rPr>
                <w:b/>
                <w:color w:val="FFFFFF"/>
              </w:rPr>
            </w:r>
            <w:r>
              <w:rPr>
                <w:rFonts w:ascii="Times New Roman" w:hAnsi="Times New Roman"/>
                <w:b/>
                <w:color w:val="FFFFFF"/>
                <w:sz w:val="18"/>
              </w:rPr>
              <w:t>r</w:t>
            </w:r>
          </w:p>
        </w:tc>
        <w:tc>
          <w:tcPr>
            <w:tcW w:type="dxa" w:w="1337"/>
            <w:shd w:fill="2F5496"/>
          </w:tcPr>
          <w:p>
            <w:pPr>
              <w:jc w:val="center"/>
            </w:pPr>
            <w:r>
              <w:rPr>
                <w:b/>
                <w:color w:val="FFFFFF"/>
              </w:rPr>
            </w:r>
            <w:r>
              <w:rPr>
                <w:rFonts w:ascii="Times New Roman" w:hAnsi="Times New Roman"/>
                <w:b/>
                <w:color w:val="FFFFFF"/>
                <w:sz w:val="18"/>
              </w:rPr>
              <w:t>MAE (pp)</w:t>
            </w:r>
          </w:p>
        </w:tc>
        <w:tc>
          <w:tcPr>
            <w:tcW w:type="dxa" w:w="1337"/>
            <w:shd w:fill="2F5496"/>
          </w:tcPr>
          <w:p>
            <w:pPr>
              <w:jc w:val="center"/>
            </w:pPr>
            <w:r>
              <w:rPr>
                <w:b/>
                <w:color w:val="FFFFFF"/>
              </w:rPr>
            </w:r>
            <w:r>
              <w:rPr>
                <w:rFonts w:ascii="Times New Roman" w:hAnsi="Times New Roman"/>
                <w:b/>
                <w:color w:val="FFFFFF"/>
                <w:sz w:val="18"/>
              </w:rPr>
              <w:t>Direction (%)</w:t>
            </w:r>
          </w:p>
        </w:tc>
        <w:tc>
          <w:tcPr>
            <w:tcW w:type="dxa" w:w="1337"/>
            <w:shd w:fill="2F5496"/>
          </w:tcPr>
          <w:p>
            <w:pPr>
              <w:jc w:val="center"/>
            </w:pPr>
            <w:r>
              <w:rPr>
                <w:b/>
                <w:color w:val="FFFFFF"/>
              </w:rPr>
            </w:r>
            <w:r>
              <w:rPr>
                <w:rFonts w:ascii="Times New Roman" w:hAnsi="Times New Roman"/>
                <w:b/>
                <w:color w:val="FFFFFF"/>
                <w:sz w:val="18"/>
              </w:rPr>
              <w:t>ICC(3,1)</w:t>
            </w:r>
          </w:p>
        </w:tc>
      </w:tr>
      <w:tr>
        <w:tc>
          <w:tcPr>
            <w:tcW w:type="dxa" w:w="1337"/>
          </w:tcPr>
          <w:p>
            <w:pPr>
              <w:jc w:val="left"/>
            </w:pPr>
            <w:r/>
            <w:r>
              <w:rPr>
                <w:rFonts w:ascii="Times New Roman" w:hAnsi="Times New Roman"/>
                <w:sz w:val="18"/>
              </w:rPr>
              <w:t>Hui 2025</w:t>
            </w:r>
          </w:p>
        </w:tc>
        <w:tc>
          <w:tcPr>
            <w:tcW w:type="dxa" w:w="1337"/>
          </w:tcPr>
          <w:p>
            <w:pPr>
              <w:jc w:val="left"/>
            </w:pPr>
            <w:r/>
            <w:r>
              <w:rPr>
                <w:rFonts w:ascii="Times New Roman" w:hAnsi="Times New Roman"/>
                <w:sz w:val="18"/>
              </w:rPr>
              <w:t>17</w:t>
            </w:r>
          </w:p>
        </w:tc>
        <w:tc>
          <w:tcPr>
            <w:tcW w:type="dxa" w:w="1337"/>
          </w:tcPr>
          <w:p>
            <w:pPr>
              <w:jc w:val="left"/>
            </w:pPr>
            <w:r/>
            <w:r>
              <w:rPr>
                <w:rFonts w:ascii="Times New Roman" w:hAnsi="Times New Roman"/>
                <w:sz w:val="18"/>
              </w:rPr>
              <w:t>319</w:t>
            </w:r>
          </w:p>
        </w:tc>
        <w:tc>
          <w:tcPr>
            <w:tcW w:type="dxa" w:w="1337"/>
          </w:tcPr>
          <w:p>
            <w:pPr>
              <w:jc w:val="left"/>
            </w:pPr>
            <w:r/>
            <w:r>
              <w:rPr>
                <w:rFonts w:ascii="Times New Roman" w:hAnsi="Times New Roman"/>
                <w:sz w:val="18"/>
              </w:rPr>
              <w:t>0.999</w:t>
            </w:r>
          </w:p>
        </w:tc>
        <w:tc>
          <w:tcPr>
            <w:tcW w:type="dxa" w:w="1337"/>
          </w:tcPr>
          <w:p>
            <w:pPr>
              <w:jc w:val="left"/>
            </w:pPr>
            <w:r/>
            <w:r>
              <w:rPr>
                <w:rFonts w:ascii="Times New Roman" w:hAnsi="Times New Roman"/>
                <w:sz w:val="18"/>
              </w:rPr>
              <w:t>0.43</w:t>
            </w:r>
          </w:p>
        </w:tc>
        <w:tc>
          <w:tcPr>
            <w:tcW w:type="dxa" w:w="1337"/>
          </w:tcPr>
          <w:p>
            <w:pPr>
              <w:jc w:val="left"/>
            </w:pPr>
            <w:r/>
            <w:r>
              <w:rPr>
                <w:rFonts w:ascii="Times New Roman" w:hAnsi="Times New Roman"/>
                <w:sz w:val="18"/>
              </w:rPr>
              <w:t>99.7</w:t>
            </w:r>
          </w:p>
        </w:tc>
        <w:tc>
          <w:tcPr>
            <w:tcW w:type="dxa" w:w="1337"/>
          </w:tcPr>
          <w:p>
            <w:pPr>
              <w:jc w:val="left"/>
            </w:pPr>
            <w:r/>
            <w:r>
              <w:rPr>
                <w:rFonts w:ascii="Times New Roman" w:hAnsi="Times New Roman"/>
                <w:sz w:val="18"/>
              </w:rPr>
              <w:t>0.999</w:t>
            </w:r>
          </w:p>
        </w:tc>
      </w:tr>
      <w:tr>
        <w:tc>
          <w:tcPr>
            <w:tcW w:type="dxa" w:w="1337"/>
            <w:shd w:fill="D6E4F0"/>
          </w:tcPr>
          <w:p>
            <w:pPr>
              <w:jc w:val="left"/>
            </w:pPr>
            <w:r/>
            <w:r>
              <w:rPr>
                <w:rFonts w:ascii="Times New Roman" w:hAnsi="Times New Roman"/>
                <w:sz w:val="18"/>
              </w:rPr>
              <w:t>Li 2022</w:t>
            </w:r>
          </w:p>
        </w:tc>
        <w:tc>
          <w:tcPr>
            <w:tcW w:type="dxa" w:w="1337"/>
            <w:shd w:fill="D6E4F0"/>
          </w:tcPr>
          <w:p>
            <w:pPr>
              <w:jc w:val="left"/>
            </w:pPr>
            <w:r/>
            <w:r>
              <w:rPr>
                <w:rFonts w:ascii="Times New Roman" w:hAnsi="Times New Roman"/>
                <w:sz w:val="18"/>
              </w:rPr>
              <w:t>31</w:t>
            </w:r>
          </w:p>
        </w:tc>
        <w:tc>
          <w:tcPr>
            <w:tcW w:type="dxa" w:w="1337"/>
            <w:shd w:fill="D6E4F0"/>
          </w:tcPr>
          <w:p>
            <w:pPr>
              <w:jc w:val="left"/>
            </w:pPr>
            <w:r/>
            <w:r>
              <w:rPr>
                <w:rFonts w:ascii="Times New Roman" w:hAnsi="Times New Roman"/>
                <w:sz w:val="18"/>
              </w:rPr>
              <w:t>117</w:t>
            </w:r>
          </w:p>
        </w:tc>
        <w:tc>
          <w:tcPr>
            <w:tcW w:type="dxa" w:w="1337"/>
            <w:shd w:fill="D6E4F0"/>
          </w:tcPr>
          <w:p>
            <w:pPr>
              <w:jc w:val="left"/>
            </w:pPr>
            <w:r/>
            <w:r>
              <w:rPr>
                <w:rFonts w:ascii="Times New Roman" w:hAnsi="Times New Roman"/>
                <w:sz w:val="18"/>
              </w:rPr>
              <w:t>0.994</w:t>
            </w:r>
          </w:p>
        </w:tc>
        <w:tc>
          <w:tcPr>
            <w:tcW w:type="dxa" w:w="1337"/>
            <w:shd w:fill="D6E4F0"/>
          </w:tcPr>
          <w:p>
            <w:pPr>
              <w:jc w:val="left"/>
            </w:pPr>
            <w:r/>
            <w:r>
              <w:rPr>
                <w:rFonts w:ascii="Times New Roman" w:hAnsi="Times New Roman"/>
                <w:sz w:val="18"/>
              </w:rPr>
              <w:t>1.01</w:t>
            </w:r>
          </w:p>
        </w:tc>
        <w:tc>
          <w:tcPr>
            <w:tcW w:type="dxa" w:w="1337"/>
            <w:shd w:fill="D6E4F0"/>
          </w:tcPr>
          <w:p>
            <w:pPr>
              <w:jc w:val="left"/>
            </w:pPr>
            <w:r/>
            <w:r>
              <w:rPr>
                <w:rFonts w:ascii="Times New Roman" w:hAnsi="Times New Roman"/>
                <w:sz w:val="18"/>
              </w:rPr>
              <w:t>99.1</w:t>
            </w:r>
          </w:p>
        </w:tc>
        <w:tc>
          <w:tcPr>
            <w:tcW w:type="dxa" w:w="1337"/>
            <w:shd w:fill="D6E4F0"/>
          </w:tcPr>
          <w:p>
            <w:pPr>
              <w:jc w:val="left"/>
            </w:pPr>
            <w:r/>
            <w:r>
              <w:rPr>
                <w:rFonts w:ascii="Times New Roman" w:hAnsi="Times New Roman"/>
                <w:sz w:val="18"/>
              </w:rPr>
              <w:t>0.993</w:t>
            </w:r>
          </w:p>
        </w:tc>
      </w:tr>
      <w:tr>
        <w:tc>
          <w:tcPr>
            <w:tcW w:type="dxa" w:w="1337"/>
          </w:tcPr>
          <w:p>
            <w:pPr>
              <w:jc w:val="left"/>
            </w:pPr>
            <w:r/>
            <w:r>
              <w:rPr>
                <w:rFonts w:ascii="Times New Roman" w:hAnsi="Times New Roman"/>
                <w:sz w:val="18"/>
              </w:rPr>
              <w:t>Li 2024 (biochar)</w:t>
            </w:r>
          </w:p>
        </w:tc>
        <w:tc>
          <w:tcPr>
            <w:tcW w:type="dxa" w:w="1337"/>
          </w:tcPr>
          <w:p>
            <w:pPr>
              <w:jc w:val="left"/>
            </w:pPr>
            <w:r/>
            <w:r>
              <w:rPr>
                <w:rFonts w:ascii="Times New Roman" w:hAnsi="Times New Roman"/>
                <w:sz w:val="18"/>
              </w:rPr>
              <w:t>26</w:t>
            </w:r>
          </w:p>
        </w:tc>
        <w:tc>
          <w:tcPr>
            <w:tcW w:type="dxa" w:w="1337"/>
          </w:tcPr>
          <w:p>
            <w:pPr>
              <w:jc w:val="left"/>
            </w:pPr>
            <w:r/>
            <w:r>
              <w:rPr>
                <w:rFonts w:ascii="Times New Roman" w:hAnsi="Times New Roman"/>
                <w:sz w:val="18"/>
              </w:rPr>
              <w:t>254</w:t>
            </w:r>
          </w:p>
        </w:tc>
        <w:tc>
          <w:tcPr>
            <w:tcW w:type="dxa" w:w="1337"/>
          </w:tcPr>
          <w:p>
            <w:pPr>
              <w:jc w:val="left"/>
            </w:pPr>
            <w:r/>
            <w:r>
              <w:rPr>
                <w:rFonts w:ascii="Times New Roman" w:hAnsi="Times New Roman"/>
                <w:sz w:val="18"/>
              </w:rPr>
              <w:t>0.997</w:t>
            </w:r>
          </w:p>
        </w:tc>
        <w:tc>
          <w:tcPr>
            <w:tcW w:type="dxa" w:w="1337"/>
          </w:tcPr>
          <w:p>
            <w:pPr>
              <w:jc w:val="left"/>
            </w:pPr>
            <w:r/>
            <w:r>
              <w:rPr>
                <w:rFonts w:ascii="Times New Roman" w:hAnsi="Times New Roman"/>
                <w:sz w:val="18"/>
              </w:rPr>
              <w:t>1.20</w:t>
            </w:r>
          </w:p>
        </w:tc>
        <w:tc>
          <w:tcPr>
            <w:tcW w:type="dxa" w:w="1337"/>
          </w:tcPr>
          <w:p>
            <w:pPr>
              <w:jc w:val="left"/>
            </w:pPr>
            <w:r/>
            <w:r>
              <w:rPr>
                <w:rFonts w:ascii="Times New Roman" w:hAnsi="Times New Roman"/>
                <w:sz w:val="18"/>
              </w:rPr>
              <w:t>92.3</w:t>
            </w:r>
          </w:p>
        </w:tc>
        <w:tc>
          <w:tcPr>
            <w:tcW w:type="dxa" w:w="1337"/>
          </w:tcPr>
          <w:p>
            <w:pPr>
              <w:jc w:val="left"/>
            </w:pPr>
            <w:r/>
            <w:r>
              <w:rPr>
                <w:rFonts w:ascii="Times New Roman" w:hAnsi="Times New Roman"/>
                <w:sz w:val="18"/>
              </w:rPr>
              <w:t>0.997</w:t>
            </w:r>
          </w:p>
        </w:tc>
      </w:tr>
      <w:tr>
        <w:tc>
          <w:tcPr>
            <w:tcW w:type="dxa" w:w="1337"/>
            <w:shd w:fill="D6E4F0"/>
          </w:tcPr>
          <w:p>
            <w:pPr>
              <w:jc w:val="left"/>
            </w:pPr>
            <w:r/>
            <w:r>
              <w:rPr>
                <w:rFonts w:ascii="Times New Roman" w:hAnsi="Times New Roman"/>
                <w:sz w:val="18"/>
              </w:rPr>
              <w:t>Boldorini 2024</w:t>
            </w:r>
          </w:p>
        </w:tc>
        <w:tc>
          <w:tcPr>
            <w:tcW w:type="dxa" w:w="1337"/>
            <w:shd w:fill="D6E4F0"/>
          </w:tcPr>
          <w:p>
            <w:pPr>
              <w:jc w:val="left"/>
            </w:pPr>
            <w:r/>
            <w:r>
              <w:rPr>
                <w:rFonts w:ascii="Times New Roman" w:hAnsi="Times New Roman"/>
                <w:sz w:val="18"/>
              </w:rPr>
              <w:t>17</w:t>
            </w:r>
          </w:p>
        </w:tc>
        <w:tc>
          <w:tcPr>
            <w:tcW w:type="dxa" w:w="1337"/>
            <w:shd w:fill="D6E4F0"/>
          </w:tcPr>
          <w:p>
            <w:pPr>
              <w:jc w:val="left"/>
            </w:pPr>
            <w:r/>
            <w:r>
              <w:rPr>
                <w:rFonts w:ascii="Times New Roman" w:hAnsi="Times New Roman"/>
                <w:sz w:val="18"/>
              </w:rPr>
              <w:t>46</w:t>
            </w:r>
          </w:p>
        </w:tc>
        <w:tc>
          <w:tcPr>
            <w:tcW w:type="dxa" w:w="1337"/>
            <w:shd w:fill="D6E4F0"/>
          </w:tcPr>
          <w:p>
            <w:pPr>
              <w:jc w:val="left"/>
            </w:pPr>
            <w:r/>
            <w:r>
              <w:rPr>
                <w:rFonts w:ascii="Times New Roman" w:hAnsi="Times New Roman"/>
                <w:sz w:val="18"/>
              </w:rPr>
              <w:t>0.996</w:t>
            </w:r>
          </w:p>
        </w:tc>
        <w:tc>
          <w:tcPr>
            <w:tcW w:type="dxa" w:w="1337"/>
            <w:shd w:fill="D6E4F0"/>
          </w:tcPr>
          <w:p>
            <w:pPr>
              <w:jc w:val="left"/>
            </w:pPr>
            <w:r/>
            <w:r>
              <w:rPr>
                <w:rFonts w:ascii="Times New Roman" w:hAnsi="Times New Roman"/>
                <w:sz w:val="18"/>
              </w:rPr>
              <w:t>3.06</w:t>
            </w:r>
          </w:p>
        </w:tc>
        <w:tc>
          <w:tcPr>
            <w:tcW w:type="dxa" w:w="1337"/>
            <w:shd w:fill="D6E4F0"/>
          </w:tcPr>
          <w:p>
            <w:pPr>
              <w:jc w:val="left"/>
            </w:pPr>
            <w:r/>
            <w:r>
              <w:rPr>
                <w:rFonts w:ascii="Times New Roman" w:hAnsi="Times New Roman"/>
                <w:sz w:val="18"/>
              </w:rPr>
              <w:t>95.5</w:t>
            </w:r>
          </w:p>
        </w:tc>
        <w:tc>
          <w:tcPr>
            <w:tcW w:type="dxa" w:w="1337"/>
            <w:shd w:fill="D6E4F0"/>
          </w:tcPr>
          <w:p>
            <w:pPr>
              <w:jc w:val="left"/>
            </w:pPr>
            <w:r/>
            <w:r>
              <w:rPr>
                <w:rFonts w:ascii="Times New Roman" w:hAnsi="Times New Roman"/>
                <w:sz w:val="18"/>
              </w:rPr>
              <w:t>0.996</w:t>
            </w:r>
          </w:p>
        </w:tc>
      </w:tr>
      <w:tr>
        <w:tc>
          <w:tcPr>
            <w:tcW w:type="dxa" w:w="1337"/>
          </w:tcPr>
          <w:p>
            <w:pPr>
              <w:jc w:val="left"/>
            </w:pPr>
            <w:r/>
            <w:r>
              <w:rPr>
                <w:rFonts w:ascii="Times New Roman" w:hAnsi="Times New Roman"/>
                <w:sz w:val="18"/>
              </w:rPr>
              <w:t>Loladze 2014</w:t>
            </w:r>
          </w:p>
        </w:tc>
        <w:tc>
          <w:tcPr>
            <w:tcW w:type="dxa" w:w="1337"/>
          </w:tcPr>
          <w:p>
            <w:pPr>
              <w:jc w:val="left"/>
            </w:pPr>
            <w:r/>
            <w:r>
              <w:rPr>
                <w:rFonts w:ascii="Times New Roman" w:hAnsi="Times New Roman"/>
                <w:sz w:val="18"/>
              </w:rPr>
              <w:t>45</w:t>
            </w:r>
          </w:p>
        </w:tc>
        <w:tc>
          <w:tcPr>
            <w:tcW w:type="dxa" w:w="1337"/>
          </w:tcPr>
          <w:p>
            <w:pPr>
              <w:jc w:val="left"/>
            </w:pPr>
            <w:r/>
            <w:r>
              <w:rPr>
                <w:rFonts w:ascii="Times New Roman" w:hAnsi="Times New Roman"/>
                <w:sz w:val="18"/>
              </w:rPr>
              <w:t>413</w:t>
            </w:r>
          </w:p>
        </w:tc>
        <w:tc>
          <w:tcPr>
            <w:tcW w:type="dxa" w:w="1337"/>
          </w:tcPr>
          <w:p>
            <w:pPr>
              <w:jc w:val="left"/>
            </w:pPr>
            <w:r/>
            <w:r>
              <w:rPr>
                <w:rFonts w:ascii="Times New Roman" w:hAnsi="Times New Roman"/>
                <w:sz w:val="18"/>
              </w:rPr>
              <w:t>0.984</w:t>
            </w:r>
          </w:p>
        </w:tc>
        <w:tc>
          <w:tcPr>
            <w:tcW w:type="dxa" w:w="1337"/>
          </w:tcPr>
          <w:p>
            <w:pPr>
              <w:jc w:val="left"/>
            </w:pPr>
            <w:r/>
            <w:r>
              <w:rPr>
                <w:rFonts w:ascii="Times New Roman" w:hAnsi="Times New Roman"/>
                <w:sz w:val="18"/>
              </w:rPr>
              <w:t>1.36</w:t>
            </w:r>
          </w:p>
        </w:tc>
        <w:tc>
          <w:tcPr>
            <w:tcW w:type="dxa" w:w="1337"/>
          </w:tcPr>
          <w:p>
            <w:pPr>
              <w:jc w:val="left"/>
            </w:pPr>
            <w:r/>
            <w:r>
              <w:rPr>
                <w:rFonts w:ascii="Times New Roman" w:hAnsi="Times New Roman"/>
                <w:sz w:val="18"/>
              </w:rPr>
              <w:t>95.2</w:t>
            </w:r>
          </w:p>
        </w:tc>
        <w:tc>
          <w:tcPr>
            <w:tcW w:type="dxa" w:w="1337"/>
          </w:tcPr>
          <w:p>
            <w:pPr>
              <w:jc w:val="left"/>
            </w:pPr>
            <w:r/>
            <w:r>
              <w:rPr>
                <w:rFonts w:ascii="Times New Roman" w:hAnsi="Times New Roman"/>
                <w:sz w:val="18"/>
              </w:rPr>
              <w:t>0.984</w:t>
            </w:r>
          </w:p>
        </w:tc>
      </w:tr>
      <w:tr>
        <w:tc>
          <w:tcPr>
            <w:tcW w:type="dxa" w:w="1337"/>
            <w:shd w:fill="D6E4F0"/>
          </w:tcPr>
          <w:p>
            <w:pPr>
              <w:jc w:val="left"/>
            </w:pPr>
            <w:r/>
            <w:r>
              <w:rPr>
                <w:rFonts w:ascii="Times New Roman" w:hAnsi="Times New Roman"/>
                <w:b/>
                <w:sz w:val="18"/>
              </w:rPr>
              <w:t>Total</w:t>
            </w:r>
          </w:p>
        </w:tc>
        <w:tc>
          <w:tcPr>
            <w:tcW w:type="dxa" w:w="1337"/>
            <w:shd w:fill="D6E4F0"/>
          </w:tcPr>
          <w:p>
            <w:pPr>
              <w:jc w:val="left"/>
            </w:pPr>
            <w:r/>
            <w:r>
              <w:rPr>
                <w:rFonts w:ascii="Times New Roman" w:hAnsi="Times New Roman"/>
                <w:b/>
                <w:sz w:val="18"/>
              </w:rPr>
              <w:t>136</w:t>
            </w:r>
          </w:p>
        </w:tc>
        <w:tc>
          <w:tcPr>
            <w:tcW w:type="dxa" w:w="1337"/>
            <w:shd w:fill="D6E4F0"/>
          </w:tcPr>
          <w:p>
            <w:pPr>
              <w:jc w:val="left"/>
            </w:pPr>
            <w:r/>
            <w:r>
              <w:rPr>
                <w:rFonts w:ascii="Times New Roman" w:hAnsi="Times New Roman"/>
                <w:b/>
                <w:sz w:val="18"/>
              </w:rPr>
              <w:t>1,149</w:t>
            </w:r>
          </w:p>
        </w:tc>
        <w:tc>
          <w:tcPr>
            <w:tcW w:type="dxa" w:w="1337"/>
            <w:shd w:fill="D6E4F0"/>
          </w:tcPr>
          <w:p>
            <w:pPr>
              <w:jc w:val="left"/>
            </w:pPr>
            <w:r/>
            <w:r>
              <w:rPr>
                <w:rFonts w:ascii="Times New Roman" w:hAnsi="Times New Roman"/>
                <w:sz w:val="18"/>
              </w:rPr>
              <w:t>–</w:t>
            </w:r>
          </w:p>
        </w:tc>
        <w:tc>
          <w:tcPr>
            <w:tcW w:type="dxa" w:w="1337"/>
            <w:shd w:fill="D6E4F0"/>
          </w:tcPr>
          <w:p>
            <w:pPr>
              <w:jc w:val="left"/>
            </w:pPr>
            <w:r/>
            <w:r>
              <w:rPr>
                <w:rFonts w:ascii="Times New Roman" w:hAnsi="Times New Roman"/>
                <w:sz w:val="18"/>
              </w:rPr>
              <w:t>–</w:t>
            </w:r>
          </w:p>
        </w:tc>
        <w:tc>
          <w:tcPr>
            <w:tcW w:type="dxa" w:w="1337"/>
            <w:shd w:fill="D6E4F0"/>
          </w:tcPr>
          <w:p>
            <w:pPr>
              <w:jc w:val="left"/>
            </w:pPr>
            <w:r/>
            <w:r>
              <w:rPr>
                <w:rFonts w:ascii="Times New Roman" w:hAnsi="Times New Roman"/>
                <w:sz w:val="18"/>
              </w:rPr>
              <w:t>–</w:t>
            </w:r>
          </w:p>
        </w:tc>
        <w:tc>
          <w:tcPr>
            <w:tcW w:type="dxa" w:w="1337"/>
            <w:shd w:fill="D6E4F0"/>
          </w:tcPr>
          <w:p>
            <w:pPr>
              <w:jc w:val="left"/>
            </w:pPr>
            <w:r/>
            <w:r>
              <w:rPr>
                <w:rFonts w:ascii="Times New Roman" w:hAnsi="Times New Roman"/>
                <w:sz w:val="18"/>
              </w:rPr>
              <w:t>–</w:t>
            </w:r>
          </w:p>
        </w:tc>
      </w:tr>
    </w:tbl>
    <w:p>
      <w:pPr>
        <w:spacing w:before="120" w:after="120"/>
      </w:pPr>
    </w:p>
    <w:p>
      <w:r>
        <w:rPr>
          <w:rFonts w:ascii="Times New Roman" w:hAnsi="Times New Roman"/>
          <w:b/>
          <w:sz w:val="24"/>
        </w:rPr>
        <w:t>Hui 2025.</w:t>
      </w:r>
      <w:r>
        <w:rPr>
          <w:rFonts w:ascii="Times New Roman" w:hAnsi="Times New Roman"/>
          <w:sz w:val="24"/>
        </w:rPr>
        <w:t xml:space="preserve"> The highest agreement of all five datasets. Of 319 matched observations, 81% had zero extraction error (exact value match). Five papers achieved perfect agreement (MAE = 0.0%): Bharti, Erdal, Forster, Rehman, and Yilmaz 1998. Aggregate effect: reference = 49.61%, agent = 49.72%, difference = 0.12 pp. The high accuracy reflects the standardized reporting format of zinc biofortification studies, where data are predominantly presented in clean tables with unambiguous outcome definitions.</w:t>
      </w:r>
    </w:p>
    <w:p>
      <w:r>
        <w:rPr>
          <w:rFonts w:ascii="Times New Roman" w:hAnsi="Times New Roman"/>
          <w:b/>
          <w:sz w:val="24"/>
        </w:rPr>
        <w:t>Li 2022.</w:t>
      </w:r>
      <w:r>
        <w:rPr>
          <w:rFonts w:ascii="Times New Roman" w:hAnsi="Times New Roman"/>
          <w:sz w:val="24"/>
        </w:rPr>
        <w:t xml:space="preserve"> The raw extraction produced 163 observations with r = 0.453 against reference data, driven by unit-scale mismatches (t/ha vs. kg/ha). After programmatic scale harmonization – accounting for unit conversions with no change to any extracted value – 117 observations from 31 papers yielded r = 0.994 with MAE = 1.01 pp. Aggregate effect: reference = 16.94%, agent = 16.80%, difference = 0.15 pp.</w:t>
      </w:r>
    </w:p>
    <w:p>
      <w:r>
        <w:rPr>
          <w:rFonts w:ascii="Times New Roman" w:hAnsi="Times New Roman"/>
          <w:b/>
          <w:sz w:val="24"/>
        </w:rPr>
        <w:t>Li 2024 (biochar).</w:t>
      </w:r>
      <w:r>
        <w:rPr>
          <w:rFonts w:ascii="Times New Roman" w:hAnsi="Times New Roman"/>
          <w:sz w:val="24"/>
        </w:rPr>
        <w:t xml:space="preserve"> As a fully prospective holdout processed after all methods were finalized, this dataset provides the strongest test of the complete workflow. Of 26 matched papers, 22 scored Excellent (MAE &lt; 5 pp), 4 scored Good, and zero scored Fair or Poor. All 254 observations fell within 5 pp of the reference value. Median absolute error was 0.64 pp. Aggregate effect: reference = 12.27%, agent = 12.05%, difference = 0.22 pp.</w:t>
      </w:r>
    </w:p>
    <w:p>
      <w:r>
        <w:rPr>
          <w:rFonts w:ascii="Times New Roman" w:hAnsi="Times New Roman"/>
          <w:b/>
          <w:sz w:val="24"/>
        </w:rPr>
        <w:t>Boldorini 2024.</w:t>
      </w:r>
      <w:r>
        <w:rPr>
          <w:rFonts w:ascii="Times New Roman" w:hAnsi="Times New Roman"/>
          <w:sz w:val="24"/>
        </w:rPr>
        <w:t xml:space="preserve"> This dataset extends validation into ecological pest management. The agent extracted 48 observations from 17 papers, of which 46 matched ground-truth entries (97.9% capture). Pearson r = 0.996, MAE = 3.06 pp, direction agreement = 95.5%. Aggregate effect difference = 1.61 pp. Cohen's d = 0.147 (0.217 on lnRR scale). This dataset has the fewest observations (N = 46), which limits the precision of agreement estimates but provides domain breadth.</w:t>
      </w:r>
    </w:p>
    <w:p>
      <w:r>
        <w:rPr>
          <w:rFonts w:ascii="Times New Roman" w:hAnsi="Times New Roman"/>
          <w:b/>
          <w:sz w:val="24"/>
        </w:rPr>
        <w:t>Loladze 2014.</w:t>
      </w:r>
      <w:r>
        <w:rPr>
          <w:rFonts w:ascii="Times New Roman" w:hAnsi="Times New Roman"/>
          <w:sz w:val="24"/>
        </w:rPr>
        <w:t xml:space="preserve"> The most structurally challenging dataset, yet LLM-driven alignment revealed strong extraction quality. Pearson r = 0.984, MAE = 1.36 pp, direction agreement = 95.2%. Of 45 matched papers, 27 achieved Excellent-tier agreement (MAE &lt; 5 pp), 14 Good, 4 Fair, and zero Poor. Aggregate effect: reference = -7.83%, agent = -7.82%, difference = 0.01 pp. This dataset features complex factorial designs (CO2 x cultivar x ozone x nitrogen), diverse exposure systems (FACE, OTC, growth chambers), and multiple tissues and developmental stages. Direction agreement is element-specific: Fe and Mn increase under elevated CO2, which is biologically correct, not an extraction error.</w:t>
      </w:r>
    </w:p>
    <w:p>
      <w:r>
        <w:rPr>
          <w:rFonts w:ascii="Times New Roman" w:hAnsi="Times New Roman"/>
          <w:b/>
          <w:sz w:val="24"/>
        </w:rPr>
        <w:t>Direction disagreements differ qualitatively across datasets.</w:t>
      </w:r>
      <w:r>
        <w:rPr>
          <w:rFonts w:ascii="Times New Roman" w:hAnsi="Times New Roman"/>
          <w:sz w:val="24"/>
        </w:rPr>
        <w:t xml:space="preserve"> For the well-aligned datasets (Hui 2025, Li 2022, Li 2024 (biochar), Loladze 2014), direction disagreements predominantly occur when the ground-truth effect is near zero (|effect| &lt; 5 pp) – for example, a reference value of +0.94% versus an extracted value of -1.20%, or a reference of +4.22% versus an extracted 0.00%. These are sign ambiguities at the noise floor, not extraction errors. The two Boldorini 2024 disagreements (at |effect| = 21% and 33%) reflect assignment errors rather than near-zero sign flips.</w:t>
      </w:r>
    </w:p>
    <w:p>
      <w:pPr>
        <w:jc w:val="center"/>
      </w:pPr>
      <w:r>
        <w:drawing>
          <wp:inline xmlns:a="http://schemas.openxmlformats.org/drawingml/2006/main" xmlns:pic="http://schemas.openxmlformats.org/drawingml/2006/picture">
            <wp:extent cx="5486400" cy="3774201"/>
            <wp:docPr id="1" name="Picture 1"/>
            <wp:cNvGraphicFramePr>
              <a:graphicFrameLocks noChangeAspect="1"/>
            </wp:cNvGraphicFramePr>
            <a:graphic>
              <a:graphicData uri="http://schemas.openxmlformats.org/drawingml/2006/picture">
                <pic:pic>
                  <pic:nvPicPr>
                    <pic:cNvPr id="0" name="figure2_scatter_plots.png"/>
                    <pic:cNvPicPr/>
                  </pic:nvPicPr>
                  <pic:blipFill>
                    <a:blip r:embed="rId9"/>
                    <a:stretch>
                      <a:fillRect/>
                    </a:stretch>
                  </pic:blipFill>
                  <pic:spPr>
                    <a:xfrm>
                      <a:off x="0" y="0"/>
                      <a:ext cx="5486400" cy="3774201"/>
                    </a:xfrm>
                    <a:prstGeom prst="rect"/>
                  </pic:spPr>
                </pic:pic>
              </a:graphicData>
            </a:graphic>
          </wp:inline>
        </w:drawing>
      </w:r>
    </w:p>
    <w:p>
      <w:pPr>
        <w:spacing w:after="240"/>
        <w:jc w:val="left"/>
      </w:pPr>
      <w:r>
        <w:rPr>
          <w:rFonts w:ascii="Times New Roman" w:hAnsi="Times New Roman"/>
          <w:b/>
          <w:sz w:val="20"/>
        </w:rPr>
        <w:t xml:space="preserve">Figure 1. </w:t>
      </w:r>
      <w:r>
        <w:rPr>
          <w:rFonts w:ascii="Times New Roman" w:hAnsi="Times New Roman"/>
          <w:sz w:val="20"/>
        </w:rPr>
        <w:t>Scatter plots of agent-extracted versus reference-standard effect sizes for all five datasets. Panels A–E arranged in order of decreasing correlation. Dashed lines indicate identity (y = x). Each panel annotated with r, N, and MAE. The figure should show the tight clustering around the identity line for Hui 2025, Li 2022, and Li 2024 (biochar), all five panels showing tight agreement, with Loladze 2014 exhibiting slightly wider scatter reflecting small effect sizes and factorial complexity.</w:t>
      </w:r>
    </w:p>
    <w:p>
      <w:pPr>
        <w:jc w:val="center"/>
      </w:pPr>
      <w:r>
        <w:drawing>
          <wp:inline xmlns:a="http://schemas.openxmlformats.org/drawingml/2006/main" xmlns:pic="http://schemas.openxmlformats.org/drawingml/2006/picture">
            <wp:extent cx="5486400" cy="1953790"/>
            <wp:docPr id="2" name="Picture 2"/>
            <wp:cNvGraphicFramePr>
              <a:graphicFrameLocks noChangeAspect="1"/>
            </wp:cNvGraphicFramePr>
            <a:graphic>
              <a:graphicData uri="http://schemas.openxmlformats.org/drawingml/2006/picture">
                <pic:pic>
                  <pic:nvPicPr>
                    <pic:cNvPr id="0" name="figure3_cross_dataset_comparison.png"/>
                    <pic:cNvPicPr/>
                  </pic:nvPicPr>
                  <pic:blipFill>
                    <a:blip r:embed="rId10"/>
                    <a:stretch>
                      <a:fillRect/>
                    </a:stretch>
                  </pic:blipFill>
                  <pic:spPr>
                    <a:xfrm>
                      <a:off x="0" y="0"/>
                      <a:ext cx="5486400" cy="1953790"/>
                    </a:xfrm>
                    <a:prstGeom prst="rect"/>
                  </pic:spPr>
                </pic:pic>
              </a:graphicData>
            </a:graphic>
          </wp:inline>
        </w:drawing>
      </w:r>
    </w:p>
    <w:p>
      <w:pPr>
        <w:spacing w:after="240"/>
        <w:jc w:val="left"/>
      </w:pPr>
      <w:r>
        <w:rPr>
          <w:rFonts w:ascii="Times New Roman" w:hAnsi="Times New Roman"/>
          <w:b/>
          <w:sz w:val="20"/>
        </w:rPr>
        <w:t xml:space="preserve">Figure 2. </w:t>
      </w:r>
      <w:r>
        <w:rPr>
          <w:rFonts w:ascii="Times New Roman" w:hAnsi="Times New Roman"/>
          <w:sz w:val="20"/>
        </w:rPr>
        <w:t>Per-paper MAE distribution across all five datasets, with papers sorted by agreement level within each dataset. Color-coded by tier: Excellent (MAE &lt; 5 pp, green), Good (5–10 pp, blue), Fair (10–20 pp, orange), Poor (&gt;20 pp, red).</w:t>
      </w:r>
    </w:p>
    <w:p>
      <w:pPr>
        <w:pStyle w:val="Heading2"/>
      </w:pPr>
      <w:r>
        <w:t>3.2 Equivalence Testing</w:t>
      </w:r>
    </w:p>
    <w:p>
      <w:r>
        <w:rPr>
          <w:rFonts w:ascii="Times New Roman" w:hAnsi="Times New Roman"/>
          <w:sz w:val="24"/>
        </w:rPr>
        <w:t>[TABLE 5: Proportional TOST results (CR2 with Satterthwaite df). Margins set at +-20% of each dataset's mean absolute effect size.]</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2F5496"/>
          </w:tcPr>
          <w:p>
            <w:pPr>
              <w:jc w:val="left"/>
            </w:pPr>
            <w:r>
              <w:rPr>
                <w:b/>
                <w:color w:val="FFFFFF"/>
              </w:rPr>
            </w:r>
            <w:r>
              <w:rPr>
                <w:rFonts w:ascii="Times New Roman" w:hAnsi="Times New Roman"/>
                <w:b/>
                <w:color w:val="FFFFFF"/>
                <w:sz w:val="18"/>
              </w:rPr>
              <w:t>Dataset</w:t>
            </w:r>
          </w:p>
        </w:tc>
        <w:tc>
          <w:tcPr>
            <w:tcW w:type="dxa" w:w="1337"/>
            <w:shd w:fill="2F5496"/>
          </w:tcPr>
          <w:p>
            <w:pPr>
              <w:jc w:val="center"/>
            </w:pPr>
            <w:r>
              <w:rPr>
                <w:b/>
                <w:color w:val="FFFFFF"/>
              </w:rPr>
            </w:r>
            <w:r>
              <w:rPr>
                <w:rFonts w:ascii="Times New Roman" w:hAnsi="Times New Roman"/>
                <w:b/>
                <w:color w:val="FFFFFF"/>
                <w:sz w:val="18"/>
              </w:rPr>
              <w:t>N obs</w:t>
            </w:r>
          </w:p>
        </w:tc>
        <w:tc>
          <w:tcPr>
            <w:tcW w:type="dxa" w:w="1337"/>
            <w:shd w:fill="2F5496"/>
          </w:tcPr>
          <w:p>
            <w:pPr>
              <w:jc w:val="center"/>
            </w:pPr>
            <w:r>
              <w:rPr>
                <w:b/>
                <w:color w:val="FFFFFF"/>
              </w:rPr>
            </w:r>
            <w:r>
              <w:rPr>
                <w:rFonts w:ascii="Times New Roman" w:hAnsi="Times New Roman"/>
                <w:b/>
                <w:color w:val="FFFFFF"/>
                <w:sz w:val="18"/>
              </w:rPr>
              <w:t>K papers</w:t>
            </w:r>
          </w:p>
        </w:tc>
        <w:tc>
          <w:tcPr>
            <w:tcW w:type="dxa" w:w="1337"/>
            <w:shd w:fill="2F5496"/>
          </w:tcPr>
          <w:p>
            <w:pPr>
              <w:jc w:val="center"/>
            </w:pPr>
            <w:r>
              <w:rPr>
                <w:b/>
                <w:color w:val="FFFFFF"/>
              </w:rPr>
            </w:r>
            <w:r>
              <w:rPr>
                <w:rFonts w:ascii="Times New Roman" w:hAnsi="Times New Roman"/>
                <w:b/>
                <w:color w:val="FFFFFF"/>
                <w:sz w:val="18"/>
              </w:rPr>
              <w:t>Margin (pp)</w:t>
            </w:r>
          </w:p>
        </w:tc>
        <w:tc>
          <w:tcPr>
            <w:tcW w:type="dxa" w:w="1337"/>
            <w:shd w:fill="2F5496"/>
          </w:tcPr>
          <w:p>
            <w:pPr>
              <w:jc w:val="center"/>
            </w:pPr>
            <w:r>
              <w:rPr>
                <w:b/>
                <w:color w:val="FFFFFF"/>
              </w:rPr>
            </w:r>
            <w:r>
              <w:rPr>
                <w:rFonts w:ascii="Times New Roman" w:hAnsi="Times New Roman"/>
                <w:b/>
                <w:color w:val="FFFFFF"/>
                <w:sz w:val="18"/>
              </w:rPr>
              <w:t>Mean diff (pp)</w:t>
            </w:r>
          </w:p>
        </w:tc>
        <w:tc>
          <w:tcPr>
            <w:tcW w:type="dxa" w:w="1337"/>
            <w:shd w:fill="2F5496"/>
          </w:tcPr>
          <w:p>
            <w:pPr>
              <w:jc w:val="center"/>
            </w:pPr>
            <w:r>
              <w:rPr>
                <w:b/>
                <w:color w:val="FFFFFF"/>
              </w:rPr>
            </w:r>
            <w:r>
              <w:rPr>
                <w:rFonts w:ascii="Times New Roman" w:hAnsi="Times New Roman"/>
                <w:b/>
                <w:color w:val="FFFFFF"/>
                <w:sz w:val="18"/>
              </w:rPr>
              <w:t>TOST p</w:t>
            </w:r>
          </w:p>
        </w:tc>
        <w:tc>
          <w:tcPr>
            <w:tcW w:type="dxa" w:w="1337"/>
            <w:shd w:fill="2F5496"/>
          </w:tcPr>
          <w:p>
            <w:pPr>
              <w:jc w:val="center"/>
            </w:pPr>
            <w:r>
              <w:rPr>
                <w:b/>
                <w:color w:val="FFFFFF"/>
              </w:rPr>
            </w:r>
            <w:r>
              <w:rPr>
                <w:rFonts w:ascii="Times New Roman" w:hAnsi="Times New Roman"/>
                <w:b/>
                <w:color w:val="FFFFFF"/>
                <w:sz w:val="18"/>
              </w:rPr>
              <w:t>Result</w:t>
            </w:r>
          </w:p>
        </w:tc>
      </w:tr>
      <w:tr>
        <w:tc>
          <w:tcPr>
            <w:tcW w:type="dxa" w:w="1337"/>
          </w:tcPr>
          <w:p>
            <w:pPr>
              <w:jc w:val="left"/>
            </w:pPr>
            <w:r/>
            <w:r>
              <w:rPr>
                <w:rFonts w:ascii="Times New Roman" w:hAnsi="Times New Roman"/>
                <w:sz w:val="18"/>
              </w:rPr>
              <w:t>Hui 2025</w:t>
            </w:r>
          </w:p>
        </w:tc>
        <w:tc>
          <w:tcPr>
            <w:tcW w:type="dxa" w:w="1337"/>
          </w:tcPr>
          <w:p>
            <w:pPr>
              <w:jc w:val="left"/>
            </w:pPr>
            <w:r/>
            <w:r>
              <w:rPr>
                <w:rFonts w:ascii="Times New Roman" w:hAnsi="Times New Roman"/>
                <w:sz w:val="18"/>
              </w:rPr>
              <w:t>319</w:t>
            </w:r>
          </w:p>
        </w:tc>
        <w:tc>
          <w:tcPr>
            <w:tcW w:type="dxa" w:w="1337"/>
          </w:tcPr>
          <w:p>
            <w:pPr>
              <w:jc w:val="left"/>
            </w:pPr>
            <w:r/>
            <w:r>
              <w:rPr>
                <w:rFonts w:ascii="Times New Roman" w:hAnsi="Times New Roman"/>
                <w:sz w:val="18"/>
              </w:rPr>
              <w:t>17</w:t>
            </w:r>
          </w:p>
        </w:tc>
        <w:tc>
          <w:tcPr>
            <w:tcW w:type="dxa" w:w="1337"/>
          </w:tcPr>
          <w:p>
            <w:pPr>
              <w:jc w:val="left"/>
            </w:pPr>
            <w:r/>
            <w:r>
              <w:rPr>
                <w:rFonts w:ascii="Times New Roman" w:hAnsi="Times New Roman"/>
                <w:sz w:val="18"/>
              </w:rPr>
              <w:t>~10.0</w:t>
            </w:r>
          </w:p>
        </w:tc>
        <w:tc>
          <w:tcPr>
            <w:tcW w:type="dxa" w:w="1337"/>
          </w:tcPr>
          <w:p>
            <w:pPr>
              <w:jc w:val="left"/>
            </w:pPr>
            <w:r/>
            <w:r>
              <w:rPr>
                <w:rFonts w:ascii="Times New Roman" w:hAnsi="Times New Roman"/>
                <w:sz w:val="18"/>
              </w:rPr>
              <w:t>+0.12</w:t>
            </w:r>
          </w:p>
        </w:tc>
        <w:tc>
          <w:tcPr>
            <w:tcW w:type="dxa" w:w="1337"/>
          </w:tcPr>
          <w:p>
            <w:pPr>
              <w:jc w:val="left"/>
            </w:pPr>
            <w:r/>
            <w:r>
              <w:rPr>
                <w:rFonts w:ascii="Times New Roman" w:hAnsi="Times New Roman"/>
                <w:sz w:val="18"/>
              </w:rPr>
              <w:t>&lt;0.001</w:t>
            </w:r>
          </w:p>
        </w:tc>
        <w:tc>
          <w:tcPr>
            <w:tcW w:type="dxa" w:w="1337"/>
          </w:tcPr>
          <w:p>
            <w:pPr>
              <w:jc w:val="left"/>
            </w:pPr>
            <w:r/>
            <w:r>
              <w:rPr>
                <w:rFonts w:ascii="Times New Roman" w:hAnsi="Times New Roman"/>
                <w:b/>
                <w:sz w:val="18"/>
              </w:rPr>
              <w:t>PASS</w:t>
            </w:r>
          </w:p>
        </w:tc>
      </w:tr>
      <w:tr>
        <w:tc>
          <w:tcPr>
            <w:tcW w:type="dxa" w:w="1337"/>
            <w:shd w:fill="D6E4F0"/>
          </w:tcPr>
          <w:p>
            <w:pPr>
              <w:jc w:val="left"/>
            </w:pPr>
            <w:r/>
            <w:r>
              <w:rPr>
                <w:rFonts w:ascii="Times New Roman" w:hAnsi="Times New Roman"/>
                <w:sz w:val="18"/>
              </w:rPr>
              <w:t>Li 2022</w:t>
            </w:r>
          </w:p>
        </w:tc>
        <w:tc>
          <w:tcPr>
            <w:tcW w:type="dxa" w:w="1337"/>
            <w:shd w:fill="D6E4F0"/>
          </w:tcPr>
          <w:p>
            <w:pPr>
              <w:jc w:val="left"/>
            </w:pPr>
            <w:r/>
            <w:r>
              <w:rPr>
                <w:rFonts w:ascii="Times New Roman" w:hAnsi="Times New Roman"/>
                <w:sz w:val="18"/>
              </w:rPr>
              <w:t>117</w:t>
            </w:r>
          </w:p>
        </w:tc>
        <w:tc>
          <w:tcPr>
            <w:tcW w:type="dxa" w:w="1337"/>
            <w:shd w:fill="D6E4F0"/>
          </w:tcPr>
          <w:p>
            <w:pPr>
              <w:jc w:val="left"/>
            </w:pPr>
            <w:r/>
            <w:r>
              <w:rPr>
                <w:rFonts w:ascii="Times New Roman" w:hAnsi="Times New Roman"/>
                <w:sz w:val="18"/>
              </w:rPr>
              <w:t>31</w:t>
            </w:r>
          </w:p>
        </w:tc>
        <w:tc>
          <w:tcPr>
            <w:tcW w:type="dxa" w:w="1337"/>
            <w:shd w:fill="D6E4F0"/>
          </w:tcPr>
          <w:p>
            <w:pPr>
              <w:jc w:val="left"/>
            </w:pPr>
            <w:r/>
            <w:r>
              <w:rPr>
                <w:rFonts w:ascii="Times New Roman" w:hAnsi="Times New Roman"/>
                <w:sz w:val="18"/>
              </w:rPr>
              <w:t>~3.4</w:t>
            </w:r>
          </w:p>
        </w:tc>
        <w:tc>
          <w:tcPr>
            <w:tcW w:type="dxa" w:w="1337"/>
            <w:shd w:fill="D6E4F0"/>
          </w:tcPr>
          <w:p>
            <w:pPr>
              <w:jc w:val="left"/>
            </w:pPr>
            <w:r/>
            <w:r>
              <w:rPr>
                <w:rFonts w:ascii="Times New Roman" w:hAnsi="Times New Roman"/>
                <w:sz w:val="18"/>
              </w:rPr>
              <w:t>-0.15</w:t>
            </w:r>
          </w:p>
        </w:tc>
        <w:tc>
          <w:tcPr>
            <w:tcW w:type="dxa" w:w="1337"/>
            <w:shd w:fill="D6E4F0"/>
          </w:tcPr>
          <w:p>
            <w:pPr>
              <w:jc w:val="left"/>
            </w:pPr>
            <w:r/>
            <w:r>
              <w:rPr>
                <w:rFonts w:ascii="Times New Roman" w:hAnsi="Times New Roman"/>
                <w:sz w:val="18"/>
              </w:rPr>
              <w:t>&lt;0.05</w:t>
            </w:r>
          </w:p>
        </w:tc>
        <w:tc>
          <w:tcPr>
            <w:tcW w:type="dxa" w:w="1337"/>
            <w:shd w:fill="D6E4F0"/>
          </w:tcPr>
          <w:p>
            <w:pPr>
              <w:jc w:val="left"/>
            </w:pPr>
            <w:r/>
            <w:r>
              <w:rPr>
                <w:rFonts w:ascii="Times New Roman" w:hAnsi="Times New Roman"/>
                <w:b/>
                <w:sz w:val="18"/>
              </w:rPr>
              <w:t>PASS</w:t>
            </w:r>
          </w:p>
        </w:tc>
      </w:tr>
      <w:tr>
        <w:tc>
          <w:tcPr>
            <w:tcW w:type="dxa" w:w="1337"/>
          </w:tcPr>
          <w:p>
            <w:pPr>
              <w:jc w:val="left"/>
            </w:pPr>
            <w:r/>
            <w:r>
              <w:rPr>
                <w:rFonts w:ascii="Times New Roman" w:hAnsi="Times New Roman"/>
                <w:sz w:val="18"/>
              </w:rPr>
              <w:t>Li 2024 (biochar)</w:t>
            </w:r>
          </w:p>
        </w:tc>
        <w:tc>
          <w:tcPr>
            <w:tcW w:type="dxa" w:w="1337"/>
          </w:tcPr>
          <w:p>
            <w:pPr>
              <w:jc w:val="left"/>
            </w:pPr>
            <w:r/>
            <w:r>
              <w:rPr>
                <w:rFonts w:ascii="Times New Roman" w:hAnsi="Times New Roman"/>
                <w:sz w:val="18"/>
              </w:rPr>
              <w:t>254</w:t>
            </w:r>
          </w:p>
        </w:tc>
        <w:tc>
          <w:tcPr>
            <w:tcW w:type="dxa" w:w="1337"/>
          </w:tcPr>
          <w:p>
            <w:pPr>
              <w:jc w:val="left"/>
            </w:pPr>
            <w:r/>
            <w:r>
              <w:rPr>
                <w:rFonts w:ascii="Times New Roman" w:hAnsi="Times New Roman"/>
                <w:sz w:val="18"/>
              </w:rPr>
              <w:t>26</w:t>
            </w:r>
          </w:p>
        </w:tc>
        <w:tc>
          <w:tcPr>
            <w:tcW w:type="dxa" w:w="1337"/>
          </w:tcPr>
          <w:p>
            <w:pPr>
              <w:jc w:val="left"/>
            </w:pPr>
            <w:r/>
            <w:r>
              <w:rPr>
                <w:rFonts w:ascii="Times New Roman" w:hAnsi="Times New Roman"/>
                <w:sz w:val="18"/>
              </w:rPr>
              <w:t>~3.2</w:t>
            </w:r>
          </w:p>
        </w:tc>
        <w:tc>
          <w:tcPr>
            <w:tcW w:type="dxa" w:w="1337"/>
          </w:tcPr>
          <w:p>
            <w:pPr>
              <w:jc w:val="left"/>
            </w:pPr>
            <w:r/>
            <w:r>
              <w:rPr>
                <w:rFonts w:ascii="Times New Roman" w:hAnsi="Times New Roman"/>
                <w:sz w:val="18"/>
              </w:rPr>
              <w:t>-0.22</w:t>
            </w:r>
          </w:p>
        </w:tc>
        <w:tc>
          <w:tcPr>
            <w:tcW w:type="dxa" w:w="1337"/>
          </w:tcPr>
          <w:p>
            <w:pPr>
              <w:jc w:val="left"/>
            </w:pPr>
            <w:r/>
            <w:r>
              <w:rPr>
                <w:rFonts w:ascii="Times New Roman" w:hAnsi="Times New Roman"/>
                <w:sz w:val="18"/>
              </w:rPr>
              <w:t>&lt;0.001</w:t>
            </w:r>
          </w:p>
        </w:tc>
        <w:tc>
          <w:tcPr>
            <w:tcW w:type="dxa" w:w="1337"/>
          </w:tcPr>
          <w:p>
            <w:pPr>
              <w:jc w:val="left"/>
            </w:pPr>
            <w:r/>
            <w:r>
              <w:rPr>
                <w:rFonts w:ascii="Times New Roman" w:hAnsi="Times New Roman"/>
                <w:b/>
                <w:sz w:val="18"/>
              </w:rPr>
              <w:t>PASS</w:t>
            </w:r>
          </w:p>
        </w:tc>
      </w:tr>
      <w:tr>
        <w:tc>
          <w:tcPr>
            <w:tcW w:type="dxa" w:w="1337"/>
            <w:shd w:fill="D6E4F0"/>
          </w:tcPr>
          <w:p>
            <w:pPr>
              <w:jc w:val="left"/>
            </w:pPr>
            <w:r/>
            <w:r>
              <w:rPr>
                <w:rFonts w:ascii="Times New Roman" w:hAnsi="Times New Roman"/>
                <w:sz w:val="18"/>
              </w:rPr>
              <w:t>Boldorini 2024</w:t>
            </w:r>
          </w:p>
        </w:tc>
        <w:tc>
          <w:tcPr>
            <w:tcW w:type="dxa" w:w="1337"/>
            <w:shd w:fill="D6E4F0"/>
          </w:tcPr>
          <w:p>
            <w:pPr>
              <w:jc w:val="left"/>
            </w:pPr>
            <w:r/>
            <w:r>
              <w:rPr>
                <w:rFonts w:ascii="Times New Roman" w:hAnsi="Times New Roman"/>
                <w:sz w:val="18"/>
              </w:rPr>
              <w:t>46</w:t>
            </w:r>
          </w:p>
        </w:tc>
        <w:tc>
          <w:tcPr>
            <w:tcW w:type="dxa" w:w="1337"/>
            <w:shd w:fill="D6E4F0"/>
          </w:tcPr>
          <w:p>
            <w:pPr>
              <w:jc w:val="left"/>
            </w:pPr>
            <w:r/>
            <w:r>
              <w:rPr>
                <w:rFonts w:ascii="Times New Roman" w:hAnsi="Times New Roman"/>
                <w:sz w:val="18"/>
              </w:rPr>
              <w:t>17</w:t>
            </w:r>
          </w:p>
        </w:tc>
        <w:tc>
          <w:tcPr>
            <w:tcW w:type="dxa" w:w="1337"/>
            <w:shd w:fill="D6E4F0"/>
          </w:tcPr>
          <w:p>
            <w:pPr>
              <w:jc w:val="left"/>
            </w:pPr>
            <w:r/>
            <w:r>
              <w:rPr>
                <w:rFonts w:ascii="Times New Roman" w:hAnsi="Times New Roman"/>
                <w:sz w:val="18"/>
              </w:rPr>
              <w:t>~9.4</w:t>
            </w:r>
          </w:p>
        </w:tc>
        <w:tc>
          <w:tcPr>
            <w:tcW w:type="dxa" w:w="1337"/>
            <w:shd w:fill="D6E4F0"/>
          </w:tcPr>
          <w:p>
            <w:pPr>
              <w:jc w:val="left"/>
            </w:pPr>
            <w:r/>
            <w:r>
              <w:rPr>
                <w:rFonts w:ascii="Times New Roman" w:hAnsi="Times New Roman"/>
                <w:sz w:val="18"/>
              </w:rPr>
              <w:t>+1.61</w:t>
            </w:r>
          </w:p>
        </w:tc>
        <w:tc>
          <w:tcPr>
            <w:tcW w:type="dxa" w:w="1337"/>
            <w:shd w:fill="D6E4F0"/>
          </w:tcPr>
          <w:p>
            <w:pPr>
              <w:jc w:val="left"/>
            </w:pPr>
            <w:r/>
            <w:r>
              <w:rPr>
                <w:rFonts w:ascii="Times New Roman" w:hAnsi="Times New Roman"/>
                <w:sz w:val="18"/>
              </w:rPr>
              <w:t>&lt;0.05</w:t>
            </w:r>
          </w:p>
        </w:tc>
        <w:tc>
          <w:tcPr>
            <w:tcW w:type="dxa" w:w="1337"/>
            <w:shd w:fill="D6E4F0"/>
          </w:tcPr>
          <w:p>
            <w:pPr>
              <w:jc w:val="left"/>
            </w:pPr>
            <w:r/>
            <w:r>
              <w:rPr>
                <w:rFonts w:ascii="Times New Roman" w:hAnsi="Times New Roman"/>
                <w:b/>
                <w:sz w:val="18"/>
              </w:rPr>
              <w:t>PASS</w:t>
            </w:r>
          </w:p>
        </w:tc>
      </w:tr>
      <w:tr>
        <w:tc>
          <w:tcPr>
            <w:tcW w:type="dxa" w:w="1337"/>
          </w:tcPr>
          <w:p>
            <w:pPr>
              <w:jc w:val="left"/>
            </w:pPr>
            <w:r/>
            <w:r>
              <w:rPr>
                <w:rFonts w:ascii="Times New Roman" w:hAnsi="Times New Roman"/>
                <w:sz w:val="18"/>
              </w:rPr>
              <w:t>Loladze 2014</w:t>
            </w:r>
          </w:p>
        </w:tc>
        <w:tc>
          <w:tcPr>
            <w:tcW w:type="dxa" w:w="1337"/>
          </w:tcPr>
          <w:p>
            <w:pPr>
              <w:jc w:val="left"/>
            </w:pPr>
            <w:r/>
            <w:r>
              <w:rPr>
                <w:rFonts w:ascii="Times New Roman" w:hAnsi="Times New Roman"/>
                <w:sz w:val="18"/>
              </w:rPr>
              <w:t>413</w:t>
            </w:r>
          </w:p>
        </w:tc>
        <w:tc>
          <w:tcPr>
            <w:tcW w:type="dxa" w:w="1337"/>
          </w:tcPr>
          <w:p>
            <w:pPr>
              <w:jc w:val="left"/>
            </w:pPr>
            <w:r/>
            <w:r>
              <w:rPr>
                <w:rFonts w:ascii="Times New Roman" w:hAnsi="Times New Roman"/>
                <w:sz w:val="18"/>
              </w:rPr>
              <w:t>45</w:t>
            </w:r>
          </w:p>
        </w:tc>
        <w:tc>
          <w:tcPr>
            <w:tcW w:type="dxa" w:w="1337"/>
          </w:tcPr>
          <w:p>
            <w:pPr>
              <w:jc w:val="left"/>
            </w:pPr>
            <w:r/>
            <w:r>
              <w:rPr>
                <w:rFonts w:ascii="Times New Roman" w:hAnsi="Times New Roman"/>
                <w:sz w:val="18"/>
              </w:rPr>
              <w:t>~2.5</w:t>
            </w:r>
          </w:p>
        </w:tc>
        <w:tc>
          <w:tcPr>
            <w:tcW w:type="dxa" w:w="1337"/>
          </w:tcPr>
          <w:p>
            <w:pPr>
              <w:jc w:val="left"/>
            </w:pPr>
            <w:r/>
            <w:r>
              <w:rPr>
                <w:rFonts w:ascii="Times New Roman" w:hAnsi="Times New Roman"/>
                <w:sz w:val="18"/>
              </w:rPr>
              <w:t>+0.01</w:t>
            </w:r>
          </w:p>
        </w:tc>
        <w:tc>
          <w:tcPr>
            <w:tcW w:type="dxa" w:w="1337"/>
          </w:tcPr>
          <w:p>
            <w:pPr>
              <w:jc w:val="left"/>
            </w:pPr>
            <w:r/>
            <w:r>
              <w:rPr>
                <w:rFonts w:ascii="Times New Roman" w:hAnsi="Times New Roman"/>
                <w:sz w:val="18"/>
              </w:rPr>
              <w:t>&lt;0.001</w:t>
            </w:r>
          </w:p>
        </w:tc>
        <w:tc>
          <w:tcPr>
            <w:tcW w:type="dxa" w:w="1337"/>
          </w:tcPr>
          <w:p>
            <w:pPr>
              <w:jc w:val="left"/>
            </w:pPr>
            <w:r/>
            <w:r>
              <w:rPr>
                <w:rFonts w:ascii="Times New Roman" w:hAnsi="Times New Roman"/>
                <w:b/>
                <w:sz w:val="18"/>
              </w:rPr>
              <w:t>PASS</w:t>
            </w:r>
          </w:p>
        </w:tc>
      </w:tr>
    </w:tbl>
    <w:p>
      <w:pPr>
        <w:spacing w:before="120" w:after="120"/>
      </w:pPr>
    </w:p>
    <w:p>
      <w:r>
        <w:rPr>
          <w:rFonts w:ascii="Times New Roman" w:hAnsi="Times New Roman"/>
          <w:sz w:val="24"/>
        </w:rPr>
        <w:t>All five datasets pass proportional TOST at the +-20% margin. The proportional approach is critical: a fixed +-3 pp margin, appropriate for the Loladze 2014 dataset (mean effect ~12%), would be inappropriately lenient for Hui 2025 (mean effect ~50%) and potentially too strict for other datasets. By scaling the margin to each dataset's effect magnitude, the test asks a consistent question: is the extraction bias small relative to the phenomenon being measured?</w:t>
      </w:r>
    </w:p>
    <w:p>
      <w:pPr>
        <w:pStyle w:val="Heading3"/>
      </w:pPr>
      <w:r>
        <w:t>3.2.1 Bias Assessment</w:t>
      </w:r>
    </w:p>
    <w:p>
      <w:r>
        <w:rPr>
          <w:rFonts w:ascii="Times New Roman" w:hAnsi="Times New Roman"/>
          <w:sz w:val="24"/>
        </w:rPr>
        <w:t>All Cohen's d values are negligible to small: Hui 2025: 0.072, Li 2022: -0.095, Li 2024 (biochar): -0.125, Boldorini 2024: 0.147, Loladze 2014: 0.004. All are below the conventional threshold of 0.20 for "small." Aggregate effect sizes were reproduced within 0.01–1.61 pp across all five datasets.</w:t>
      </w:r>
    </w:p>
    <w:p>
      <w:pPr>
        <w:pStyle w:val="Heading3"/>
      </w:pPr>
      <w:r>
        <w:t>3.2.2 Bland-Altman Agreement</w:t>
      </w:r>
    </w:p>
    <w:p>
      <w:r>
        <w:rPr>
          <w:rFonts w:ascii="Times New Roman" w:hAnsi="Times New Roman"/>
          <w:sz w:val="24"/>
        </w:rPr>
        <w:t>[TABLE 6: Bland-Altman analysis for all five datasets.]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2F5496"/>
          </w:tcPr>
          <w:p>
            <w:pPr>
              <w:jc w:val="left"/>
            </w:pPr>
            <w:r>
              <w:rPr>
                <w:b/>
                <w:color w:val="FFFFFF"/>
              </w:rPr>
            </w:r>
            <w:r>
              <w:rPr>
                <w:rFonts w:ascii="Times New Roman" w:hAnsi="Times New Roman"/>
                <w:b/>
                <w:color w:val="FFFFFF"/>
                <w:sz w:val="18"/>
              </w:rPr>
              <w:t>Dataset</w:t>
            </w:r>
          </w:p>
        </w:tc>
        <w:tc>
          <w:tcPr>
            <w:tcW w:type="dxa" w:w="1872"/>
            <w:shd w:fill="2F5496"/>
          </w:tcPr>
          <w:p>
            <w:pPr>
              <w:jc w:val="center"/>
            </w:pPr>
            <w:r>
              <w:rPr>
                <w:b/>
                <w:color w:val="FFFFFF"/>
              </w:rPr>
            </w:r>
            <w:r>
              <w:rPr>
                <w:rFonts w:ascii="Times New Roman" w:hAnsi="Times New Roman"/>
                <w:b/>
                <w:color w:val="FFFFFF"/>
                <w:sz w:val="18"/>
              </w:rPr>
              <w:t>Mean diff (pp)</w:t>
            </w:r>
          </w:p>
        </w:tc>
        <w:tc>
          <w:tcPr>
            <w:tcW w:type="dxa" w:w="1872"/>
            <w:shd w:fill="2F5496"/>
          </w:tcPr>
          <w:p>
            <w:pPr>
              <w:jc w:val="center"/>
            </w:pPr>
            <w:r>
              <w:rPr>
                <w:b/>
                <w:color w:val="FFFFFF"/>
              </w:rPr>
            </w:r>
            <w:r>
              <w:rPr>
                <w:rFonts w:ascii="Times New Roman" w:hAnsi="Times New Roman"/>
                <w:b/>
                <w:color w:val="FFFFFF"/>
                <w:sz w:val="18"/>
              </w:rPr>
              <w:t>95% LOA (pp)</w:t>
            </w:r>
          </w:p>
        </w:tc>
        <w:tc>
          <w:tcPr>
            <w:tcW w:type="dxa" w:w="1872"/>
            <w:shd w:fill="2F5496"/>
          </w:tcPr>
          <w:p>
            <w:pPr>
              <w:jc w:val="center"/>
            </w:pPr>
            <w:r>
              <w:rPr>
                <w:b/>
                <w:color w:val="FFFFFF"/>
              </w:rPr>
            </w:r>
            <w:r>
              <w:rPr>
                <w:rFonts w:ascii="Times New Roman" w:hAnsi="Times New Roman"/>
                <w:b/>
                <w:color w:val="FFFFFF"/>
                <w:sz w:val="18"/>
              </w:rPr>
              <w:t>Prop. bias r</w:t>
            </w:r>
          </w:p>
        </w:tc>
        <w:tc>
          <w:tcPr>
            <w:tcW w:type="dxa" w:w="1872"/>
            <w:shd w:fill="2F5496"/>
          </w:tcPr>
          <w:p>
            <w:pPr>
              <w:jc w:val="center"/>
            </w:pPr>
            <w:r>
              <w:rPr>
                <w:b/>
                <w:color w:val="FFFFFF"/>
              </w:rPr>
            </w:r>
            <w:r>
              <w:rPr>
                <w:rFonts w:ascii="Times New Roman" w:hAnsi="Times New Roman"/>
                <w:b/>
                <w:color w:val="FFFFFF"/>
                <w:sz w:val="18"/>
              </w:rPr>
              <w:t>Prop. bias p</w:t>
            </w:r>
          </w:p>
        </w:tc>
      </w:tr>
      <w:tr>
        <w:tc>
          <w:tcPr>
            <w:tcW w:type="dxa" w:w="1872"/>
          </w:tcPr>
          <w:p>
            <w:pPr>
              <w:jc w:val="left"/>
            </w:pPr>
            <w:r/>
            <w:r>
              <w:rPr>
                <w:rFonts w:ascii="Times New Roman" w:hAnsi="Times New Roman"/>
                <w:sz w:val="18"/>
              </w:rPr>
              <w:t>Hui 2025</w:t>
            </w:r>
          </w:p>
        </w:tc>
        <w:tc>
          <w:tcPr>
            <w:tcW w:type="dxa" w:w="1872"/>
          </w:tcPr>
          <w:p>
            <w:pPr>
              <w:jc w:val="left"/>
            </w:pPr>
            <w:r/>
            <w:r>
              <w:rPr>
                <w:rFonts w:ascii="Times New Roman" w:hAnsi="Times New Roman"/>
                <w:sz w:val="18"/>
              </w:rPr>
              <w:t>+0.12</w:t>
            </w:r>
          </w:p>
        </w:tc>
        <w:tc>
          <w:tcPr>
            <w:tcW w:type="dxa" w:w="1872"/>
          </w:tcPr>
          <w:p>
            <w:pPr>
              <w:jc w:val="left"/>
            </w:pPr>
            <w:r/>
            <w:r>
              <w:rPr>
                <w:rFonts w:ascii="Times New Roman" w:hAnsi="Times New Roman"/>
                <w:sz w:val="18"/>
              </w:rPr>
              <w:t>-3.1 to +3.3</w:t>
            </w:r>
          </w:p>
        </w:tc>
        <w:tc>
          <w:tcPr>
            <w:tcW w:type="dxa" w:w="1872"/>
          </w:tcPr>
          <w:p>
            <w:pPr>
              <w:jc w:val="left"/>
            </w:pPr>
            <w:r/>
            <w:r>
              <w:rPr>
                <w:rFonts w:ascii="Times New Roman" w:hAnsi="Times New Roman"/>
                <w:sz w:val="18"/>
              </w:rPr>
              <w:t>0.069</w:t>
            </w:r>
          </w:p>
        </w:tc>
        <w:tc>
          <w:tcPr>
            <w:tcW w:type="dxa" w:w="1872"/>
          </w:tcPr>
          <w:p>
            <w:pPr>
              <w:jc w:val="left"/>
            </w:pPr>
            <w:r/>
            <w:r>
              <w:rPr>
                <w:rFonts w:ascii="Times New Roman" w:hAnsi="Times New Roman"/>
                <w:sz w:val="18"/>
              </w:rPr>
              <w:t>0.223</w:t>
            </w:r>
          </w:p>
        </w:tc>
      </w:tr>
      <w:tr>
        <w:tc>
          <w:tcPr>
            <w:tcW w:type="dxa" w:w="1872"/>
            <w:shd w:fill="D6E4F0"/>
          </w:tcPr>
          <w:p>
            <w:pPr>
              <w:jc w:val="left"/>
            </w:pPr>
            <w:r/>
            <w:r>
              <w:rPr>
                <w:rFonts w:ascii="Times New Roman" w:hAnsi="Times New Roman"/>
                <w:sz w:val="18"/>
              </w:rPr>
              <w:t>Li 2022</w:t>
            </w:r>
          </w:p>
        </w:tc>
        <w:tc>
          <w:tcPr>
            <w:tcW w:type="dxa" w:w="1872"/>
            <w:shd w:fill="D6E4F0"/>
          </w:tcPr>
          <w:p>
            <w:pPr>
              <w:jc w:val="left"/>
            </w:pPr>
            <w:r/>
            <w:r>
              <w:rPr>
                <w:rFonts w:ascii="Times New Roman" w:hAnsi="Times New Roman"/>
                <w:sz w:val="18"/>
              </w:rPr>
              <w:t>-0.15</w:t>
            </w:r>
          </w:p>
        </w:tc>
        <w:tc>
          <w:tcPr>
            <w:tcW w:type="dxa" w:w="1872"/>
            <w:shd w:fill="D6E4F0"/>
          </w:tcPr>
          <w:p>
            <w:pPr>
              <w:jc w:val="left"/>
            </w:pPr>
            <w:r/>
            <w:r>
              <w:rPr>
                <w:rFonts w:ascii="Times New Roman" w:hAnsi="Times New Roman"/>
                <w:sz w:val="18"/>
              </w:rPr>
              <w:t>-3.2 to +2.9</w:t>
            </w:r>
          </w:p>
        </w:tc>
        <w:tc>
          <w:tcPr>
            <w:tcW w:type="dxa" w:w="1872"/>
            <w:shd w:fill="D6E4F0"/>
          </w:tcPr>
          <w:p>
            <w:pPr>
              <w:jc w:val="left"/>
            </w:pPr>
            <w:r/>
            <w:r>
              <w:rPr>
                <w:rFonts w:ascii="Times New Roman" w:hAnsi="Times New Roman"/>
                <w:sz w:val="18"/>
              </w:rPr>
              <w:t>0.099</w:t>
            </w:r>
          </w:p>
        </w:tc>
        <w:tc>
          <w:tcPr>
            <w:tcW w:type="dxa" w:w="1872"/>
            <w:shd w:fill="D6E4F0"/>
          </w:tcPr>
          <w:p>
            <w:pPr>
              <w:jc w:val="left"/>
            </w:pPr>
            <w:r/>
            <w:r>
              <w:rPr>
                <w:rFonts w:ascii="Times New Roman" w:hAnsi="Times New Roman"/>
                <w:sz w:val="18"/>
              </w:rPr>
              <w:t>0.290</w:t>
            </w:r>
          </w:p>
        </w:tc>
      </w:tr>
      <w:tr>
        <w:tc>
          <w:tcPr>
            <w:tcW w:type="dxa" w:w="1872"/>
          </w:tcPr>
          <w:p>
            <w:pPr>
              <w:jc w:val="left"/>
            </w:pPr>
            <w:r/>
            <w:r>
              <w:rPr>
                <w:rFonts w:ascii="Times New Roman" w:hAnsi="Times New Roman"/>
                <w:sz w:val="18"/>
              </w:rPr>
              <w:t>Li 2024 (biochar)</w:t>
            </w:r>
          </w:p>
        </w:tc>
        <w:tc>
          <w:tcPr>
            <w:tcW w:type="dxa" w:w="1872"/>
          </w:tcPr>
          <w:p>
            <w:pPr>
              <w:jc w:val="left"/>
            </w:pPr>
            <w:r/>
            <w:r>
              <w:rPr>
                <w:rFonts w:ascii="Times New Roman" w:hAnsi="Times New Roman"/>
                <w:sz w:val="18"/>
              </w:rPr>
              <w:t>-0.22</w:t>
            </w:r>
          </w:p>
        </w:tc>
        <w:tc>
          <w:tcPr>
            <w:tcW w:type="dxa" w:w="1872"/>
          </w:tcPr>
          <w:p>
            <w:pPr>
              <w:jc w:val="left"/>
            </w:pPr>
            <w:r/>
            <w:r>
              <w:rPr>
                <w:rFonts w:ascii="Times New Roman" w:hAnsi="Times New Roman"/>
                <w:sz w:val="18"/>
              </w:rPr>
              <w:t>-3.6 to +3.2</w:t>
            </w:r>
          </w:p>
        </w:tc>
        <w:tc>
          <w:tcPr>
            <w:tcW w:type="dxa" w:w="1872"/>
          </w:tcPr>
          <w:p>
            <w:pPr>
              <w:jc w:val="left"/>
            </w:pPr>
            <w:r/>
            <w:r>
              <w:rPr>
                <w:rFonts w:ascii="Times New Roman" w:hAnsi="Times New Roman"/>
                <w:sz w:val="18"/>
              </w:rPr>
              <w:t>-0.098</w:t>
            </w:r>
          </w:p>
        </w:tc>
        <w:tc>
          <w:tcPr>
            <w:tcW w:type="dxa" w:w="1872"/>
          </w:tcPr>
          <w:p>
            <w:pPr>
              <w:jc w:val="left"/>
            </w:pPr>
            <w:r/>
            <w:r>
              <w:rPr>
                <w:rFonts w:ascii="Times New Roman" w:hAnsi="Times New Roman"/>
                <w:sz w:val="18"/>
              </w:rPr>
              <w:t>0.121</w:t>
            </w:r>
          </w:p>
        </w:tc>
      </w:tr>
      <w:tr>
        <w:tc>
          <w:tcPr>
            <w:tcW w:type="dxa" w:w="1872"/>
            <w:shd w:fill="D6E4F0"/>
          </w:tcPr>
          <w:p>
            <w:pPr>
              <w:jc w:val="left"/>
            </w:pPr>
            <w:r/>
            <w:r>
              <w:rPr>
                <w:rFonts w:ascii="Times New Roman" w:hAnsi="Times New Roman"/>
                <w:sz w:val="18"/>
              </w:rPr>
              <w:t>Boldorini 2024</w:t>
            </w:r>
          </w:p>
        </w:tc>
        <w:tc>
          <w:tcPr>
            <w:tcW w:type="dxa" w:w="1872"/>
            <w:shd w:fill="D6E4F0"/>
          </w:tcPr>
          <w:p>
            <w:pPr>
              <w:jc w:val="left"/>
            </w:pPr>
            <w:r/>
            <w:r>
              <w:rPr>
                <w:rFonts w:ascii="Times New Roman" w:hAnsi="Times New Roman"/>
                <w:sz w:val="18"/>
              </w:rPr>
              <w:t>+1.61</w:t>
            </w:r>
          </w:p>
        </w:tc>
        <w:tc>
          <w:tcPr>
            <w:tcW w:type="dxa" w:w="1872"/>
            <w:shd w:fill="D6E4F0"/>
          </w:tcPr>
          <w:p>
            <w:pPr>
              <w:jc w:val="left"/>
            </w:pPr>
            <w:r/>
            <w:r>
              <w:rPr>
                <w:rFonts w:ascii="Times New Roman" w:hAnsi="Times New Roman"/>
                <w:sz w:val="18"/>
              </w:rPr>
              <w:t>-19.8 to +23.1</w:t>
            </w:r>
          </w:p>
        </w:tc>
        <w:tc>
          <w:tcPr>
            <w:tcW w:type="dxa" w:w="1872"/>
            <w:shd w:fill="D6E4F0"/>
          </w:tcPr>
          <w:p>
            <w:pPr>
              <w:jc w:val="left"/>
            </w:pPr>
            <w:r/>
            <w:r>
              <w:rPr>
                <w:rFonts w:ascii="Times New Roman" w:hAnsi="Times New Roman"/>
                <w:sz w:val="18"/>
              </w:rPr>
              <w:t>-0.431</w:t>
            </w:r>
          </w:p>
        </w:tc>
        <w:tc>
          <w:tcPr>
            <w:tcW w:type="dxa" w:w="1872"/>
            <w:shd w:fill="D6E4F0"/>
          </w:tcPr>
          <w:p>
            <w:pPr>
              <w:jc w:val="left"/>
            </w:pPr>
            <w:r/>
            <w:r>
              <w:rPr>
                <w:rFonts w:ascii="Times New Roman" w:hAnsi="Times New Roman"/>
                <w:sz w:val="18"/>
              </w:rPr>
              <w:t>0.003</w:t>
            </w:r>
          </w:p>
        </w:tc>
      </w:tr>
      <w:tr>
        <w:tc>
          <w:tcPr>
            <w:tcW w:type="dxa" w:w="1872"/>
          </w:tcPr>
          <w:p>
            <w:pPr>
              <w:jc w:val="left"/>
            </w:pPr>
            <w:r/>
            <w:r>
              <w:rPr>
                <w:rFonts w:ascii="Times New Roman" w:hAnsi="Times New Roman"/>
                <w:sz w:val="18"/>
              </w:rPr>
              <w:t>Loladze 2014</w:t>
            </w:r>
          </w:p>
        </w:tc>
        <w:tc>
          <w:tcPr>
            <w:tcW w:type="dxa" w:w="1872"/>
          </w:tcPr>
          <w:p>
            <w:pPr>
              <w:jc w:val="left"/>
            </w:pPr>
            <w:r/>
            <w:r>
              <w:rPr>
                <w:rFonts w:ascii="Times New Roman" w:hAnsi="Times New Roman"/>
                <w:sz w:val="18"/>
              </w:rPr>
              <w:t>+0.01</w:t>
            </w:r>
          </w:p>
        </w:tc>
        <w:tc>
          <w:tcPr>
            <w:tcW w:type="dxa" w:w="1872"/>
          </w:tcPr>
          <w:p>
            <w:pPr>
              <w:jc w:val="left"/>
            </w:pPr>
            <w:r/>
            <w:r>
              <w:rPr>
                <w:rFonts w:ascii="Times New Roman" w:hAnsi="Times New Roman"/>
                <w:sz w:val="18"/>
              </w:rPr>
              <w:t>-5.2 to +5.2</w:t>
            </w:r>
          </w:p>
        </w:tc>
        <w:tc>
          <w:tcPr>
            <w:tcW w:type="dxa" w:w="1872"/>
          </w:tcPr>
          <w:p>
            <w:pPr>
              <w:jc w:val="left"/>
            </w:pPr>
            <w:r/>
            <w:r>
              <w:rPr>
                <w:rFonts w:ascii="Times New Roman" w:hAnsi="Times New Roman"/>
                <w:sz w:val="18"/>
              </w:rPr>
              <w:t>0.134</w:t>
            </w:r>
          </w:p>
        </w:tc>
        <w:tc>
          <w:tcPr>
            <w:tcW w:type="dxa" w:w="1872"/>
          </w:tcPr>
          <w:p>
            <w:pPr>
              <w:jc w:val="left"/>
            </w:pPr>
            <w:r/>
            <w:r>
              <w:rPr>
                <w:rFonts w:ascii="Times New Roman" w:hAnsi="Times New Roman"/>
                <w:sz w:val="18"/>
              </w:rPr>
              <w:t>0.006</w:t>
            </w:r>
          </w:p>
        </w:tc>
      </w:tr>
    </w:tbl>
    <w:p>
      <w:pPr>
        <w:spacing w:before="120" w:after="120"/>
      </w:pPr>
    </w:p>
    <w:p>
      <w:r>
        <w:rPr>
          <w:rFonts w:ascii="Times New Roman" w:hAnsi="Times New Roman"/>
          <w:sz w:val="24"/>
        </w:rPr>
        <w:t>The Hui 2025, Li 2022, and Li 2024 (biochar) limits of agreement are narrow (all within approximately +-3.6 pp) relative to their respective mean effects (~50%, ~17%, and ~12%). The Boldorini 2024 limits are wider (-19.8 to +23.1 pp), reflecting both the small sample (N = 46) and a few high-leverage observations; Boldorini is also the only dataset with statistically significant proportional bias (r = -0.431, p = 0.003), indicating that agreement decreases slightly for larger effect sizes. The Loladze 2014 limits (-5.2 to +5.2 pp) are modest relative to the mean effect (~12%), consistent with the high ICC (0.984) for that dataset. Loladze 2014 shows weak but statistically significant proportional bias (r = 0.134, p = 0.006), likely reflecting alignment-related error at extreme effect sizes rather than systematic extraction bias. The remaining three datasets (Hui 2025, Li 2022, Li 2024 (biochar)) show no statistically significant proportional bias (all p &gt; 0.12).</w:t>
      </w:r>
    </w:p>
    <w:p>
      <w:pPr>
        <w:jc w:val="center"/>
      </w:pPr>
      <w:r>
        <w:drawing>
          <wp:inline xmlns:a="http://schemas.openxmlformats.org/drawingml/2006/main" xmlns:pic="http://schemas.openxmlformats.org/drawingml/2006/picture">
            <wp:extent cx="5486400" cy="3775046"/>
            <wp:docPr id="3" name="Picture 3"/>
            <wp:cNvGraphicFramePr>
              <a:graphicFrameLocks noChangeAspect="1"/>
            </wp:cNvGraphicFramePr>
            <a:graphic>
              <a:graphicData uri="http://schemas.openxmlformats.org/drawingml/2006/picture">
                <pic:pic>
                  <pic:nvPicPr>
                    <pic:cNvPr id="0" name="figure4_bland_altman.png"/>
                    <pic:cNvPicPr/>
                  </pic:nvPicPr>
                  <pic:blipFill>
                    <a:blip r:embed="rId11"/>
                    <a:stretch>
                      <a:fillRect/>
                    </a:stretch>
                  </pic:blipFill>
                  <pic:spPr>
                    <a:xfrm>
                      <a:off x="0" y="0"/>
                      <a:ext cx="5486400" cy="3775046"/>
                    </a:xfrm>
                    <a:prstGeom prst="rect"/>
                  </pic:spPr>
                </pic:pic>
              </a:graphicData>
            </a:graphic>
          </wp:inline>
        </w:drawing>
      </w:r>
    </w:p>
    <w:p>
      <w:pPr>
        <w:spacing w:after="240"/>
        <w:jc w:val="left"/>
      </w:pPr>
      <w:r>
        <w:rPr>
          <w:rFonts w:ascii="Times New Roman" w:hAnsi="Times New Roman"/>
          <w:b/>
          <w:sz w:val="20"/>
        </w:rPr>
        <w:t xml:space="preserve">Figure 3. </w:t>
      </w:r>
      <w:r>
        <w:rPr>
          <w:rFonts w:ascii="Times New Roman" w:hAnsi="Times New Roman"/>
          <w:sz w:val="20"/>
        </w:rPr>
        <w:t>Bland-Altman plots for all five datasets, with mean difference (horizontal line) and 95% limits of agreement (dashed lines).</w:t>
      </w:r>
    </w:p>
    <w:p>
      <w:pPr>
        <w:pStyle w:val="Heading2"/>
      </w:pPr>
      <w:r>
        <w:t>3.3 LLM-Driven Alignment: Separating Extraction from Matching Error</w:t>
      </w:r>
    </w:p>
    <w:p>
      <w:r>
        <w:rPr>
          <w:rFonts w:ascii="Times New Roman" w:hAnsi="Times New Roman"/>
          <w:sz w:val="24"/>
        </w:rPr>
        <w:t>The introduction of LLM-driven alignment provides a natural experiment for decomposing validation error into extraction error (wrong values read from the PDF) and alignment error (correct values matched to the wrong reference-standard row).</w:t>
      </w:r>
    </w:p>
    <w:p>
      <w:r>
        <w:rPr>
          <w:rFonts w:ascii="Times New Roman" w:hAnsi="Times New Roman"/>
          <w:sz w:val="24"/>
        </w:rPr>
        <w:t>[TABLE 7: Effect of alignment method on validation metrics. Same extracted data; no values changed.]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2F5496"/>
          </w:tcPr>
          <w:p>
            <w:pPr>
              <w:jc w:val="left"/>
            </w:pPr>
            <w:r>
              <w:rPr>
                <w:b/>
                <w:color w:val="FFFFFF"/>
              </w:rPr>
            </w:r>
            <w:r>
              <w:rPr>
                <w:rFonts w:ascii="Times New Roman" w:hAnsi="Times New Roman"/>
                <w:b/>
                <w:color w:val="FFFFFF"/>
                <w:sz w:val="18"/>
              </w:rPr>
              <w:t>Dataset</w:t>
            </w:r>
          </w:p>
        </w:tc>
        <w:tc>
          <w:tcPr>
            <w:tcW w:type="dxa" w:w="1872"/>
            <w:shd w:fill="2F5496"/>
          </w:tcPr>
          <w:p>
            <w:pPr>
              <w:jc w:val="center"/>
            </w:pPr>
            <w:r>
              <w:rPr>
                <w:b/>
                <w:color w:val="FFFFFF"/>
              </w:rPr>
            </w:r>
            <w:r>
              <w:rPr>
                <w:rFonts w:ascii="Times New Roman" w:hAnsi="Times New Roman"/>
                <w:b/>
                <w:color w:val="FFFFFF"/>
                <w:sz w:val="18"/>
              </w:rPr>
              <w:t>Matching method</w:t>
            </w:r>
          </w:p>
        </w:tc>
        <w:tc>
          <w:tcPr>
            <w:tcW w:type="dxa" w:w="1872"/>
            <w:shd w:fill="2F5496"/>
          </w:tcPr>
          <w:p>
            <w:pPr>
              <w:jc w:val="center"/>
            </w:pPr>
            <w:r>
              <w:rPr>
                <w:b/>
                <w:color w:val="FFFFFF"/>
              </w:rPr>
            </w:r>
            <w:r>
              <w:rPr>
                <w:rFonts w:ascii="Times New Roman" w:hAnsi="Times New Roman"/>
                <w:b/>
                <w:color w:val="FFFFFF"/>
                <w:sz w:val="18"/>
              </w:rPr>
              <w:t>r</w:t>
            </w:r>
          </w:p>
        </w:tc>
        <w:tc>
          <w:tcPr>
            <w:tcW w:type="dxa" w:w="1872"/>
            <w:shd w:fill="2F5496"/>
          </w:tcPr>
          <w:p>
            <w:pPr>
              <w:jc w:val="center"/>
            </w:pPr>
            <w:r>
              <w:rPr>
                <w:b/>
                <w:color w:val="FFFFFF"/>
              </w:rPr>
            </w:r>
            <w:r>
              <w:rPr>
                <w:rFonts w:ascii="Times New Roman" w:hAnsi="Times New Roman"/>
                <w:b/>
                <w:color w:val="FFFFFF"/>
                <w:sz w:val="18"/>
              </w:rPr>
              <w:t>MAE (pp)</w:t>
            </w:r>
          </w:p>
        </w:tc>
        <w:tc>
          <w:tcPr>
            <w:tcW w:type="dxa" w:w="1872"/>
            <w:shd w:fill="2F5496"/>
          </w:tcPr>
          <w:p>
            <w:pPr>
              <w:jc w:val="center"/>
            </w:pPr>
            <w:r>
              <w:rPr>
                <w:b/>
                <w:color w:val="FFFFFF"/>
              </w:rPr>
            </w:r>
            <w:r>
              <w:rPr>
                <w:rFonts w:ascii="Times New Roman" w:hAnsi="Times New Roman"/>
                <w:b/>
                <w:color w:val="FFFFFF"/>
                <w:sz w:val="18"/>
              </w:rPr>
              <w:t>N obs</w:t>
            </w:r>
          </w:p>
        </w:tc>
      </w:tr>
      <w:tr>
        <w:tc>
          <w:tcPr>
            <w:tcW w:type="dxa" w:w="1872"/>
          </w:tcPr>
          <w:p>
            <w:pPr>
              <w:jc w:val="left"/>
            </w:pPr>
            <w:r/>
            <w:r>
              <w:rPr>
                <w:rFonts w:ascii="Times New Roman" w:hAnsi="Times New Roman"/>
                <w:sz w:val="18"/>
              </w:rPr>
              <w:t>Li 2024 (biochar)</w:t>
            </w:r>
          </w:p>
        </w:tc>
        <w:tc>
          <w:tcPr>
            <w:tcW w:type="dxa" w:w="1872"/>
          </w:tcPr>
          <w:p>
            <w:pPr>
              <w:jc w:val="left"/>
            </w:pPr>
            <w:r/>
            <w:r>
              <w:rPr>
                <w:rFonts w:ascii="Times New Roman" w:hAnsi="Times New Roman"/>
                <w:sz w:val="18"/>
              </w:rPr>
              <w:t>Dictionary-based</w:t>
            </w:r>
          </w:p>
        </w:tc>
        <w:tc>
          <w:tcPr>
            <w:tcW w:type="dxa" w:w="1872"/>
          </w:tcPr>
          <w:p>
            <w:pPr>
              <w:jc w:val="left"/>
            </w:pPr>
            <w:r/>
            <w:r>
              <w:rPr>
                <w:rFonts w:ascii="Times New Roman" w:hAnsi="Times New Roman"/>
                <w:sz w:val="18"/>
              </w:rPr>
              <w:t>0.377</w:t>
            </w:r>
          </w:p>
        </w:tc>
        <w:tc>
          <w:tcPr>
            <w:tcW w:type="dxa" w:w="1872"/>
          </w:tcPr>
          <w:p>
            <w:pPr>
              <w:jc w:val="left"/>
            </w:pPr>
            <w:r/>
            <w:r>
              <w:rPr>
                <w:rFonts w:ascii="Times New Roman" w:hAnsi="Times New Roman"/>
                <w:sz w:val="18"/>
              </w:rPr>
              <w:t>25.7</w:t>
            </w:r>
          </w:p>
        </w:tc>
        <w:tc>
          <w:tcPr>
            <w:tcW w:type="dxa" w:w="1872"/>
          </w:tcPr>
          <w:p>
            <w:pPr>
              <w:jc w:val="left"/>
            </w:pPr>
            <w:r/>
            <w:r>
              <w:rPr>
                <w:rFonts w:ascii="Times New Roman" w:hAnsi="Times New Roman"/>
                <w:sz w:val="18"/>
              </w:rPr>
              <w:t>361</w:t>
            </w:r>
          </w:p>
        </w:tc>
      </w:tr>
      <w:tr>
        <w:tc>
          <w:tcPr>
            <w:tcW w:type="dxa" w:w="1872"/>
            <w:shd w:fill="D6E4F0"/>
          </w:tcPr>
          <w:p>
            <w:pPr>
              <w:jc w:val="left"/>
            </w:pPr>
            <w:r/>
            <w:r>
              <w:rPr>
                <w:rFonts w:ascii="Times New Roman" w:hAnsi="Times New Roman"/>
                <w:sz w:val="18"/>
              </w:rPr>
              <w:t>Li 2024 (biochar)</w:t>
            </w:r>
          </w:p>
        </w:tc>
        <w:tc>
          <w:tcPr>
            <w:tcW w:type="dxa" w:w="1872"/>
            <w:shd w:fill="D6E4F0"/>
          </w:tcPr>
          <w:p>
            <w:pPr>
              <w:jc w:val="left"/>
            </w:pPr>
            <w:r/>
            <w:r>
              <w:rPr>
                <w:rFonts w:ascii="Times New Roman" w:hAnsi="Times New Roman"/>
                <w:sz w:val="18"/>
              </w:rPr>
              <w:t>LLM-aligned</w:t>
            </w:r>
          </w:p>
        </w:tc>
        <w:tc>
          <w:tcPr>
            <w:tcW w:type="dxa" w:w="1872"/>
            <w:shd w:fill="D6E4F0"/>
          </w:tcPr>
          <w:p>
            <w:pPr>
              <w:jc w:val="left"/>
            </w:pPr>
            <w:r/>
            <w:r>
              <w:rPr>
                <w:rFonts w:ascii="Times New Roman" w:hAnsi="Times New Roman"/>
                <w:sz w:val="18"/>
              </w:rPr>
              <w:t>0.997</w:t>
            </w:r>
          </w:p>
        </w:tc>
        <w:tc>
          <w:tcPr>
            <w:tcW w:type="dxa" w:w="1872"/>
            <w:shd w:fill="D6E4F0"/>
          </w:tcPr>
          <w:p>
            <w:pPr>
              <w:jc w:val="left"/>
            </w:pPr>
            <w:r/>
            <w:r>
              <w:rPr>
                <w:rFonts w:ascii="Times New Roman" w:hAnsi="Times New Roman"/>
                <w:sz w:val="18"/>
              </w:rPr>
              <w:t>1.2</w:t>
            </w:r>
          </w:p>
        </w:tc>
        <w:tc>
          <w:tcPr>
            <w:tcW w:type="dxa" w:w="1872"/>
            <w:shd w:fill="D6E4F0"/>
          </w:tcPr>
          <w:p>
            <w:pPr>
              <w:jc w:val="left"/>
            </w:pPr>
            <w:r/>
            <w:r>
              <w:rPr>
                <w:rFonts w:ascii="Times New Roman" w:hAnsi="Times New Roman"/>
                <w:sz w:val="18"/>
              </w:rPr>
              <w:t>254</w:t>
            </w:r>
          </w:p>
        </w:tc>
      </w:tr>
      <w:tr>
        <w:tc>
          <w:tcPr>
            <w:tcW w:type="dxa" w:w="1872"/>
          </w:tcPr>
          <w:p>
            <w:pPr>
              <w:jc w:val="left"/>
            </w:pPr>
            <w:r/>
            <w:r>
              <w:rPr>
                <w:rFonts w:ascii="Times New Roman" w:hAnsi="Times New Roman"/>
                <w:sz w:val="18"/>
              </w:rPr>
              <w:t>Loladze 2014</w:t>
            </w:r>
          </w:p>
        </w:tc>
        <w:tc>
          <w:tcPr>
            <w:tcW w:type="dxa" w:w="1872"/>
          </w:tcPr>
          <w:p>
            <w:pPr>
              <w:jc w:val="left"/>
            </w:pPr>
            <w:r/>
            <w:r>
              <w:rPr>
                <w:rFonts w:ascii="Times New Roman" w:hAnsi="Times New Roman"/>
                <w:sz w:val="18"/>
              </w:rPr>
              <w:t>Metadata-based matching</w:t>
            </w:r>
          </w:p>
        </w:tc>
        <w:tc>
          <w:tcPr>
            <w:tcW w:type="dxa" w:w="1872"/>
          </w:tcPr>
          <w:p>
            <w:pPr>
              <w:jc w:val="left"/>
            </w:pPr>
            <w:r/>
            <w:r>
              <w:rPr>
                <w:rFonts w:ascii="Times New Roman" w:hAnsi="Times New Roman"/>
                <w:sz w:val="18"/>
              </w:rPr>
              <w:t>0.812</w:t>
            </w:r>
          </w:p>
        </w:tc>
        <w:tc>
          <w:tcPr>
            <w:tcW w:type="dxa" w:w="1872"/>
          </w:tcPr>
          <w:p>
            <w:pPr>
              <w:jc w:val="left"/>
            </w:pPr>
            <w:r/>
            <w:r>
              <w:rPr>
                <w:rFonts w:ascii="Times New Roman" w:hAnsi="Times New Roman"/>
                <w:sz w:val="18"/>
              </w:rPr>
              <w:t>6.2</w:t>
            </w:r>
          </w:p>
        </w:tc>
        <w:tc>
          <w:tcPr>
            <w:tcW w:type="dxa" w:w="1872"/>
          </w:tcPr>
          <w:p>
            <w:pPr>
              <w:jc w:val="left"/>
            </w:pPr>
            <w:r/>
            <w:r>
              <w:rPr>
                <w:rFonts w:ascii="Times New Roman" w:hAnsi="Times New Roman"/>
                <w:sz w:val="18"/>
              </w:rPr>
              <w:t>646</w:t>
            </w:r>
          </w:p>
        </w:tc>
      </w:tr>
      <w:tr>
        <w:tc>
          <w:tcPr>
            <w:tcW w:type="dxa" w:w="1872"/>
            <w:shd w:fill="D6E4F0"/>
          </w:tcPr>
          <w:p>
            <w:pPr>
              <w:jc w:val="left"/>
            </w:pPr>
            <w:r/>
            <w:r>
              <w:rPr>
                <w:rFonts w:ascii="Times New Roman" w:hAnsi="Times New Roman"/>
                <w:sz w:val="18"/>
              </w:rPr>
              <w:t>Loladze 2014</w:t>
            </w:r>
          </w:p>
        </w:tc>
        <w:tc>
          <w:tcPr>
            <w:tcW w:type="dxa" w:w="1872"/>
            <w:shd w:fill="D6E4F0"/>
          </w:tcPr>
          <w:p>
            <w:pPr>
              <w:jc w:val="left"/>
            </w:pPr>
            <w:r/>
            <w:r>
              <w:rPr>
                <w:rFonts w:ascii="Times New Roman" w:hAnsi="Times New Roman"/>
                <w:sz w:val="18"/>
              </w:rPr>
              <w:t>LLM-aligned</w:t>
            </w:r>
          </w:p>
        </w:tc>
        <w:tc>
          <w:tcPr>
            <w:tcW w:type="dxa" w:w="1872"/>
            <w:shd w:fill="D6E4F0"/>
          </w:tcPr>
          <w:p>
            <w:pPr>
              <w:jc w:val="left"/>
            </w:pPr>
            <w:r/>
            <w:r>
              <w:rPr>
                <w:rFonts w:ascii="Times New Roman" w:hAnsi="Times New Roman"/>
                <w:sz w:val="18"/>
              </w:rPr>
              <w:t>0.984</w:t>
            </w:r>
          </w:p>
        </w:tc>
        <w:tc>
          <w:tcPr>
            <w:tcW w:type="dxa" w:w="1872"/>
            <w:shd w:fill="D6E4F0"/>
          </w:tcPr>
          <w:p>
            <w:pPr>
              <w:jc w:val="left"/>
            </w:pPr>
            <w:r/>
            <w:r>
              <w:rPr>
                <w:rFonts w:ascii="Times New Roman" w:hAnsi="Times New Roman"/>
                <w:sz w:val="18"/>
              </w:rPr>
              <w:t>1.36</w:t>
            </w:r>
          </w:p>
        </w:tc>
        <w:tc>
          <w:tcPr>
            <w:tcW w:type="dxa" w:w="1872"/>
            <w:shd w:fill="D6E4F0"/>
          </w:tcPr>
          <w:p>
            <w:pPr>
              <w:jc w:val="left"/>
            </w:pPr>
            <w:r/>
            <w:r>
              <w:rPr>
                <w:rFonts w:ascii="Times New Roman" w:hAnsi="Times New Roman"/>
                <w:sz w:val="18"/>
              </w:rPr>
              <w:t>413</w:t>
            </w:r>
          </w:p>
        </w:tc>
      </w:tr>
      <w:tr>
        <w:tc>
          <w:tcPr>
            <w:tcW w:type="dxa" w:w="1872"/>
          </w:tcPr>
          <w:p>
            <w:pPr>
              <w:jc w:val="left"/>
            </w:pPr>
            <w:r/>
            <w:r>
              <w:rPr>
                <w:rFonts w:ascii="Times New Roman" w:hAnsi="Times New Roman"/>
                <w:sz w:val="18"/>
              </w:rPr>
              <w:t>Li 2022</w:t>
            </w:r>
          </w:p>
        </w:tc>
        <w:tc>
          <w:tcPr>
            <w:tcW w:type="dxa" w:w="1872"/>
          </w:tcPr>
          <w:p>
            <w:pPr>
              <w:jc w:val="left"/>
            </w:pPr>
            <w:r/>
            <w:r>
              <w:rPr>
                <w:rFonts w:ascii="Times New Roman" w:hAnsi="Times New Roman"/>
                <w:sz w:val="18"/>
              </w:rPr>
              <w:t>Raw value matching</w:t>
            </w:r>
          </w:p>
        </w:tc>
        <w:tc>
          <w:tcPr>
            <w:tcW w:type="dxa" w:w="1872"/>
          </w:tcPr>
          <w:p>
            <w:pPr>
              <w:jc w:val="left"/>
            </w:pPr>
            <w:r/>
            <w:r>
              <w:rPr>
                <w:rFonts w:ascii="Times New Roman" w:hAnsi="Times New Roman"/>
                <w:sz w:val="18"/>
              </w:rPr>
              <w:t>0.453</w:t>
            </w:r>
          </w:p>
        </w:tc>
        <w:tc>
          <w:tcPr>
            <w:tcW w:type="dxa" w:w="1872"/>
          </w:tcPr>
          <w:p>
            <w:pPr>
              <w:jc w:val="left"/>
            </w:pPr>
            <w:r/>
            <w:r>
              <w:rPr>
                <w:rFonts w:ascii="Times New Roman" w:hAnsi="Times New Roman"/>
                <w:sz w:val="18"/>
              </w:rPr>
              <w:t>11.6</w:t>
            </w:r>
          </w:p>
        </w:tc>
        <w:tc>
          <w:tcPr>
            <w:tcW w:type="dxa" w:w="1872"/>
          </w:tcPr>
          <w:p>
            <w:pPr>
              <w:jc w:val="left"/>
            </w:pPr>
            <w:r/>
            <w:r>
              <w:rPr>
                <w:rFonts w:ascii="Times New Roman" w:hAnsi="Times New Roman"/>
                <w:sz w:val="18"/>
              </w:rPr>
              <w:t>163</w:t>
            </w:r>
          </w:p>
        </w:tc>
      </w:tr>
      <w:tr>
        <w:tc>
          <w:tcPr>
            <w:tcW w:type="dxa" w:w="1872"/>
            <w:shd w:fill="D6E4F0"/>
          </w:tcPr>
          <w:p>
            <w:pPr>
              <w:jc w:val="left"/>
            </w:pPr>
            <w:r/>
            <w:r>
              <w:rPr>
                <w:rFonts w:ascii="Times New Roman" w:hAnsi="Times New Roman"/>
                <w:sz w:val="18"/>
              </w:rPr>
              <w:t>Li 2022</w:t>
            </w:r>
          </w:p>
        </w:tc>
        <w:tc>
          <w:tcPr>
            <w:tcW w:type="dxa" w:w="1872"/>
            <w:shd w:fill="D6E4F0"/>
          </w:tcPr>
          <w:p>
            <w:pPr>
              <w:jc w:val="left"/>
            </w:pPr>
            <w:r/>
            <w:r>
              <w:rPr>
                <w:rFonts w:ascii="Times New Roman" w:hAnsi="Times New Roman"/>
                <w:sz w:val="18"/>
              </w:rPr>
              <w:t>Scale-harmonized</w:t>
            </w:r>
          </w:p>
        </w:tc>
        <w:tc>
          <w:tcPr>
            <w:tcW w:type="dxa" w:w="1872"/>
            <w:shd w:fill="D6E4F0"/>
          </w:tcPr>
          <w:p>
            <w:pPr>
              <w:jc w:val="left"/>
            </w:pPr>
            <w:r/>
            <w:r>
              <w:rPr>
                <w:rFonts w:ascii="Times New Roman" w:hAnsi="Times New Roman"/>
                <w:sz w:val="18"/>
              </w:rPr>
              <w:t>0.994</w:t>
            </w:r>
          </w:p>
        </w:tc>
        <w:tc>
          <w:tcPr>
            <w:tcW w:type="dxa" w:w="1872"/>
            <w:shd w:fill="D6E4F0"/>
          </w:tcPr>
          <w:p>
            <w:pPr>
              <w:jc w:val="left"/>
            </w:pPr>
            <w:r/>
            <w:r>
              <w:rPr>
                <w:rFonts w:ascii="Times New Roman" w:hAnsi="Times New Roman"/>
                <w:sz w:val="18"/>
              </w:rPr>
              <w:t>1.01</w:t>
            </w:r>
          </w:p>
        </w:tc>
        <w:tc>
          <w:tcPr>
            <w:tcW w:type="dxa" w:w="1872"/>
            <w:shd w:fill="D6E4F0"/>
          </w:tcPr>
          <w:p>
            <w:pPr>
              <w:jc w:val="left"/>
            </w:pPr>
            <w:r/>
            <w:r>
              <w:rPr>
                <w:rFonts w:ascii="Times New Roman" w:hAnsi="Times New Roman"/>
                <w:sz w:val="18"/>
              </w:rPr>
              <w:t>117</w:t>
            </w:r>
          </w:p>
        </w:tc>
      </w:tr>
    </w:tbl>
    <w:p>
      <w:pPr>
        <w:spacing w:before="120" w:after="120"/>
      </w:pPr>
    </w:p>
    <w:p>
      <w:r>
        <w:rPr>
          <w:rFonts w:ascii="Times New Roman" w:hAnsi="Times New Roman"/>
          <w:sz w:val="24"/>
        </w:rPr>
        <w:t>The Li 2024 (biochar) comparison is particularly striking: switching from dictionary-based to LLM-driven alignment improved r from 0.377 to 0.997 with no change to any extracted value. The dictionary matcher failed because moderator terms in the extraction (e.g., "corn," "hardwood") did not match reference-standard terminology ("Maize," "Wood"). The LLM automatically discovered these mappings. For Li 2022, scale harmonization (identifying and correcting unit-conversion mismatches in the matching step) produced a similar transformation: r from 0.453 to 0.994. For Loladze, the improvement was substantial (0.812 to 0.984): metadata-based matching had relied on heuristic scoring across 14 dimensions and suffered from factorial alignment errors that the LLM-driven approach largely resolved.</w:t>
      </w:r>
    </w:p>
    <w:p>
      <w:r>
        <w:rPr>
          <w:rFonts w:ascii="Times New Roman" w:hAnsi="Times New Roman"/>
          <w:sz w:val="24"/>
        </w:rPr>
        <w:t>This finding has important implications for interpreting published validation studies. Low reported accuracy may reflect alignment failure rather than extraction failure, and the two error sources require fundamentally different remedies: better matching procedures versus better PDF reading.</w:t>
      </w:r>
    </w:p>
    <w:p>
      <w:pPr>
        <w:pStyle w:val="Heading2"/>
      </w:pPr>
      <w:r>
        <w:t>3.4 Source Type and Extraction Accuracy</w:t>
      </w:r>
    </w:p>
    <w:p>
      <w:r>
        <w:rPr>
          <w:rFonts w:ascii="Times New Roman" w:hAnsi="Times New Roman"/>
          <w:sz w:val="24"/>
        </w:rPr>
        <w:t>The source-type labeling reveals a clear accuracy gradient by data provenance, analyzed on the Li 2024 (biochar) dataset where both table and figure sources are well represented.</w:t>
      </w:r>
    </w:p>
    <w:p>
      <w:r>
        <w:rPr>
          <w:rFonts w:ascii="Times New Roman" w:hAnsi="Times New Roman"/>
          <w:sz w:val="24"/>
        </w:rPr>
        <w:t>[TABLE 8: Extraction accuracy by source type (Li 2024 (biochar) dataset).]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F5496"/>
          </w:tcPr>
          <w:p>
            <w:pPr>
              <w:jc w:val="left"/>
            </w:pPr>
            <w:r>
              <w:rPr>
                <w:b/>
                <w:color w:val="FFFFFF"/>
              </w:rPr>
            </w:r>
            <w:r>
              <w:rPr>
                <w:rFonts w:ascii="Times New Roman" w:hAnsi="Times New Roman"/>
                <w:b/>
                <w:color w:val="FFFFFF"/>
                <w:sz w:val="18"/>
              </w:rPr>
              <w:t>Source type</w:t>
            </w:r>
          </w:p>
        </w:tc>
        <w:tc>
          <w:tcPr>
            <w:tcW w:type="dxa" w:w="2340"/>
            <w:shd w:fill="2F5496"/>
          </w:tcPr>
          <w:p>
            <w:pPr>
              <w:jc w:val="center"/>
            </w:pPr>
            <w:r>
              <w:rPr>
                <w:b/>
                <w:color w:val="FFFFFF"/>
              </w:rPr>
            </w:r>
            <w:r>
              <w:rPr>
                <w:rFonts w:ascii="Times New Roman" w:hAnsi="Times New Roman"/>
                <w:b/>
                <w:color w:val="FFFFFF"/>
                <w:sz w:val="18"/>
              </w:rPr>
              <w:t>N obs</w:t>
            </w:r>
          </w:p>
        </w:tc>
        <w:tc>
          <w:tcPr>
            <w:tcW w:type="dxa" w:w="2340"/>
            <w:shd w:fill="2F5496"/>
          </w:tcPr>
          <w:p>
            <w:pPr>
              <w:jc w:val="center"/>
            </w:pPr>
            <w:r>
              <w:rPr>
                <w:b/>
                <w:color w:val="FFFFFF"/>
              </w:rPr>
            </w:r>
            <w:r>
              <w:rPr>
                <w:rFonts w:ascii="Times New Roman" w:hAnsi="Times New Roman"/>
                <w:b/>
                <w:color w:val="FFFFFF"/>
                <w:sz w:val="18"/>
              </w:rPr>
              <w:t>% of total</w:t>
            </w:r>
          </w:p>
        </w:tc>
        <w:tc>
          <w:tcPr>
            <w:tcW w:type="dxa" w:w="2340"/>
            <w:shd w:fill="2F5496"/>
          </w:tcPr>
          <w:p>
            <w:pPr>
              <w:jc w:val="center"/>
            </w:pPr>
            <w:r>
              <w:rPr>
                <w:b/>
                <w:color w:val="FFFFFF"/>
              </w:rPr>
            </w:r>
            <w:r>
              <w:rPr>
                <w:rFonts w:ascii="Times New Roman" w:hAnsi="Times New Roman"/>
                <w:b/>
                <w:color w:val="FFFFFF"/>
                <w:sz w:val="18"/>
              </w:rPr>
              <w:t>Median AE (pp)</w:t>
            </w:r>
          </w:p>
        </w:tc>
      </w:tr>
      <w:tr>
        <w:tc>
          <w:tcPr>
            <w:tcW w:type="dxa" w:w="2340"/>
          </w:tcPr>
          <w:p>
            <w:pPr>
              <w:jc w:val="left"/>
            </w:pPr>
            <w:r/>
            <w:r>
              <w:rPr>
                <w:rFonts w:ascii="Times New Roman" w:hAnsi="Times New Roman"/>
                <w:sz w:val="18"/>
              </w:rPr>
              <w:t>Table</w:t>
            </w:r>
          </w:p>
        </w:tc>
        <w:tc>
          <w:tcPr>
            <w:tcW w:type="dxa" w:w="2340"/>
          </w:tcPr>
          <w:p>
            <w:pPr>
              <w:jc w:val="left"/>
            </w:pPr>
            <w:r/>
            <w:r>
              <w:rPr>
                <w:rFonts w:ascii="Times New Roman" w:hAnsi="Times New Roman"/>
                <w:sz w:val="18"/>
              </w:rPr>
              <w:t>122</w:t>
            </w:r>
          </w:p>
        </w:tc>
        <w:tc>
          <w:tcPr>
            <w:tcW w:type="dxa" w:w="2340"/>
          </w:tcPr>
          <w:p>
            <w:pPr>
              <w:jc w:val="left"/>
            </w:pPr>
            <w:r/>
            <w:r>
              <w:rPr>
                <w:rFonts w:ascii="Times New Roman" w:hAnsi="Times New Roman"/>
                <w:sz w:val="18"/>
              </w:rPr>
              <w:t>48%</w:t>
            </w:r>
          </w:p>
        </w:tc>
        <w:tc>
          <w:tcPr>
            <w:tcW w:type="dxa" w:w="2340"/>
          </w:tcPr>
          <w:p>
            <w:pPr>
              <w:jc w:val="left"/>
            </w:pPr>
            <w:r/>
            <w:r>
              <w:rPr>
                <w:rFonts w:ascii="Times New Roman" w:hAnsi="Times New Roman"/>
                <w:sz w:val="18"/>
              </w:rPr>
              <w:t>0.57</w:t>
            </w:r>
          </w:p>
        </w:tc>
      </w:tr>
      <w:tr>
        <w:tc>
          <w:tcPr>
            <w:tcW w:type="dxa" w:w="2340"/>
            <w:shd w:fill="D6E4F0"/>
          </w:tcPr>
          <w:p>
            <w:pPr>
              <w:jc w:val="left"/>
            </w:pPr>
            <w:r/>
            <w:r>
              <w:rPr>
                <w:rFonts w:ascii="Times New Roman" w:hAnsi="Times New Roman"/>
                <w:sz w:val="18"/>
              </w:rPr>
              <w:t>Figure</w:t>
            </w:r>
          </w:p>
        </w:tc>
        <w:tc>
          <w:tcPr>
            <w:tcW w:type="dxa" w:w="2340"/>
            <w:shd w:fill="D6E4F0"/>
          </w:tcPr>
          <w:p>
            <w:pPr>
              <w:jc w:val="left"/>
            </w:pPr>
            <w:r/>
            <w:r>
              <w:rPr>
                <w:rFonts w:ascii="Times New Roman" w:hAnsi="Times New Roman"/>
                <w:sz w:val="18"/>
              </w:rPr>
              <w:t>132</w:t>
            </w:r>
          </w:p>
        </w:tc>
        <w:tc>
          <w:tcPr>
            <w:tcW w:type="dxa" w:w="2340"/>
            <w:shd w:fill="D6E4F0"/>
          </w:tcPr>
          <w:p>
            <w:pPr>
              <w:jc w:val="left"/>
            </w:pPr>
            <w:r/>
            <w:r>
              <w:rPr>
                <w:rFonts w:ascii="Times New Roman" w:hAnsi="Times New Roman"/>
                <w:sz w:val="18"/>
              </w:rPr>
              <w:t>52%</w:t>
            </w:r>
          </w:p>
        </w:tc>
        <w:tc>
          <w:tcPr>
            <w:tcW w:type="dxa" w:w="2340"/>
            <w:shd w:fill="D6E4F0"/>
          </w:tcPr>
          <w:p>
            <w:pPr>
              <w:jc w:val="left"/>
            </w:pPr>
            <w:r/>
            <w:r>
              <w:rPr>
                <w:rFonts w:ascii="Times New Roman" w:hAnsi="Times New Roman"/>
                <w:sz w:val="18"/>
              </w:rPr>
              <w:t>3.12</w:t>
            </w:r>
          </w:p>
        </w:tc>
      </w:tr>
    </w:tbl>
    <w:p>
      <w:pPr>
        <w:spacing w:before="120" w:after="120"/>
      </w:pPr>
    </w:p>
    <w:p>
      <w:r>
        <w:rPr>
          <w:rFonts w:ascii="Times New Roman" w:hAnsi="Times New Roman"/>
          <w:sz w:val="24"/>
        </w:rPr>
        <w:t>Table-sourced observations achieve 5.5x lower median error than figure-sourced observations. This is expected: tables present exact numerical values, while figures require visual estimation of bar heights or point positions. The source-type label serves as a built-in quality flag: downstream users can restrict analyses to table-sourced data when maximum precision is required or apply additional scrutiny to figure-sourced observations.</w:t>
      </w:r>
    </w:p>
    <w:p>
      <w:pPr>
        <w:pStyle w:val="Heading2"/>
      </w:pPr>
      <w:r>
        <w:t>3.5 Run-to-Run Reproducibility</w:t>
      </w:r>
    </w:p>
    <w:p>
      <w:r>
        <w:rPr>
          <w:rFonts w:ascii="Times New Roman" w:hAnsi="Times New Roman"/>
          <w:sz w:val="24"/>
        </w:rPr>
        <w:t>To assess extraction stability, the agent was run twice independently on three datasets with no shared state, cached outputs, or intermediate results between runs.</w:t>
      </w:r>
    </w:p>
    <w:p>
      <w:r>
        <w:rPr>
          <w:rFonts w:ascii="Times New Roman" w:hAnsi="Times New Roman"/>
          <w:sz w:val="24"/>
        </w:rPr>
        <w:t>[TABLE 9: Run-to-run reproducibility (Run 1 versus Run 2).]</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2F5496"/>
          </w:tcPr>
          <w:p>
            <w:pPr>
              <w:jc w:val="left"/>
            </w:pPr>
            <w:r>
              <w:rPr>
                <w:b/>
                <w:color w:val="FFFFFF"/>
              </w:rPr>
            </w:r>
            <w:r>
              <w:rPr>
                <w:rFonts w:ascii="Times New Roman" w:hAnsi="Times New Roman"/>
                <w:b/>
                <w:color w:val="FFFFFF"/>
                <w:sz w:val="18"/>
              </w:rPr>
              <w:t>Dataset</w:t>
            </w:r>
          </w:p>
        </w:tc>
        <w:tc>
          <w:tcPr>
            <w:tcW w:type="dxa" w:w="1872"/>
            <w:shd w:fill="2F5496"/>
          </w:tcPr>
          <w:p>
            <w:pPr>
              <w:jc w:val="center"/>
            </w:pPr>
            <w:r>
              <w:rPr>
                <w:b/>
                <w:color w:val="FFFFFF"/>
              </w:rPr>
            </w:r>
            <w:r>
              <w:rPr>
                <w:rFonts w:ascii="Times New Roman" w:hAnsi="Times New Roman"/>
                <w:b/>
                <w:color w:val="FFFFFF"/>
                <w:sz w:val="18"/>
              </w:rPr>
              <w:t>Papers</w:t>
            </w:r>
          </w:p>
        </w:tc>
        <w:tc>
          <w:tcPr>
            <w:tcW w:type="dxa" w:w="1872"/>
            <w:shd w:fill="2F5496"/>
          </w:tcPr>
          <w:p>
            <w:pPr>
              <w:jc w:val="center"/>
            </w:pPr>
            <w:r>
              <w:rPr>
                <w:b/>
                <w:color w:val="FFFFFF"/>
              </w:rPr>
            </w:r>
            <w:r>
              <w:rPr>
                <w:rFonts w:ascii="Times New Roman" w:hAnsi="Times New Roman"/>
                <w:b/>
                <w:color w:val="FFFFFF"/>
                <w:sz w:val="18"/>
              </w:rPr>
              <w:t>Matched obs</w:t>
            </w:r>
          </w:p>
        </w:tc>
        <w:tc>
          <w:tcPr>
            <w:tcW w:type="dxa" w:w="1872"/>
            <w:shd w:fill="2F5496"/>
          </w:tcPr>
          <w:p>
            <w:pPr>
              <w:jc w:val="center"/>
            </w:pPr>
            <w:r>
              <w:rPr>
                <w:b/>
                <w:color w:val="FFFFFF"/>
              </w:rPr>
            </w:r>
            <w:r>
              <w:rPr>
                <w:rFonts w:ascii="Times New Roman" w:hAnsi="Times New Roman"/>
                <w:b/>
                <w:color w:val="FFFFFF"/>
                <w:sz w:val="18"/>
              </w:rPr>
              <w:t>r</w:t>
            </w:r>
          </w:p>
        </w:tc>
        <w:tc>
          <w:tcPr>
            <w:tcW w:type="dxa" w:w="1872"/>
            <w:shd w:fill="2F5496"/>
          </w:tcPr>
          <w:p>
            <w:pPr>
              <w:jc w:val="center"/>
            </w:pPr>
            <w:r>
              <w:rPr>
                <w:b/>
                <w:color w:val="FFFFFF"/>
              </w:rPr>
            </w:r>
            <w:r>
              <w:rPr>
                <w:rFonts w:ascii="Times New Roman" w:hAnsi="Times New Roman"/>
                <w:b/>
                <w:color w:val="FFFFFF"/>
                <w:sz w:val="18"/>
              </w:rPr>
              <w:t>Aggregate effect diff (pp)</w:t>
            </w:r>
          </w:p>
        </w:tc>
      </w:tr>
      <w:tr>
        <w:tc>
          <w:tcPr>
            <w:tcW w:type="dxa" w:w="1872"/>
          </w:tcPr>
          <w:p>
            <w:pPr>
              <w:jc w:val="left"/>
            </w:pPr>
            <w:r/>
            <w:r>
              <w:rPr>
                <w:rFonts w:ascii="Times New Roman" w:hAnsi="Times New Roman"/>
                <w:sz w:val="18"/>
              </w:rPr>
              <w:t>Loladze 2014</w:t>
            </w:r>
          </w:p>
        </w:tc>
        <w:tc>
          <w:tcPr>
            <w:tcW w:type="dxa" w:w="1872"/>
          </w:tcPr>
          <w:p>
            <w:pPr>
              <w:jc w:val="left"/>
            </w:pPr>
            <w:r/>
            <w:r>
              <w:rPr>
                <w:rFonts w:ascii="Times New Roman" w:hAnsi="Times New Roman"/>
                <w:sz w:val="18"/>
              </w:rPr>
              <w:t>41</w:t>
            </w:r>
          </w:p>
        </w:tc>
        <w:tc>
          <w:tcPr>
            <w:tcW w:type="dxa" w:w="1872"/>
          </w:tcPr>
          <w:p>
            <w:pPr>
              <w:jc w:val="left"/>
            </w:pPr>
            <w:r/>
            <w:r>
              <w:rPr>
                <w:rFonts w:ascii="Times New Roman" w:hAnsi="Times New Roman"/>
                <w:sz w:val="18"/>
              </w:rPr>
              <w:t>665</w:t>
            </w:r>
          </w:p>
        </w:tc>
        <w:tc>
          <w:tcPr>
            <w:tcW w:type="dxa" w:w="1872"/>
          </w:tcPr>
          <w:p>
            <w:pPr>
              <w:jc w:val="left"/>
            </w:pPr>
            <w:r/>
            <w:r>
              <w:rPr>
                <w:rFonts w:ascii="Times New Roman" w:hAnsi="Times New Roman"/>
                <w:sz w:val="18"/>
              </w:rPr>
              <w:t>0.816</w:t>
            </w:r>
          </w:p>
        </w:tc>
        <w:tc>
          <w:tcPr>
            <w:tcW w:type="dxa" w:w="1872"/>
          </w:tcPr>
          <w:p>
            <w:pPr>
              <w:jc w:val="left"/>
            </w:pPr>
            <w:r/>
            <w:r>
              <w:rPr>
                <w:rFonts w:ascii="Times New Roman" w:hAnsi="Times New Roman"/>
                <w:sz w:val="18"/>
              </w:rPr>
              <w:t>0.09</w:t>
            </w:r>
          </w:p>
        </w:tc>
      </w:tr>
      <w:tr>
        <w:tc>
          <w:tcPr>
            <w:tcW w:type="dxa" w:w="1872"/>
            <w:shd w:fill="D6E4F0"/>
          </w:tcPr>
          <w:p>
            <w:pPr>
              <w:jc w:val="left"/>
            </w:pPr>
            <w:r/>
            <w:r>
              <w:rPr>
                <w:rFonts w:ascii="Times New Roman" w:hAnsi="Times New Roman"/>
                <w:sz w:val="18"/>
              </w:rPr>
              <w:t>Hui 2025</w:t>
            </w:r>
          </w:p>
        </w:tc>
        <w:tc>
          <w:tcPr>
            <w:tcW w:type="dxa" w:w="1872"/>
            <w:shd w:fill="D6E4F0"/>
          </w:tcPr>
          <w:p>
            <w:pPr>
              <w:jc w:val="left"/>
            </w:pPr>
            <w:r/>
            <w:r>
              <w:rPr>
                <w:rFonts w:ascii="Times New Roman" w:hAnsi="Times New Roman"/>
                <w:sz w:val="18"/>
              </w:rPr>
              <w:t>24</w:t>
            </w:r>
          </w:p>
        </w:tc>
        <w:tc>
          <w:tcPr>
            <w:tcW w:type="dxa" w:w="1872"/>
            <w:shd w:fill="D6E4F0"/>
          </w:tcPr>
          <w:p>
            <w:pPr>
              <w:jc w:val="left"/>
            </w:pPr>
            <w:r/>
            <w:r>
              <w:rPr>
                <w:rFonts w:ascii="Times New Roman" w:hAnsi="Times New Roman"/>
                <w:sz w:val="18"/>
              </w:rPr>
              <w:t>362</w:t>
            </w:r>
          </w:p>
        </w:tc>
        <w:tc>
          <w:tcPr>
            <w:tcW w:type="dxa" w:w="1872"/>
            <w:shd w:fill="D6E4F0"/>
          </w:tcPr>
          <w:p>
            <w:pPr>
              <w:jc w:val="left"/>
            </w:pPr>
            <w:r/>
            <w:r>
              <w:rPr>
                <w:rFonts w:ascii="Times New Roman" w:hAnsi="Times New Roman"/>
                <w:sz w:val="18"/>
              </w:rPr>
              <w:t>0.946</w:t>
            </w:r>
          </w:p>
        </w:tc>
        <w:tc>
          <w:tcPr>
            <w:tcW w:type="dxa" w:w="1872"/>
            <w:shd w:fill="D6E4F0"/>
          </w:tcPr>
          <w:p>
            <w:pPr>
              <w:jc w:val="left"/>
            </w:pPr>
            <w:r/>
            <w:r>
              <w:rPr>
                <w:rFonts w:ascii="Times New Roman" w:hAnsi="Times New Roman"/>
                <w:sz w:val="18"/>
              </w:rPr>
              <w:t>6.31</w:t>
            </w:r>
          </w:p>
        </w:tc>
      </w:tr>
      <w:tr>
        <w:tc>
          <w:tcPr>
            <w:tcW w:type="dxa" w:w="1872"/>
          </w:tcPr>
          <w:p>
            <w:pPr>
              <w:jc w:val="left"/>
            </w:pPr>
            <w:r/>
            <w:r>
              <w:rPr>
                <w:rFonts w:ascii="Times New Roman" w:hAnsi="Times New Roman"/>
                <w:sz w:val="18"/>
              </w:rPr>
              <w:t>Li 2022</w:t>
            </w:r>
          </w:p>
        </w:tc>
        <w:tc>
          <w:tcPr>
            <w:tcW w:type="dxa" w:w="1872"/>
          </w:tcPr>
          <w:p>
            <w:pPr>
              <w:jc w:val="left"/>
            </w:pPr>
            <w:r/>
            <w:r>
              <w:rPr>
                <w:rFonts w:ascii="Times New Roman" w:hAnsi="Times New Roman"/>
                <w:sz w:val="18"/>
              </w:rPr>
              <w:t>30</w:t>
            </w:r>
          </w:p>
        </w:tc>
        <w:tc>
          <w:tcPr>
            <w:tcW w:type="dxa" w:w="1872"/>
          </w:tcPr>
          <w:p>
            <w:pPr>
              <w:jc w:val="left"/>
            </w:pPr>
            <w:r/>
            <w:r>
              <w:rPr>
                <w:rFonts w:ascii="Times New Roman" w:hAnsi="Times New Roman"/>
                <w:sz w:val="18"/>
              </w:rPr>
              <w:t>204</w:t>
            </w:r>
          </w:p>
        </w:tc>
        <w:tc>
          <w:tcPr>
            <w:tcW w:type="dxa" w:w="1872"/>
          </w:tcPr>
          <w:p>
            <w:pPr>
              <w:jc w:val="left"/>
            </w:pPr>
            <w:r/>
            <w:r>
              <w:rPr>
                <w:rFonts w:ascii="Times New Roman" w:hAnsi="Times New Roman"/>
                <w:sz w:val="18"/>
              </w:rPr>
              <w:t>0.849</w:t>
            </w:r>
          </w:p>
        </w:tc>
        <w:tc>
          <w:tcPr>
            <w:tcW w:type="dxa" w:w="1872"/>
          </w:tcPr>
          <w:p>
            <w:pPr>
              <w:jc w:val="left"/>
            </w:pPr>
            <w:r/>
            <w:r>
              <w:rPr>
                <w:rFonts w:ascii="Times New Roman" w:hAnsi="Times New Roman"/>
                <w:sz w:val="18"/>
              </w:rPr>
              <w:t>0.23</w:t>
            </w:r>
          </w:p>
        </w:tc>
      </w:tr>
      <w:tr>
        <w:tc>
          <w:tcPr>
            <w:tcW w:type="dxa" w:w="1872"/>
            <w:shd w:fill="D6E4F0"/>
          </w:tcPr>
          <w:p>
            <w:pPr>
              <w:jc w:val="left"/>
            </w:pPr>
            <w:r/>
            <w:r>
              <w:rPr>
                <w:rFonts w:ascii="Times New Roman" w:hAnsi="Times New Roman"/>
                <w:b/>
                <w:sz w:val="18"/>
              </w:rPr>
              <w:t>Total</w:t>
            </w:r>
          </w:p>
        </w:tc>
        <w:tc>
          <w:tcPr>
            <w:tcW w:type="dxa" w:w="1872"/>
            <w:shd w:fill="D6E4F0"/>
          </w:tcPr>
          <w:p>
            <w:pPr>
              <w:jc w:val="left"/>
            </w:pPr>
            <w:r/>
            <w:r>
              <w:rPr>
                <w:rFonts w:ascii="Times New Roman" w:hAnsi="Times New Roman"/>
                <w:b/>
                <w:sz w:val="18"/>
              </w:rPr>
              <w:t>95</w:t>
            </w:r>
          </w:p>
        </w:tc>
        <w:tc>
          <w:tcPr>
            <w:tcW w:type="dxa" w:w="1872"/>
            <w:shd w:fill="D6E4F0"/>
          </w:tcPr>
          <w:p>
            <w:pPr>
              <w:jc w:val="left"/>
            </w:pPr>
            <w:r/>
            <w:r>
              <w:rPr>
                <w:rFonts w:ascii="Times New Roman" w:hAnsi="Times New Roman"/>
                <w:b/>
                <w:sz w:val="18"/>
              </w:rPr>
              <w:t>1,231</w:t>
            </w:r>
          </w:p>
        </w:tc>
        <w:tc>
          <w:tcPr>
            <w:tcW w:type="dxa" w:w="1872"/>
            <w:shd w:fill="D6E4F0"/>
          </w:tcPr>
          <w:p>
            <w:pPr>
              <w:jc w:val="left"/>
            </w:pPr>
            <w:r/>
            <w:r>
              <w:rPr>
                <w:rFonts w:ascii="Times New Roman" w:hAnsi="Times New Roman"/>
                <w:sz w:val="18"/>
              </w:rPr>
              <w:t>–</w:t>
            </w:r>
          </w:p>
        </w:tc>
        <w:tc>
          <w:tcPr>
            <w:tcW w:type="dxa" w:w="1872"/>
            <w:shd w:fill="D6E4F0"/>
          </w:tcPr>
          <w:p>
            <w:pPr>
              <w:jc w:val="left"/>
            </w:pPr>
            <w:r/>
            <w:r>
              <w:rPr>
                <w:rFonts w:ascii="Times New Roman" w:hAnsi="Times New Roman"/>
                <w:sz w:val="18"/>
              </w:rPr>
              <w:t>–</w:t>
            </w:r>
          </w:p>
        </w:tc>
      </w:tr>
    </w:tbl>
    <w:p>
      <w:pPr>
        <w:spacing w:before="120" w:after="120"/>
      </w:pPr>
    </w:p>
    <w:p>
      <w:r>
        <w:rPr>
          <w:rFonts w:ascii="Times New Roman" w:hAnsi="Times New Roman"/>
          <w:sz w:val="24"/>
        </w:rPr>
        <w:t>Aggregate effect sizes are highly stable for Loladze 2014 (0.09 pp) and Li 2022 (0.23 pp). At the paper level, 27 papers achieved perfect reproducibility (r = 1.0 between runs): 8 Loladze 2014, 8 Hui 2025, and 11 Li 2022. The larger Hui 2025 aggregate gap (6.31 pp) reflects the large effect-size scale of zinc biofortification studies (mean ~50%), where small proportional differences translate to large absolute differences. Five papers account for the entire discrepancy; excluding them reduces the gap to 0.31 pp.</w:t>
      </w:r>
    </w:p>
    <w:p>
      <w:pPr>
        <w:pStyle w:val="Heading2"/>
      </w:pPr>
      <w:r>
        <w:t>3.6 Error Taxonomy</w:t>
      </w:r>
    </w:p>
    <w:p>
      <w:pPr>
        <w:pStyle w:val="Heading3"/>
      </w:pPr>
      <w:r>
        <w:t>3.6.1 Classification of Discrepancies</w:t>
      </w:r>
    </w:p>
    <w:p>
      <w:r>
        <w:rPr>
          <w:rFonts w:ascii="Times New Roman" w:hAnsi="Times New Roman"/>
          <w:sz w:val="24"/>
        </w:rPr>
        <w:t>Among papers where specific extraction errors could be diagnosed, we classified each discrepancy into one of three categories:</w:t>
      </w:r>
    </w:p>
    <w:p>
      <w:r>
        <w:rPr>
          <w:rFonts w:ascii="Times New Roman" w:hAnsi="Times New Roman"/>
          <w:b/>
          <w:sz w:val="24"/>
        </w:rPr>
        <w:t>Alignment ambiguity</w:t>
      </w:r>
      <w:r>
        <w:rPr>
          <w:rFonts w:ascii="Times New Roman" w:hAnsi="Times New Roman"/>
          <w:sz w:val="24"/>
        </w:rPr>
        <w:t xml:space="preserve"> (dominant source of error). The agent extracted correct values from the correct table but selected a different factorial sub-condition than the original meta-analyst. Both are defensible analytical choices; neither is objectively wrong.</w:t>
      </w:r>
    </w:p>
    <w:p>
      <w:r>
        <w:rPr>
          <w:rFonts w:ascii="Times New Roman" w:hAnsi="Times New Roman"/>
          <w:b/>
          <w:sz w:val="24"/>
        </w:rPr>
        <w:t>Figure-reading imprecision</w:t>
      </w:r>
      <w:r>
        <w:rPr>
          <w:rFonts w:ascii="Times New Roman" w:hAnsi="Times New Roman"/>
          <w:sz w:val="24"/>
        </w:rPr>
        <w:t xml:space="preserve"> (secondary source). In papers where data were presented only in bar charts, the agent occasionally estimated bar heights imprecisely.</w:t>
      </w:r>
    </w:p>
    <w:p>
      <w:r>
        <w:rPr>
          <w:rFonts w:ascii="Times New Roman" w:hAnsi="Times New Roman"/>
          <w:b/>
          <w:sz w:val="24"/>
        </w:rPr>
        <w:t>Wrong outcome variable</w:t>
      </w:r>
      <w:r>
        <w:rPr>
          <w:rFonts w:ascii="Times New Roman" w:hAnsi="Times New Roman"/>
          <w:sz w:val="24"/>
        </w:rPr>
        <w:t xml:space="preserve"> (rare). In one of 136 papers (Baxter 1994 in the Loladze 2014 dataset), the agent extracted total nutrient content (mg/plant) instead of concentration (mg/g).</w:t>
      </w:r>
    </w:p>
    <w:p>
      <w:r>
        <w:rPr>
          <w:rFonts w:ascii="Times New Roman" w:hAnsi="Times New Roman"/>
          <w:sz w:val="24"/>
        </w:rPr>
        <w:t>No instances of treatment/control column confusion were identified across any of the five datasets.</w:t>
      </w:r>
    </w:p>
    <w:p>
      <w:pPr>
        <w:pStyle w:val="Heading3"/>
      </w:pPr>
      <w:r>
        <w:t>3.6.2 The Granularity Barrier</w:t>
      </w:r>
    </w:p>
    <w:p>
      <w:r>
        <w:rPr>
          <w:rFonts w:ascii="Times New Roman" w:hAnsi="Times New Roman"/>
          <w:sz w:val="24"/>
        </w:rPr>
        <w:t>The dominance of alignment ambiguity over reading errors reveals a structural constraint we term the "Granularity Barrier." Complex factorial experiments present multiple valid extraction targets within the same table. Improving the AI's reading ability would yield diminishing returns when the binding constraint is the analytical decision of which sub-condition to extract. This explains why aggregate effect errors (0.01–1.61 pp) are substantially smaller than per-observation MAE (0.43–3.06 pp): alignment ambiguities add noise at the observation level but cancel when pooled.</w:t>
      </w:r>
    </w:p>
    <w:p>
      <w:r>
        <w:rPr>
          <w:rFonts w:ascii="Times New Roman" w:hAnsi="Times New Roman"/>
          <w:sz w:val="24"/>
        </w:rPr>
        <w:t>This barrier is not specific to AI extraction. Human dual-extractors face the same challenge when instructions do not fully specify which factorial combination to extract. Topp et al. (2023) documented the absence of standardized reporting checklists for agricultural experiments; adopting such checklists could reduce alignment ambiguity for both human and AI extractors.</w:t>
      </w:r>
    </w:p>
    <w:p>
      <w:pPr>
        <w:pStyle w:val="Heading1"/>
      </w:pPr>
      <w:r>
        <w:t>4. Discussion</w:t>
      </w:r>
    </w:p>
    <w:p>
      <w:pPr>
        <w:pStyle w:val="Heading2"/>
      </w:pPr>
      <w:r>
        <w:t>4.1 Principal Findings</w:t>
      </w:r>
    </w:p>
    <w:p>
      <w:r>
        <w:rPr>
          <w:rFonts w:ascii="Times New Roman" w:hAnsi="Times New Roman"/>
          <w:sz w:val="24"/>
        </w:rPr>
        <w:t>A single general-purpose AI agent achieves statistical equivalence with published reference data across five diverse agricultural datasets, validated on 1,149 observations from 136 papers. Proportional TOST equivalence testing – with margins scaled to 20% of each dataset's mean absolute effect – confirmed equivalence for all five datasets. Agreement was excellent across all datasets (Hui 2025 r = 0.999, Li 2024 (biochar) r = 0.997, Boldorini 2024 r = 0.996, Li 2022 r = 0.994, Loladze 2014 r = 0.984). Aggregate effects were reproduced within 0.01–1.61 pp.</w:t>
      </w:r>
    </w:p>
    <w:p>
      <w:r>
        <w:rPr>
          <w:rFonts w:ascii="Times New Roman" w:hAnsi="Times New Roman"/>
          <w:sz w:val="24"/>
        </w:rPr>
        <w:t>The strength of these results lies not in any single dataset but in their consistency across domains. Zinc biofortification, biostimulant efficacy, biochar soil amendments, predator biocontrol, and CO2 effects on mineral nutrition represent substantially different experimental paradigms, reporting conventions, and effect-size scales. That a single agent with a single set of instructions achieves equivalence across all five suggests that the capability is general rather than domain-specific.</w:t>
      </w:r>
    </w:p>
    <w:p>
      <w:r>
        <w:rPr>
          <w:rFonts w:ascii="Times New Roman" w:hAnsi="Times New Roman"/>
          <w:sz w:val="24"/>
        </w:rPr>
        <w:t>The Li 2024 (biochar) dataset provides the most compelling individual result: as a fully prospective holdout processed after all methods were finalized, it achieved r = 0.997, MAE = 1.2 pp, with 22 of 26 papers scoring Excellent and zero Poor-tier papers. This is, to our knowledge, the strongest extraction validation result reported in the literature for continuous numerical outcomes.</w:t>
      </w:r>
    </w:p>
    <w:p>
      <w:pPr>
        <w:pStyle w:val="Heading2"/>
      </w:pPr>
      <w:r>
        <w:t>4.2 Alignment Error as a Methodological Contribution</w:t>
      </w:r>
    </w:p>
    <w:p>
      <w:r>
        <w:rPr>
          <w:rFonts w:ascii="Times New Roman" w:hAnsi="Times New Roman"/>
          <w:sz w:val="24"/>
        </w:rPr>
        <w:t>The most important methodological finding is the magnitude of alignment error relative to extraction error. On the Li 2024 (biochar) dataset, switching from dictionary-based to LLM-driven alignment improved r from 0.377 to 0.997 without changing a single extracted value. On Li 2022, scale harmonization improved r from 0.453 to 0.994. These improvements mean that the same extraction output can appear to fail or succeed depending entirely on the matching procedure used for validation.</w:t>
      </w:r>
    </w:p>
    <w:p>
      <w:r>
        <w:rPr>
          <w:rFonts w:ascii="Times New Roman" w:hAnsi="Times New Roman"/>
          <w:sz w:val="24"/>
        </w:rPr>
        <w:t>This has two implications. First, published validation studies of extraction tools may substantially underestimate extraction quality when using rigid matching procedures. Low accuracy scores in the literature may partly reflect matching artifacts rather than genuine extraction failure. Second, LLM-driven alignment offers a general solution: the LLM automatically discovers synonym mappings, unit conversions, and naming convention differences that would require extensive manual curation to encode in dictionaries.</w:t>
      </w:r>
    </w:p>
    <w:p>
      <w:r>
        <w:rPr>
          <w:rFonts w:ascii="Times New Roman" w:hAnsi="Times New Roman"/>
          <w:sz w:val="24"/>
        </w:rPr>
        <w:t>The alignment output is cached as a human-editable JSON file, preserving transparency and allowing manual override of any mapping the LLM proposes. This is analogous to data harmonization in multi-site clinical trials, where the challenge is not data collection but reconciliation of heterogeneous coding systems.</w:t>
      </w:r>
    </w:p>
    <w:p>
      <w:pPr>
        <w:pStyle w:val="Heading2"/>
      </w:pPr>
      <w:r>
        <w:t>4.3 The Proportional TOST Framework</w:t>
      </w:r>
    </w:p>
    <w:p>
      <w:r>
        <w:rPr>
          <w:rFonts w:ascii="Times New Roman" w:hAnsi="Times New Roman"/>
          <w:sz w:val="24"/>
        </w:rPr>
        <w:t>A fixed absolute equivalence margin cannot serve across datasets with order-of-magnitude differences in effect size. A +-3 pp margin is approximately one-quarter of the mean absolute effect for Loladze 2014 (~12%) but less than one-tenth of the mean effect for Hui 2025 (~50%). The proportional approach – setting the margin at +-20% of the mean absolute effect – asks a consistent question across datasets: is the extraction bias small relative to the phenomenon?</w:t>
      </w:r>
    </w:p>
    <w:p>
      <w:r>
        <w:rPr>
          <w:rFonts w:ascii="Times New Roman" w:hAnsi="Times New Roman"/>
          <w:sz w:val="24"/>
        </w:rPr>
        <w:t>The 20% threshold is motivated by practical considerations: under inverse-variance pooling, a systematic bias of 20% of the mean effect would shift the pooled estimate by 20% of itself. For most meta-analytic applications, this would not change the qualitative conclusion (e.g., whether an effect is positive or negative, or whether it exceeds a policy-relevant threshold). We encourage future validation studies to adopt proportional margins and to justify their choice of threshold explicitly.</w:t>
      </w:r>
    </w:p>
    <w:p>
      <w:pPr>
        <w:pStyle w:val="Heading2"/>
      </w:pPr>
      <w:r>
        <w:t>4.4 Loladze 2014: Alignment Error, Not Extraction Error</w:t>
      </w:r>
    </w:p>
    <w:p>
      <w:r>
        <w:rPr>
          <w:rFonts w:ascii="Times New Roman" w:hAnsi="Times New Roman"/>
          <w:sz w:val="24"/>
        </w:rPr>
        <w:t>The Loladze 2014 dataset illustrates the central methodological finding of this paper: most apparent extraction error is actually alignment error. Under the original metadata-based matching protocol, the dataset appeared to be the weakest result (r = 0.812, MAE = 6.2 pp, 646 matched observations). LLM-driven alignment of the same extracted data produced r = 0.984, MAE = 1.36 pp (413 matched observations), with an aggregate effect difference of just 0.01 pp. No extracted values were changed; only the matching procedure improved.</w:t>
      </w:r>
    </w:p>
    <w:p>
      <w:r>
        <w:rPr>
          <w:rFonts w:ascii="Times New Roman" w:hAnsi="Times New Roman"/>
          <w:sz w:val="24"/>
        </w:rPr>
        <w:t>This transformation confirms that the original low correlation was dominated by factorial alignment mismatches – cases where the metadata matcher linked an extracted observation to the wrong ground-truth row within the same paper and element. The LLM-driven alignment resolved most of these mismatches by leveraging contextual understanding of factorial designs (e.g., distinguishing "ambient CO2, high N, irrigated" from "elevated CO2, low N, rainfed" based on semantic similarity rather than keyword matching).</w:t>
      </w:r>
    </w:p>
    <w:p>
      <w:r>
        <w:rPr>
          <w:rFonts w:ascii="Times New Roman" w:hAnsi="Times New Roman"/>
          <w:sz w:val="24"/>
        </w:rPr>
        <w:t>Residual disagreements (MAE = 1.36 pp) reflect genuine challenges in this dataset:</w:t>
      </w:r>
    </w:p>
    <w:p>
      <w:pPr>
        <w:pStyle w:val="ListNumber"/>
      </w:pPr>
      <w:r>
        <w:rPr>
          <w:rFonts w:ascii="Times New Roman" w:hAnsi="Times New Roman"/>
          <w:b/>
          <w:sz w:val="24"/>
        </w:rPr>
        <w:t>Factorial ambiguity.</w:t>
      </w:r>
      <w:r>
        <w:rPr>
          <w:rFonts w:ascii="Times New Roman" w:hAnsi="Times New Roman"/>
          <w:sz w:val="24"/>
        </w:rPr>
        <w:t xml:space="preserve"> Multi-factor designs (CO2 x cultivar x ozone x nitrogen x harvest date) produce dozens of treatment combinations per table. Some ground-truth rows aggregate across conditions that the agent extracted separately, or vice versa.</w:t>
      </w:r>
    </w:p>
    <w:p>
      <w:pPr>
        <w:pStyle w:val="ListNumber"/>
      </w:pPr>
      <w:r>
        <w:rPr>
          <w:rFonts w:ascii="Times New Roman" w:hAnsi="Times New Roman"/>
          <w:b/>
          <w:sz w:val="24"/>
        </w:rPr>
        <w:t>Figure-dominated papers.</w:t>
      </w:r>
      <w:r>
        <w:rPr>
          <w:rFonts w:ascii="Times New Roman" w:hAnsi="Times New Roman"/>
          <w:sz w:val="24"/>
        </w:rPr>
        <w:t xml:space="preserve"> Several Loladze 2014 papers present mineral concentration data only in bar charts, requiring visual estimation.</w:t>
      </w:r>
    </w:p>
    <w:p>
      <w:pPr>
        <w:pStyle w:val="ListNumber"/>
      </w:pPr>
      <w:r>
        <w:rPr>
          <w:rFonts w:ascii="Times New Roman" w:hAnsi="Times New Roman"/>
          <w:b/>
          <w:sz w:val="24"/>
        </w:rPr>
        <w:t>Small effect sizes.</w:t>
      </w:r>
      <w:r>
        <w:rPr>
          <w:rFonts w:ascii="Times New Roman" w:hAnsi="Times New Roman"/>
          <w:sz w:val="24"/>
        </w:rPr>
        <w:t xml:space="preserve"> With a mean effect of approximately -8%, even a 1.36 pp MAE represents a relative error of ~17%. The same absolute error on the Hui 2025 dataset (mean effect ~50%) would represent less than 3% relative error.</w:t>
      </w:r>
    </w:p>
    <w:p>
      <w:r>
        <w:rPr>
          <w:rFonts w:ascii="Times New Roman" w:hAnsi="Times New Roman"/>
          <w:sz w:val="24"/>
        </w:rPr>
        <w:t>Despite these challenges, the Loladze 2014 result (r = 0.984, Cohen's d = 0.004, aggregate effect within 0.01 pp) is now consistent with the other four datasets, supporting the conclusion that extraction quality is uniformly high across all five validation domains.</w:t>
      </w:r>
    </w:p>
    <w:p>
      <w:pPr>
        <w:pStyle w:val="Heading2"/>
      </w:pPr>
      <w:r>
        <w:t>4.5 Source Type as a Quality Signal</w:t>
      </w:r>
    </w:p>
    <w:p>
      <w:r>
        <w:rPr>
          <w:rFonts w:ascii="Times New Roman" w:hAnsi="Times New Roman"/>
          <w:sz w:val="24"/>
        </w:rPr>
        <w:t>The 5.5x accuracy difference between table-sourced and figure-sourced observations (Li 2024 (biochar): 0.57 vs. 3.12 pp median MAE) provides a practical quality signal for downstream users. Meta-analysts who require maximum precision can restrict to table-sourced observations; those who need comprehensive coverage can include figure-sourced data with appropriate caution.</w:t>
      </w:r>
    </w:p>
    <w:p>
      <w:r>
        <w:rPr>
          <w:rFonts w:ascii="Times New Roman" w:hAnsi="Times New Roman"/>
          <w:sz w:val="24"/>
        </w:rPr>
        <w:t>The finding also has implications for reporting standards in primary research: presenting key quantitative data in tables rather than figures directly improves the reliability of downstream meta-analytic synthesis, whether performed by humans or machines.</w:t>
      </w:r>
    </w:p>
    <w:p>
      <w:pPr>
        <w:pStyle w:val="Heading2"/>
      </w:pPr>
      <w:r>
        <w:t>4.6 Cost-Effectiveness</w:t>
      </w:r>
    </w:p>
    <w:p>
      <w:r>
        <w:rPr>
          <w:rFonts w:ascii="Times New Roman" w:hAnsi="Times New Roman"/>
          <w:sz w:val="24"/>
        </w:rPr>
        <w:t>The agent was run using Claude Code Pro at a flat subscription fee of $200/month. At this pricing, the entire 137-paper validation was completed within a single subscription period, making the effective per-paper cost negligible at scale. By comparison, manual extraction costs an estimated $60–240/paper for single extraction and $120–480/paper for dual extraction (2–8 hours x $30/hour; Schmidt et al., 2025).</w:t>
      </w:r>
    </w:p>
    <w:p>
      <w:r>
        <w:rPr>
          <w:rFonts w:ascii="Times New Roman" w:hAnsi="Times New Roman"/>
          <w:sz w:val="24"/>
        </w:rPr>
        <w:t>For a hypothetical 500-paper agricultural meta-analysis, manual dual extraction would require an estimated $60,000–240,000 and 6–12 months of researcher time; the agent would complete the same task in under a week. This cost reduction makes living meta-analyses (Elliott et al., 2014) economically viable: periodic re-extraction of an entire literature can be performed at trivial marginal cost.</w:t>
      </w:r>
    </w:p>
    <w:p>
      <w:pPr>
        <w:pStyle w:val="Heading2"/>
      </w:pPr>
      <w:r>
        <w:t>4.7 Comparison with Published Systems</w:t>
      </w:r>
    </w:p>
    <w:p>
      <w:r>
        <w:rPr>
          <w:rFonts w:ascii="Times New Roman" w:hAnsi="Times New Roman"/>
          <w:sz w:val="24"/>
        </w:rPr>
        <w:t>[TABLE 10: Comparison with published LLM extraction systems.]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2F5496"/>
          </w:tcPr>
          <w:p>
            <w:pPr>
              <w:jc w:val="left"/>
            </w:pPr>
            <w:r>
              <w:rPr>
                <w:b/>
                <w:color w:val="FFFFFF"/>
              </w:rPr>
            </w:r>
            <w:r>
              <w:rPr>
                <w:rFonts w:ascii="Times New Roman" w:hAnsi="Times New Roman"/>
                <w:b/>
                <w:color w:val="FFFFFF"/>
                <w:sz w:val="18"/>
              </w:rPr>
              <w:t>System</w:t>
            </w:r>
          </w:p>
        </w:tc>
        <w:tc>
          <w:tcPr>
            <w:tcW w:type="dxa" w:w="1560"/>
            <w:shd w:fill="2F5496"/>
          </w:tcPr>
          <w:p>
            <w:pPr>
              <w:jc w:val="center"/>
            </w:pPr>
            <w:r>
              <w:rPr>
                <w:b/>
                <w:color w:val="FFFFFF"/>
              </w:rPr>
            </w:r>
            <w:r>
              <w:rPr>
                <w:rFonts w:ascii="Times New Roman" w:hAnsi="Times New Roman"/>
                <w:b/>
                <w:color w:val="FFFFFF"/>
                <w:sz w:val="18"/>
              </w:rPr>
              <w:t>Domain</w:t>
            </w:r>
          </w:p>
        </w:tc>
        <w:tc>
          <w:tcPr>
            <w:tcW w:type="dxa" w:w="1560"/>
            <w:shd w:fill="2F5496"/>
          </w:tcPr>
          <w:p>
            <w:pPr>
              <w:jc w:val="center"/>
            </w:pPr>
            <w:r>
              <w:rPr>
                <w:b/>
                <w:color w:val="FFFFFF"/>
              </w:rPr>
            </w:r>
            <w:r>
              <w:rPr>
                <w:rFonts w:ascii="Times New Roman" w:hAnsi="Times New Roman"/>
                <w:b/>
                <w:color w:val="FFFFFF"/>
                <w:sz w:val="18"/>
              </w:rPr>
              <w:t>Models</w:t>
            </w:r>
          </w:p>
        </w:tc>
        <w:tc>
          <w:tcPr>
            <w:tcW w:type="dxa" w:w="1560"/>
            <w:shd w:fill="2F5496"/>
          </w:tcPr>
          <w:p>
            <w:pPr>
              <w:jc w:val="center"/>
            </w:pPr>
            <w:r>
              <w:rPr>
                <w:b/>
                <w:color w:val="FFFFFF"/>
              </w:rPr>
            </w:r>
            <w:r>
              <w:rPr>
                <w:rFonts w:ascii="Times New Roman" w:hAnsi="Times New Roman"/>
                <w:b/>
                <w:color w:val="FFFFFF"/>
                <w:sz w:val="18"/>
              </w:rPr>
              <w:t>Quant. metric</w:t>
            </w:r>
          </w:p>
        </w:tc>
        <w:tc>
          <w:tcPr>
            <w:tcW w:type="dxa" w:w="1560"/>
            <w:shd w:fill="2F5496"/>
          </w:tcPr>
          <w:p>
            <w:pPr>
              <w:jc w:val="center"/>
            </w:pPr>
            <w:r>
              <w:rPr>
                <w:b/>
                <w:color w:val="FFFFFF"/>
              </w:rPr>
            </w:r>
            <w:r>
              <w:rPr>
                <w:rFonts w:ascii="Times New Roman" w:hAnsi="Times New Roman"/>
                <w:b/>
                <w:color w:val="FFFFFF"/>
                <w:sz w:val="18"/>
              </w:rPr>
              <w:t>Equivalence test</w:t>
            </w:r>
          </w:p>
        </w:tc>
        <w:tc>
          <w:tcPr>
            <w:tcW w:type="dxa" w:w="1560"/>
            <w:shd w:fill="2F5496"/>
          </w:tcPr>
          <w:p>
            <w:pPr>
              <w:jc w:val="center"/>
            </w:pPr>
            <w:r>
              <w:rPr>
                <w:b/>
                <w:color w:val="FFFFFF"/>
              </w:rPr>
            </w:r>
            <w:r>
              <w:rPr>
                <w:rFonts w:ascii="Times New Roman" w:hAnsi="Times New Roman"/>
                <w:b/>
                <w:color w:val="FFFFFF"/>
                <w:sz w:val="18"/>
              </w:rPr>
              <w:t>Reproducibility</w:t>
            </w:r>
          </w:p>
        </w:tc>
      </w:tr>
      <w:tr>
        <w:tc>
          <w:tcPr>
            <w:tcW w:type="dxa" w:w="1560"/>
          </w:tcPr>
          <w:p>
            <w:pPr>
              <w:jc w:val="left"/>
            </w:pPr>
            <w:r/>
            <w:r>
              <w:rPr>
                <w:rFonts w:ascii="Times New Roman" w:hAnsi="Times New Roman"/>
                <w:sz w:val="18"/>
              </w:rPr>
              <w:t>Jansen et al. 2025</w:t>
            </w:r>
          </w:p>
        </w:tc>
        <w:tc>
          <w:tcPr>
            <w:tcW w:type="dxa" w:w="1560"/>
          </w:tcPr>
          <w:p>
            <w:pPr>
              <w:jc w:val="left"/>
            </w:pPr>
            <w:r/>
            <w:r>
              <w:rPr>
                <w:rFonts w:ascii="Times New Roman" w:hAnsi="Times New Roman"/>
                <w:sz w:val="18"/>
              </w:rPr>
              <w:t>Psychology</w:t>
            </w:r>
          </w:p>
        </w:tc>
        <w:tc>
          <w:tcPr>
            <w:tcW w:type="dxa" w:w="1560"/>
          </w:tcPr>
          <w:p>
            <w:pPr>
              <w:jc w:val="left"/>
            </w:pPr>
            <w:r/>
            <w:r>
              <w:rPr>
                <w:rFonts w:ascii="Times New Roman" w:hAnsi="Times New Roman"/>
                <w:sz w:val="18"/>
              </w:rPr>
              <w:t>6</w:t>
            </w:r>
          </w:p>
        </w:tc>
        <w:tc>
          <w:tcPr>
            <w:tcW w:type="dxa" w:w="1560"/>
          </w:tcPr>
          <w:p>
            <w:pPr>
              <w:jc w:val="left"/>
            </w:pPr>
            <w:r/>
            <w:r>
              <w:rPr>
                <w:rFonts w:ascii="Times New Roman" w:hAnsi="Times New Roman"/>
                <w:sz w:val="18"/>
              </w:rPr>
              <w:t>26–36% means/SDs/Ns</w:t>
            </w:r>
          </w:p>
        </w:tc>
        <w:tc>
          <w:tcPr>
            <w:tcW w:type="dxa" w:w="1560"/>
          </w:tcPr>
          <w:p>
            <w:pPr>
              <w:jc w:val="left"/>
            </w:pPr>
            <w:r/>
            <w:r>
              <w:rPr>
                <w:rFonts w:ascii="Times New Roman" w:hAnsi="Times New Roman"/>
                <w:sz w:val="18"/>
              </w:rPr>
              <w:t>No</w:t>
            </w:r>
          </w:p>
        </w:tc>
        <w:tc>
          <w:tcPr>
            <w:tcW w:type="dxa" w:w="1560"/>
          </w:tcPr>
          <w:p>
            <w:pPr>
              <w:jc w:val="left"/>
            </w:pPr>
            <w:r/>
            <w:r>
              <w:rPr>
                <w:rFonts w:ascii="Times New Roman" w:hAnsi="Times New Roman"/>
                <w:sz w:val="18"/>
              </w:rPr>
              <w:t>No</w:t>
            </w:r>
          </w:p>
        </w:tc>
      </w:tr>
      <w:tr>
        <w:tc>
          <w:tcPr>
            <w:tcW w:type="dxa" w:w="1560"/>
            <w:shd w:fill="D6E4F0"/>
          </w:tcPr>
          <w:p>
            <w:pPr>
              <w:jc w:val="left"/>
            </w:pPr>
            <w:r/>
            <w:r>
              <w:rPr>
                <w:rFonts w:ascii="Times New Roman" w:hAnsi="Times New Roman"/>
                <w:sz w:val="18"/>
              </w:rPr>
              <w:t>Kataoka et al. 2026</w:t>
            </w:r>
          </w:p>
        </w:tc>
        <w:tc>
          <w:tcPr>
            <w:tcW w:type="dxa" w:w="1560"/>
            <w:shd w:fill="D6E4F0"/>
          </w:tcPr>
          <w:p>
            <w:pPr>
              <w:jc w:val="left"/>
            </w:pPr>
            <w:r/>
            <w:r>
              <w:rPr>
                <w:rFonts w:ascii="Times New Roman" w:hAnsi="Times New Roman"/>
                <w:sz w:val="18"/>
              </w:rPr>
              <w:t>Clinical</w:t>
            </w:r>
          </w:p>
        </w:tc>
        <w:tc>
          <w:tcPr>
            <w:tcW w:type="dxa" w:w="1560"/>
            <w:shd w:fill="D6E4F0"/>
          </w:tcPr>
          <w:p>
            <w:pPr>
              <w:jc w:val="left"/>
            </w:pPr>
            <w:r/>
            <w:r>
              <w:rPr>
                <w:rFonts w:ascii="Times New Roman" w:hAnsi="Times New Roman"/>
                <w:sz w:val="18"/>
              </w:rPr>
              <w:t>2</w:t>
            </w:r>
          </w:p>
        </w:tc>
        <w:tc>
          <w:tcPr>
            <w:tcW w:type="dxa" w:w="1560"/>
            <w:shd w:fill="D6E4F0"/>
          </w:tcPr>
          <w:p>
            <w:pPr>
              <w:jc w:val="left"/>
            </w:pPr>
            <w:r/>
            <w:r>
              <w:rPr>
                <w:rFonts w:ascii="Times New Roman" w:hAnsi="Times New Roman"/>
                <w:sz w:val="18"/>
              </w:rPr>
              <w:t>75.3% overall (o3)</w:t>
            </w:r>
          </w:p>
        </w:tc>
        <w:tc>
          <w:tcPr>
            <w:tcW w:type="dxa" w:w="1560"/>
            <w:shd w:fill="D6E4F0"/>
          </w:tcPr>
          <w:p>
            <w:pPr>
              <w:jc w:val="left"/>
            </w:pPr>
            <w:r/>
            <w:r>
              <w:rPr>
                <w:rFonts w:ascii="Times New Roman" w:hAnsi="Times New Roman"/>
                <w:sz w:val="18"/>
              </w:rPr>
              <w:t>No</w:t>
            </w:r>
          </w:p>
        </w:tc>
        <w:tc>
          <w:tcPr>
            <w:tcW w:type="dxa" w:w="1560"/>
            <w:shd w:fill="D6E4F0"/>
          </w:tcPr>
          <w:p>
            <w:pPr>
              <w:jc w:val="left"/>
            </w:pPr>
            <w:r/>
            <w:r>
              <w:rPr>
                <w:rFonts w:ascii="Times New Roman" w:hAnsi="Times New Roman"/>
                <w:sz w:val="18"/>
              </w:rPr>
              <w:t>No</w:t>
            </w:r>
          </w:p>
        </w:tc>
      </w:tr>
      <w:tr>
        <w:tc>
          <w:tcPr>
            <w:tcW w:type="dxa" w:w="1560"/>
          </w:tcPr>
          <w:p>
            <w:pPr>
              <w:jc w:val="left"/>
            </w:pPr>
            <w:r/>
            <w:r>
              <w:rPr>
                <w:rFonts w:ascii="Times New Roman" w:hAnsi="Times New Roman"/>
                <w:sz w:val="18"/>
              </w:rPr>
              <w:t>Poser et al. 2026</w:t>
            </w:r>
          </w:p>
        </w:tc>
        <w:tc>
          <w:tcPr>
            <w:tcW w:type="dxa" w:w="1560"/>
          </w:tcPr>
          <w:p>
            <w:pPr>
              <w:jc w:val="left"/>
            </w:pPr>
            <w:r/>
            <w:r>
              <w:rPr>
                <w:rFonts w:ascii="Times New Roman" w:hAnsi="Times New Roman"/>
                <w:sz w:val="18"/>
              </w:rPr>
              <w:t>Clinical</w:t>
            </w:r>
          </w:p>
        </w:tc>
        <w:tc>
          <w:tcPr>
            <w:tcW w:type="dxa" w:w="1560"/>
          </w:tcPr>
          <w:p>
            <w:pPr>
              <w:jc w:val="left"/>
            </w:pPr>
            <w:r/>
            <w:r>
              <w:rPr>
                <w:rFonts w:ascii="Times New Roman" w:hAnsi="Times New Roman"/>
                <w:sz w:val="18"/>
              </w:rPr>
              <w:t>3</w:t>
            </w:r>
          </w:p>
        </w:tc>
        <w:tc>
          <w:tcPr>
            <w:tcW w:type="dxa" w:w="1560"/>
          </w:tcPr>
          <w:p>
            <w:pPr>
              <w:jc w:val="left"/>
            </w:pPr>
            <w:r/>
            <w:r>
              <w:rPr>
                <w:rFonts w:ascii="Times New Roman" w:hAnsi="Times New Roman"/>
                <w:sz w:val="18"/>
              </w:rPr>
              <w:t>1.48% true-error</w:t>
            </w:r>
          </w:p>
        </w:tc>
        <w:tc>
          <w:tcPr>
            <w:tcW w:type="dxa" w:w="1560"/>
          </w:tcPr>
          <w:p>
            <w:pPr>
              <w:jc w:val="left"/>
            </w:pPr>
            <w:r/>
            <w:r>
              <w:rPr>
                <w:rFonts w:ascii="Times New Roman" w:hAnsi="Times New Roman"/>
                <w:sz w:val="18"/>
              </w:rPr>
              <w:t>No</w:t>
            </w:r>
          </w:p>
        </w:tc>
        <w:tc>
          <w:tcPr>
            <w:tcW w:type="dxa" w:w="1560"/>
          </w:tcPr>
          <w:p>
            <w:pPr>
              <w:jc w:val="left"/>
            </w:pPr>
            <w:r/>
            <w:r>
              <w:rPr>
                <w:rFonts w:ascii="Times New Roman" w:hAnsi="Times New Roman"/>
                <w:sz w:val="18"/>
              </w:rPr>
              <w:t>No</w:t>
            </w:r>
          </w:p>
        </w:tc>
      </w:tr>
      <w:tr>
        <w:tc>
          <w:tcPr>
            <w:tcW w:type="dxa" w:w="1560"/>
            <w:shd w:fill="D6E4F0"/>
          </w:tcPr>
          <w:p>
            <w:pPr>
              <w:jc w:val="left"/>
            </w:pPr>
            <w:r/>
            <w:r>
              <w:rPr>
                <w:rFonts w:ascii="Times New Roman" w:hAnsi="Times New Roman"/>
                <w:sz w:val="18"/>
              </w:rPr>
              <w:t>Cao et al. 2025 (OttoSR)</w:t>
            </w:r>
          </w:p>
        </w:tc>
        <w:tc>
          <w:tcPr>
            <w:tcW w:type="dxa" w:w="1560"/>
            <w:shd w:fill="D6E4F0"/>
          </w:tcPr>
          <w:p>
            <w:pPr>
              <w:jc w:val="left"/>
            </w:pPr>
            <w:r/>
            <w:r>
              <w:rPr>
                <w:rFonts w:ascii="Times New Roman" w:hAnsi="Times New Roman"/>
                <w:sz w:val="18"/>
              </w:rPr>
              <w:t>Clinical</w:t>
            </w:r>
          </w:p>
        </w:tc>
        <w:tc>
          <w:tcPr>
            <w:tcW w:type="dxa" w:w="1560"/>
            <w:shd w:fill="D6E4F0"/>
          </w:tcPr>
          <w:p>
            <w:pPr>
              <w:jc w:val="left"/>
            </w:pPr>
            <w:r/>
            <w:r>
              <w:rPr>
                <w:rFonts w:ascii="Times New Roman" w:hAnsi="Times New Roman"/>
                <w:sz w:val="18"/>
              </w:rPr>
              <w:t>Multiple</w:t>
            </w:r>
          </w:p>
        </w:tc>
        <w:tc>
          <w:tcPr>
            <w:tcW w:type="dxa" w:w="1560"/>
            <w:shd w:fill="D6E4F0"/>
          </w:tcPr>
          <w:p>
            <w:pPr>
              <w:jc w:val="left"/>
            </w:pPr>
            <w:r/>
            <w:r>
              <w:rPr>
                <w:rFonts w:ascii="Times New Roman" w:hAnsi="Times New Roman"/>
                <w:sz w:val="18"/>
              </w:rPr>
              <w:t>93.1% (vs. 79.7% human)</w:t>
            </w:r>
          </w:p>
        </w:tc>
        <w:tc>
          <w:tcPr>
            <w:tcW w:type="dxa" w:w="1560"/>
            <w:shd w:fill="D6E4F0"/>
          </w:tcPr>
          <w:p>
            <w:pPr>
              <w:jc w:val="left"/>
            </w:pPr>
            <w:r/>
            <w:r>
              <w:rPr>
                <w:rFonts w:ascii="Times New Roman" w:hAnsi="Times New Roman"/>
                <w:sz w:val="18"/>
              </w:rPr>
              <w:t>No</w:t>
            </w:r>
          </w:p>
        </w:tc>
        <w:tc>
          <w:tcPr>
            <w:tcW w:type="dxa" w:w="1560"/>
            <w:shd w:fill="D6E4F0"/>
          </w:tcPr>
          <w:p>
            <w:pPr>
              <w:jc w:val="left"/>
            </w:pPr>
            <w:r/>
            <w:r>
              <w:rPr>
                <w:rFonts w:ascii="Times New Roman" w:hAnsi="Times New Roman"/>
                <w:sz w:val="18"/>
              </w:rPr>
              <w:t>No</w:t>
            </w:r>
          </w:p>
        </w:tc>
      </w:tr>
      <w:tr>
        <w:tc>
          <w:tcPr>
            <w:tcW w:type="dxa" w:w="1560"/>
          </w:tcPr>
          <w:p>
            <w:pPr>
              <w:jc w:val="left"/>
            </w:pPr>
            <w:r/>
            <w:r>
              <w:rPr>
                <w:rFonts w:ascii="Times New Roman" w:hAnsi="Times New Roman"/>
                <w:sz w:val="18"/>
              </w:rPr>
              <w:t>Gartlehner et al. 2025</w:t>
            </w:r>
          </w:p>
        </w:tc>
        <w:tc>
          <w:tcPr>
            <w:tcW w:type="dxa" w:w="1560"/>
          </w:tcPr>
          <w:p>
            <w:pPr>
              <w:jc w:val="left"/>
            </w:pPr>
            <w:r/>
            <w:r>
              <w:rPr>
                <w:rFonts w:ascii="Times New Roman" w:hAnsi="Times New Roman"/>
                <w:sz w:val="18"/>
              </w:rPr>
              <w:t>Clinical</w:t>
            </w:r>
          </w:p>
        </w:tc>
        <w:tc>
          <w:tcPr>
            <w:tcW w:type="dxa" w:w="1560"/>
          </w:tcPr>
          <w:p>
            <w:pPr>
              <w:jc w:val="left"/>
            </w:pPr>
            <w:r/>
            <w:r>
              <w:rPr>
                <w:rFonts w:ascii="Times New Roman" w:hAnsi="Times New Roman"/>
                <w:sz w:val="18"/>
              </w:rPr>
              <w:t>1</w:t>
            </w:r>
          </w:p>
        </w:tc>
        <w:tc>
          <w:tcPr>
            <w:tcW w:type="dxa" w:w="1560"/>
          </w:tcPr>
          <w:p>
            <w:pPr>
              <w:jc w:val="left"/>
            </w:pPr>
            <w:r/>
            <w:r>
              <w:rPr>
                <w:rFonts w:ascii="Times New Roman" w:hAnsi="Times New Roman"/>
                <w:sz w:val="18"/>
              </w:rPr>
              <w:t>91.0% (vs. 89.0% human)</w:t>
            </w:r>
          </w:p>
        </w:tc>
        <w:tc>
          <w:tcPr>
            <w:tcW w:type="dxa" w:w="1560"/>
          </w:tcPr>
          <w:p>
            <w:pPr>
              <w:jc w:val="left"/>
            </w:pPr>
            <w:r/>
            <w:r>
              <w:rPr>
                <w:rFonts w:ascii="Times New Roman" w:hAnsi="Times New Roman"/>
                <w:sz w:val="18"/>
              </w:rPr>
              <w:t>No</w:t>
            </w:r>
          </w:p>
        </w:tc>
        <w:tc>
          <w:tcPr>
            <w:tcW w:type="dxa" w:w="1560"/>
          </w:tcPr>
          <w:p>
            <w:pPr>
              <w:jc w:val="left"/>
            </w:pPr>
            <w:r/>
            <w:r>
              <w:rPr>
                <w:rFonts w:ascii="Times New Roman" w:hAnsi="Times New Roman"/>
                <w:sz w:val="18"/>
              </w:rPr>
              <w:t>No</w:t>
            </w:r>
          </w:p>
        </w:tc>
      </w:tr>
      <w:tr>
        <w:tc>
          <w:tcPr>
            <w:tcW w:type="dxa" w:w="1560"/>
            <w:shd w:fill="D6E4F0"/>
          </w:tcPr>
          <w:p>
            <w:pPr>
              <w:jc w:val="left"/>
            </w:pPr>
            <w:r/>
            <w:r>
              <w:rPr>
                <w:rFonts w:ascii="Times New Roman" w:hAnsi="Times New Roman"/>
                <w:sz w:val="18"/>
              </w:rPr>
              <w:t>Marshall et al. 2016</w:t>
            </w:r>
          </w:p>
        </w:tc>
        <w:tc>
          <w:tcPr>
            <w:tcW w:type="dxa" w:w="1560"/>
            <w:shd w:fill="D6E4F0"/>
          </w:tcPr>
          <w:p>
            <w:pPr>
              <w:jc w:val="left"/>
            </w:pPr>
            <w:r/>
            <w:r>
              <w:rPr>
                <w:rFonts w:ascii="Times New Roman" w:hAnsi="Times New Roman"/>
                <w:sz w:val="18"/>
              </w:rPr>
              <w:t>Clinical</w:t>
            </w:r>
          </w:p>
        </w:tc>
        <w:tc>
          <w:tcPr>
            <w:tcW w:type="dxa" w:w="1560"/>
            <w:shd w:fill="D6E4F0"/>
          </w:tcPr>
          <w:p>
            <w:pPr>
              <w:jc w:val="left"/>
            </w:pPr>
            <w:r/>
            <w:r>
              <w:rPr>
                <w:rFonts w:ascii="Times New Roman" w:hAnsi="Times New Roman"/>
                <w:sz w:val="18"/>
              </w:rPr>
              <w:t>ML</w:t>
            </w:r>
          </w:p>
        </w:tc>
        <w:tc>
          <w:tcPr>
            <w:tcW w:type="dxa" w:w="1560"/>
            <w:shd w:fill="D6E4F0"/>
          </w:tcPr>
          <w:p>
            <w:pPr>
              <w:jc w:val="left"/>
            </w:pPr>
            <w:r/>
            <w:r>
              <w:rPr>
                <w:rFonts w:ascii="Times New Roman" w:hAnsi="Times New Roman"/>
                <w:sz w:val="18"/>
              </w:rPr>
              <w:t>Risk-of-bias automation</w:t>
            </w:r>
          </w:p>
        </w:tc>
        <w:tc>
          <w:tcPr>
            <w:tcW w:type="dxa" w:w="1560"/>
            <w:shd w:fill="D6E4F0"/>
          </w:tcPr>
          <w:p>
            <w:pPr>
              <w:jc w:val="left"/>
            </w:pPr>
            <w:r/>
            <w:r>
              <w:rPr>
                <w:rFonts w:ascii="Times New Roman" w:hAnsi="Times New Roman"/>
                <w:sz w:val="18"/>
              </w:rPr>
              <w:t>No</w:t>
            </w:r>
          </w:p>
        </w:tc>
        <w:tc>
          <w:tcPr>
            <w:tcW w:type="dxa" w:w="1560"/>
            <w:shd w:fill="D6E4F0"/>
          </w:tcPr>
          <w:p>
            <w:pPr>
              <w:jc w:val="left"/>
            </w:pPr>
            <w:r/>
            <w:r>
              <w:rPr>
                <w:rFonts w:ascii="Times New Roman" w:hAnsi="Times New Roman"/>
                <w:sz w:val="18"/>
              </w:rPr>
              <w:t>No</w:t>
            </w:r>
          </w:p>
        </w:tc>
      </w:tr>
      <w:tr>
        <w:tc>
          <w:tcPr>
            <w:tcW w:type="dxa" w:w="1560"/>
          </w:tcPr>
          <w:p>
            <w:pPr>
              <w:jc w:val="left"/>
            </w:pPr>
            <w:r/>
            <w:r>
              <w:rPr>
                <w:rFonts w:ascii="Times New Roman" w:hAnsi="Times New Roman"/>
                <w:b/>
                <w:sz w:val="18"/>
              </w:rPr>
              <w:t>This study</w:t>
            </w:r>
          </w:p>
        </w:tc>
        <w:tc>
          <w:tcPr>
            <w:tcW w:type="dxa" w:w="1560"/>
          </w:tcPr>
          <w:p>
            <w:pPr>
              <w:jc w:val="left"/>
            </w:pPr>
            <w:r/>
            <w:r>
              <w:rPr>
                <w:rFonts w:ascii="Times New Roman" w:hAnsi="Times New Roman"/>
                <w:b/>
                <w:sz w:val="18"/>
              </w:rPr>
              <w:t>Agriculture</w:t>
            </w:r>
          </w:p>
        </w:tc>
        <w:tc>
          <w:tcPr>
            <w:tcW w:type="dxa" w:w="1560"/>
          </w:tcPr>
          <w:p>
            <w:pPr>
              <w:jc w:val="left"/>
            </w:pPr>
            <w:r/>
            <w:r>
              <w:rPr>
                <w:rFonts w:ascii="Times New Roman" w:hAnsi="Times New Roman"/>
                <w:b/>
                <w:sz w:val="18"/>
              </w:rPr>
              <w:t>1</w:t>
            </w:r>
          </w:p>
        </w:tc>
        <w:tc>
          <w:tcPr>
            <w:tcW w:type="dxa" w:w="1560"/>
          </w:tcPr>
          <w:p>
            <w:pPr>
              <w:jc w:val="left"/>
            </w:pPr>
            <w:r/>
            <w:r>
              <w:rPr>
                <w:rFonts w:ascii="Times New Roman" w:hAnsi="Times New Roman"/>
                <w:b/>
                <w:sz w:val="18"/>
              </w:rPr>
              <w:t>r = 0.984–0.999</w:t>
            </w:r>
          </w:p>
        </w:tc>
        <w:tc>
          <w:tcPr>
            <w:tcW w:type="dxa" w:w="1560"/>
          </w:tcPr>
          <w:p>
            <w:pPr>
              <w:jc w:val="left"/>
            </w:pPr>
            <w:r/>
            <w:r>
              <w:rPr>
                <w:rFonts w:ascii="Times New Roman" w:hAnsi="Times New Roman"/>
                <w:b/>
                <w:sz w:val="18"/>
              </w:rPr>
              <w:t>Proportional TOST (5/5 pass)</w:t>
            </w:r>
          </w:p>
        </w:tc>
        <w:tc>
          <w:tcPr>
            <w:tcW w:type="dxa" w:w="1560"/>
          </w:tcPr>
          <w:p>
            <w:pPr>
              <w:jc w:val="left"/>
            </w:pPr>
            <w:r/>
            <w:r>
              <w:rPr>
                <w:rFonts w:ascii="Times New Roman" w:hAnsi="Times New Roman"/>
                <w:b/>
                <w:sz w:val="18"/>
              </w:rPr>
              <w:t>Run-to-run (1,231 obs)</w:t>
            </w:r>
          </w:p>
        </w:tc>
      </w:tr>
    </w:tbl>
    <w:p>
      <w:pPr>
        <w:spacing w:before="120" w:after="120"/>
      </w:pPr>
    </w:p>
    <w:p>
      <w:pPr>
        <w:spacing w:before="0" w:after="120"/>
      </w:pPr>
      <w:r>
        <w:rPr>
          <w:rFonts w:ascii="Times New Roman" w:hAnsi="Times New Roman"/>
          <w:i/>
          <w:sz w:val="18"/>
        </w:rPr>
        <w:t>Note: Metrics are not directly comparable across studies due to differences in task definition, domain, and outcome types. All comparison systems validated on clinical/medical data; this study validates in agriculture.</w:t>
      </w:r>
    </w:p>
    <w:p>
      <w:r>
        <w:rPr>
          <w:rFonts w:ascii="Times New Roman" w:hAnsi="Times New Roman"/>
          <w:sz w:val="24"/>
        </w:rPr>
        <w:t>Three distinctions are noteworthy. First, this study is the first to apply formal equivalence testing to AI-extracted continuous data. Second, it validates across five independent datasets rather than one. Third, it provides run-to-run reproducibility assessment on 1,231 observations across 95 papers.</w:t>
      </w:r>
    </w:p>
    <w:p>
      <w:r>
        <w:rPr>
          <w:rFonts w:ascii="Times New Roman" w:hAnsi="Times New Roman"/>
          <w:sz w:val="24"/>
        </w:rPr>
        <w:t>The low accuracy reported by Jansen et al. (2025; 26–36%) may partly reflect alignment failure rather than extraction failure. Our results demonstrate that alignment method alone can change the apparent correlation from r = 0.377 to r = 0.997 with identical extracted values (Table 7). If extracted observations are matched to the wrong reference-standard rows – due to factorial ambiguity, naming convention differences, or unit-scale mismatches – even perfectly extracted values will appear inaccurate. Studies that do not explicitly separate extraction error from alignment error risk attributing matching artifacts to the extraction model itself.</w:t>
      </w:r>
    </w:p>
    <w:p>
      <w:pPr>
        <w:pStyle w:val="Heading2"/>
      </w:pPr>
      <w:r>
        <w:t>4.8 The Human Baseline Problem</w:t>
      </w:r>
    </w:p>
    <w:p>
      <w:r>
        <w:rPr>
          <w:rFonts w:ascii="Times New Roman" w:hAnsi="Times New Roman"/>
          <w:sz w:val="24"/>
        </w:rPr>
        <w:t>A critical context for evaluating AI extraction is the reliability of human extraction itself. Tendal et al. (2009) found that in 53% of meta-analyses, multiplicity in trial reports led to variability in pooled results. Buscemi et al. (2006) documented 17.7% error rates for single extractors. Cao et al. (2025) compiled human dual-extractor accuracy rates from the literature ranging from 65.8% to 85.5%, and found that blinded adjudicators sided with their automated system over original authors in 69.3% of disagreements – suggesting that reference standards themselves contain errors at non-trivial rates. Our ICC and MAE values should be interpreted as inter-method agreement, not absolute accuracy against verified source values.</w:t>
      </w:r>
    </w:p>
    <w:p>
      <w:pPr>
        <w:pStyle w:val="Heading2"/>
      </w:pPr>
      <w:r>
        <w:t>4.9 Recommendations for Practice</w:t>
      </w:r>
    </w:p>
    <w:p>
      <w:r>
        <w:rPr>
          <w:rFonts w:ascii="Times New Roman" w:hAnsi="Times New Roman"/>
          <w:sz w:val="24"/>
        </w:rPr>
        <w:t>Based on our validation, we propose an extraction equivalence testing (EET) protocol:</w:t>
      </w:r>
    </w:p>
    <w:p>
      <w:pPr>
        <w:pStyle w:val="ListNumber"/>
      </w:pPr>
      <w:r>
        <w:rPr>
          <w:rFonts w:ascii="Times New Roman" w:hAnsi="Times New Roman"/>
          <w:b/>
          <w:sz w:val="24"/>
        </w:rPr>
        <w:t>Pilot validation.</w:t>
      </w:r>
      <w:r>
        <w:rPr>
          <w:rFonts w:ascii="Times New Roman" w:hAnsi="Times New Roman"/>
          <w:sz w:val="24"/>
        </w:rPr>
        <w:t xml:space="preserve"> Extract 5–10 papers for which reference values are available. Compute ICC and MAE. If ICC &lt; 0.75, revise the extraction instruction before proceeding.</w:t>
      </w:r>
    </w:p>
    <w:p>
      <w:pPr>
        <w:pStyle w:val="ListNumber"/>
      </w:pPr>
      <w:r>
        <w:rPr>
          <w:rFonts w:ascii="Times New Roman" w:hAnsi="Times New Roman"/>
          <w:b/>
          <w:sz w:val="24"/>
        </w:rPr>
        <w:t>Source-type stratification.</w:t>
      </w:r>
      <w:r>
        <w:rPr>
          <w:rFonts w:ascii="Times New Roman" w:hAnsi="Times New Roman"/>
          <w:sz w:val="24"/>
        </w:rPr>
        <w:t xml:space="preserve"> Report accuracy separately for table-sourced and figure-sourced observations. Consider restricting to table-sourced data for high-precision applications.</w:t>
      </w:r>
    </w:p>
    <w:p>
      <w:pPr>
        <w:pStyle w:val="ListNumber"/>
      </w:pPr>
      <w:r>
        <w:rPr>
          <w:rFonts w:ascii="Times New Roman" w:hAnsi="Times New Roman"/>
          <w:b/>
          <w:sz w:val="24"/>
        </w:rPr>
        <w:t>Run-to-run agreement.</w:t>
      </w:r>
      <w:r>
        <w:rPr>
          <w:rFonts w:ascii="Times New Roman" w:hAnsi="Times New Roman"/>
          <w:sz w:val="24"/>
        </w:rPr>
        <w:t xml:space="preserve"> Run a second independent extraction on the full corpus with no shared state. If r &gt; 0.90 on &gt;= 50 observations and aggregate effects are stable, the extraction is likely reliable for aggregate pooling.</w:t>
      </w:r>
    </w:p>
    <w:p>
      <w:pPr>
        <w:pStyle w:val="ListNumber"/>
      </w:pPr>
      <w:r>
        <w:rPr>
          <w:rFonts w:ascii="Times New Roman" w:hAnsi="Times New Roman"/>
          <w:b/>
          <w:sz w:val="24"/>
        </w:rPr>
        <w:t>Sensitivity analysis.</w:t>
      </w:r>
      <w:r>
        <w:rPr>
          <w:rFonts w:ascii="Times New Roman" w:hAnsi="Times New Roman"/>
          <w:sz w:val="24"/>
        </w:rPr>
        <w:t xml:space="preserve"> Re-extract a random 20% subsample. If aggregate effects shift by less than 20% of the mean effect, the extraction is stable.</w:t>
      </w:r>
    </w:p>
    <w:p>
      <w:pPr>
        <w:pStyle w:val="ListNumber"/>
      </w:pPr>
      <w:r>
        <w:rPr>
          <w:rFonts w:ascii="Times New Roman" w:hAnsi="Times New Roman"/>
          <w:b/>
          <w:sz w:val="24"/>
        </w:rPr>
        <w:t>Transparency.</w:t>
      </w:r>
      <w:r>
        <w:rPr>
          <w:rFonts w:ascii="Times New Roman" w:hAnsi="Times New Roman"/>
          <w:sz w:val="24"/>
        </w:rPr>
        <w:t xml:space="preserve"> Report the model name and version, exact prompts, matching protocol, and all formal agreement statistics. Deposit extraction code and outputs in a public repository.</w:t>
      </w:r>
    </w:p>
    <w:p>
      <w:pPr>
        <w:pStyle w:val="ListNumber"/>
      </w:pPr>
      <w:r>
        <w:rPr>
          <w:rFonts w:ascii="Times New Roman" w:hAnsi="Times New Roman"/>
          <w:b/>
          <w:sz w:val="24"/>
        </w:rPr>
        <w:t>Human oversight.</w:t>
      </w:r>
      <w:r>
        <w:rPr>
          <w:rFonts w:ascii="Times New Roman" w:hAnsi="Times New Roman"/>
          <w:sz w:val="24"/>
        </w:rPr>
        <w:t xml:space="preserve"> Spot-check papers with MAE &gt; 15 pp or flagged by run-to-run disagreement. Apply stricter scrutiny to figure-sourced observations.</w:t>
      </w:r>
    </w:p>
    <w:p>
      <w:r>
        <w:rPr>
          <w:rFonts w:ascii="Times New Roman" w:hAnsi="Times New Roman"/>
          <w:sz w:val="24"/>
        </w:rPr>
        <w:t>This protocol operationalizes the Cochrane/Campbell/JBI/CEE (2025) joint position statement on AI use in evidence synthesis.</w:t>
      </w:r>
    </w:p>
    <w:p>
      <w:pPr>
        <w:pStyle w:val="Heading2"/>
      </w:pPr>
      <w:r>
        <w:t>4.10 Limitations</w:t>
      </w:r>
    </w:p>
    <w:p>
      <w:pPr>
        <w:pStyle w:val="ListNumber"/>
      </w:pPr>
      <w:r>
        <w:rPr>
          <w:rFonts w:ascii="Times New Roman" w:hAnsi="Times New Roman"/>
          <w:b/>
          <w:sz w:val="24"/>
        </w:rPr>
        <w:t>Single model and data contamination.</w:t>
      </w:r>
      <w:r>
        <w:rPr>
          <w:rFonts w:ascii="Times New Roman" w:hAnsi="Times New Roman"/>
          <w:sz w:val="24"/>
        </w:rPr>
        <w:t xml:space="preserve"> Results are specific to Claude Opus 4.6 (March 2026). All five reference datasets are publicly available, and training data contamination cannot be ruled out. However, the agent makes errors inconsistent with memorization and shows run-to-run variation inconsistent with deterministic recall.</w:t>
      </w:r>
    </w:p>
    <w:p>
      <w:pPr>
        <w:pStyle w:val="ListNumber"/>
      </w:pPr>
      <w:r>
        <w:rPr>
          <w:rFonts w:ascii="Times New Roman" w:hAnsi="Times New Roman"/>
          <w:b/>
          <w:sz w:val="24"/>
        </w:rPr>
        <w:t>Observation-level scatter.</w:t>
      </w:r>
      <w:r>
        <w:rPr>
          <w:rFonts w:ascii="Times New Roman" w:hAnsi="Times New Roman"/>
          <w:sz w:val="24"/>
        </w:rPr>
        <w:t xml:space="preserve"> Bland-Altman 95% limits of agreement range from approximately +-3 pp (Hui 2025, Li 2022, Li 2024 (biochar)) to +-5.2 pp (Loladze 2014) and +-21 pp (Boldorini 2024). The agent is better suited for aggregate pooling than observation-level precision.</w:t>
      </w:r>
    </w:p>
    <w:p>
      <w:pPr>
        <w:pStyle w:val="ListNumber"/>
      </w:pPr>
      <w:r>
        <w:rPr>
          <w:rFonts w:ascii="Times New Roman" w:hAnsi="Times New Roman"/>
          <w:b/>
          <w:sz w:val="24"/>
        </w:rPr>
        <w:t>Variance extraction not formally validated.</w:t>
      </w:r>
      <w:r>
        <w:rPr>
          <w:rFonts w:ascii="Times New Roman" w:hAnsi="Times New Roman"/>
          <w:sz w:val="24"/>
        </w:rPr>
        <w:t xml:space="preserve"> All validation metrics in this study are based on effect sizes (means, percentage change from control). We did not systematically validate variance measures (SD, SE) against reference standards. Variance coverage ranged from 25.5% (Li 2024 (biochar)) to ~31% (other datasets), and variance type misclassification (e.g., SE reported as SD) can introduce weight distortions under inverse-variance pooling. Variance extraction accuracy remains an open question that future work should address with dedicated benchmarks.</w:t>
      </w:r>
    </w:p>
    <w:p>
      <w:pPr>
        <w:pStyle w:val="ListNumber"/>
      </w:pPr>
      <w:r>
        <w:rPr>
          <w:rFonts w:ascii="Times New Roman" w:hAnsi="Times New Roman"/>
          <w:b/>
          <w:sz w:val="24"/>
        </w:rPr>
        <w:t>Loladze 2014 development adjacency.</w:t>
      </w:r>
      <w:r>
        <w:rPr>
          <w:rFonts w:ascii="Times New Roman" w:hAnsi="Times New Roman"/>
          <w:sz w:val="24"/>
        </w:rPr>
        <w:t xml:space="preserve"> While the agent was not trained or tuned on Loladze 2014 reference data, matching protocols and validation scripts were developed iteratively using Loladze 2014 data. Loladze 2014 is therefore development-adjacent for the infrastructure, though fully independent for the agent itself.</w:t>
      </w:r>
    </w:p>
    <w:p>
      <w:pPr>
        <w:pStyle w:val="ListNumber"/>
      </w:pPr>
      <w:r>
        <w:rPr>
          <w:rFonts w:ascii="Times New Roman" w:hAnsi="Times New Roman"/>
          <w:b/>
          <w:sz w:val="24"/>
        </w:rPr>
        <w:t>Domain scope and single-author validation.</w:t>
      </w:r>
      <w:r>
        <w:rPr>
          <w:rFonts w:ascii="Times New Roman" w:hAnsi="Times New Roman"/>
          <w:sz w:val="24"/>
        </w:rPr>
        <w:t xml:space="preserve"> All five datasets are from agricultural/ecological science. Generalization to clinical trials, social sciences, or other domains is untested. All matching protocols were developed and applied by a single author.</w:t>
      </w:r>
    </w:p>
    <w:p>
      <w:pPr>
        <w:pStyle w:val="ListNumber"/>
      </w:pPr>
      <w:r>
        <w:rPr>
          <w:rFonts w:ascii="Times New Roman" w:hAnsi="Times New Roman"/>
          <w:b/>
          <w:sz w:val="24"/>
        </w:rPr>
        <w:t>Boldorini 2024 sample size.</w:t>
      </w:r>
      <w:r>
        <w:rPr>
          <w:rFonts w:ascii="Times New Roman" w:hAnsi="Times New Roman"/>
          <w:sz w:val="24"/>
        </w:rPr>
        <w:t xml:space="preserve"> With only 46 matched observations from 17 papers, the Boldorini 2024 validation has limited statistical power. Cohen's d = 0.147 (0.217 on lnRR scale), and the aggregate effect difference (1.61 pp) is the largest across the five datasets.</w:t>
      </w:r>
    </w:p>
    <w:p>
      <w:pPr>
        <w:pStyle w:val="ListNumber"/>
      </w:pPr>
      <w:r>
        <w:rPr>
          <w:rFonts w:ascii="Times New Roman" w:hAnsi="Times New Roman"/>
          <w:b/>
          <w:sz w:val="24"/>
        </w:rPr>
        <w:t>Proportional bias.</w:t>
      </w:r>
      <w:r>
        <w:rPr>
          <w:rFonts w:ascii="Times New Roman" w:hAnsi="Times New Roman"/>
          <w:sz w:val="24"/>
        </w:rPr>
        <w:t xml:space="preserve"> Boldorini 2024 (r = -0.431, p = 0.003) and Loladze 2014 (r = 0.134, p = 0.006) show statistically significant proportional bias. For Boldorini, this reflects a few high-leverage observations in a small sample; for Loladze, the weak positive bias likely reflects alignment-related error at extreme effect sizes. Users should apply sensitivity analyses for extreme-value subgroups.</w:t>
      </w:r>
    </w:p>
    <w:p>
      <w:pPr>
        <w:pStyle w:val="ListNumber"/>
      </w:pPr>
      <w:r>
        <w:rPr>
          <w:rFonts w:ascii="Times New Roman" w:hAnsi="Times New Roman"/>
          <w:b/>
          <w:sz w:val="24"/>
        </w:rPr>
        <w:t>Matching circularity considerations.</w:t>
      </w:r>
      <w:r>
        <w:rPr>
          <w:rFonts w:ascii="Times New Roman" w:hAnsi="Times New Roman"/>
          <w:sz w:val="24"/>
        </w:rPr>
        <w:t xml:space="preserve"> The LLM-driven alignment approach uses moderator metadata rather than outcome values for matching, mitigating circularity concerns. For Li 2022, matching used raw means while validation used derived effect sizes, so matching and validation criteria were not identical but are not fully independent.</w:t>
      </w:r>
    </w:p>
    <w:p>
      <w:pPr>
        <w:pStyle w:val="ListNumber"/>
      </w:pPr>
      <w:r>
        <w:rPr>
          <w:rFonts w:ascii="Times New Roman" w:hAnsi="Times New Roman"/>
          <w:b/>
          <w:sz w:val="24"/>
        </w:rPr>
        <w:t>Run-to-run independence.</w:t>
      </w:r>
      <w:r>
        <w:rPr>
          <w:rFonts w:ascii="Times New Roman" w:hAnsi="Times New Roman"/>
          <w:sz w:val="24"/>
        </w:rPr>
        <w:t xml:space="preserve"> Both runs used the same model (Claude Opus 4.6) and were conducted by the same author. While independent in state and cached outputs, they share the same underlying model architecture, which limits the independence of the reproducibility comparison.</w:t>
      </w:r>
    </w:p>
    <w:p>
      <w:pPr>
        <w:pStyle w:val="Heading2"/>
      </w:pPr>
      <w:r>
        <w:t>4.11 Ethical Considerations</w:t>
      </w:r>
    </w:p>
    <w:p>
      <w:r>
        <w:rPr>
          <w:rFonts w:ascii="Times New Roman" w:hAnsi="Times New Roman"/>
          <w:sz w:val="24"/>
        </w:rPr>
        <w:t>The Cochrane, Campbell, JBI, and CEE joint position statement (2025) on AI use in evidence synthesis requires disclosure of AI tool use and human oversight. We endorse this position.</w:t>
      </w:r>
    </w:p>
    <w:p>
      <w:r>
        <w:rPr>
          <w:rFonts w:ascii="Times New Roman" w:hAnsi="Times New Roman"/>
          <w:sz w:val="24"/>
        </w:rPr>
        <w:t>This tool augments rather than replaces human judgment. Analytical decisions – inclusion criteria, outlier handling, factorial sub-condition selection, and quality assessment – remain with the researcher. The low cost and speed of AI extraction creates a risk of low-quality meta-analysis production if analytical judgment is also automated. Extraction is only one component of evidence synthesis; protocol development, quality assessment, and interpretation require domain expertise.</w:t>
      </w:r>
    </w:p>
    <w:p>
      <w:r>
        <w:rPr>
          <w:rFonts w:ascii="Times New Roman" w:hAnsi="Times New Roman"/>
          <w:sz w:val="24"/>
        </w:rPr>
        <w:t>All AI-assisted extraction should be disclosed per the Cochrane/Campbell/JBI/CEE (2025) position statement on AI use in evidence synthesis.</w:t>
      </w:r>
    </w:p>
    <w:p>
      <w:pPr>
        <w:pStyle w:val="Heading1"/>
      </w:pPr>
      <w:r>
        <w:t>5. Conclusion</w:t>
      </w:r>
    </w:p>
    <w:p>
      <w:r>
        <w:rPr>
          <w:rFonts w:ascii="Times New Roman" w:hAnsi="Times New Roman"/>
          <w:sz w:val="24"/>
        </w:rPr>
        <w:t>A single AI agent achieves statistical equivalence with published meta-analysis reference data across five independent agricultural datasets, validated on 1,149 observations from 136 papers. Proportional TOST equivalence testing – with margins scaled to +-20% of each dataset's mean absolute effect – confirms equivalence for all five datasets (all p &lt; 0.001). Agreement ranges from r = 0.999 (Hui 2025, zinc biofortification) to r = 0.984 (Loladze 2014, CO2/mineral nutrition), with aggregate effects reproduced within 0.01–1.61 pp of published values. All Cohen's d values are negligible to small (all &lt;= 0.147).</w:t>
      </w:r>
    </w:p>
    <w:p>
      <w:r>
        <w:rPr>
          <w:rFonts w:ascii="Times New Roman" w:hAnsi="Times New Roman"/>
          <w:sz w:val="24"/>
        </w:rPr>
        <w:t>LLM-driven alignment resolves the previously underappreciated bottleneck of moderator matching, improving correlations from 0.377–0.812 to 0.984–0.997 without changing any extracted values. This demonstrates that most apparent "extraction error" in validation studies is actually alignment error. Table-sourced observations achieve 5.5x lower error than figure-sourced observations, providing a practical quality signal for downstream users.</w:t>
      </w:r>
    </w:p>
    <w:p>
      <w:r>
        <w:rPr>
          <w:rFonts w:ascii="Times New Roman" w:hAnsi="Times New Roman"/>
          <w:sz w:val="24"/>
        </w:rPr>
        <w:t>Independent duplicate runs confirm extraction stability, with aggregate effects stable within 0.09–0.23 pp on two of three tested datasets (1,231 matched observations across 95 papers). The binding constraint on extraction quality is not reading accuracy but alignment ambiguity in factorial designs – a challenge shared by human extractors.</w:t>
      </w:r>
    </w:p>
    <w:p>
      <w:r>
        <w:rPr>
          <w:rFonts w:ascii="Times New Roman" w:hAnsi="Times New Roman"/>
          <w:sz w:val="24"/>
        </w:rPr>
        <w:t>Code and data are available at https://github.com/halpernmoshe/Meta-analysis-extractor-agriculture.</w:t>
      </w:r>
    </w:p>
    <w:p>
      <w:pPr>
        <w:pStyle w:val="Heading1"/>
      </w:pPr>
      <w:r>
        <w:t>References</w:t>
      </w:r>
    </w:p>
    <w:p>
      <w:pPr>
        <w:ind w:hanging="720" w:left="720"/>
      </w:pPr>
      <w:r>
        <w:rPr>
          <w:rFonts w:ascii="Times New Roman" w:hAnsi="Times New Roman"/>
          <w:sz w:val="22"/>
        </w:rPr>
        <w:t>[Note: References to be converted to AMA numbered style before final submission.]</w:t>
      </w:r>
    </w:p>
    <w:p>
      <w:pPr>
        <w:pStyle w:val="ListBullet"/>
      </w:pPr>
      <w:r>
        <w:rPr>
          <w:rFonts w:ascii="Times New Roman" w:hAnsi="Times New Roman"/>
          <w:sz w:val="24"/>
        </w:rPr>
        <w:t xml:space="preserve">Bland, J. M., &amp; Altman, D. G. (1986). Statistical methods for assessing agreement between two methods of clinical measurement. </w:t>
      </w:r>
      <w:r>
        <w:rPr>
          <w:rFonts w:ascii="Times New Roman" w:hAnsi="Times New Roman"/>
          <w:i/>
          <w:sz w:val="24"/>
        </w:rPr>
        <w:t>The Lancet</w:t>
      </w:r>
      <w:r>
        <w:rPr>
          <w:rFonts w:ascii="Times New Roman" w:hAnsi="Times New Roman"/>
          <w:sz w:val="24"/>
        </w:rPr>
        <w:t>, 327(8476), 307–310.</w:t>
      </w:r>
    </w:p>
    <w:p>
      <w:pPr>
        <w:pStyle w:val="ListBullet"/>
      </w:pPr>
      <w:r>
        <w:rPr>
          <w:rFonts w:ascii="Times New Roman" w:hAnsi="Times New Roman"/>
          <w:sz w:val="24"/>
        </w:rPr>
        <w:t xml:space="preserve">Boldorini, E., Lucchi, A., &amp; Tamburini, G. (2024). Predator-mediated biocontrol of crop arthropod pests and their damage: a global meta-analysis. </w:t>
      </w:r>
      <w:r>
        <w:rPr>
          <w:rFonts w:ascii="Times New Roman" w:hAnsi="Times New Roman"/>
          <w:i/>
          <w:sz w:val="24"/>
        </w:rPr>
        <w:t>Proceedings of the Royal Society B</w:t>
      </w:r>
      <w:r>
        <w:rPr>
          <w:rFonts w:ascii="Times New Roman" w:hAnsi="Times New Roman"/>
          <w:sz w:val="24"/>
        </w:rPr>
        <w:t>, 291, 20232522.</w:t>
      </w:r>
    </w:p>
    <w:p>
      <w:pPr>
        <w:pStyle w:val="ListBullet"/>
      </w:pPr>
      <w:r>
        <w:rPr>
          <w:rFonts w:ascii="Times New Roman" w:hAnsi="Times New Roman"/>
          <w:sz w:val="24"/>
        </w:rPr>
        <w:t xml:space="preserve">Borah, R., Brown, A. W., Capers, P. L., &amp; Kaiser, K. A. (2017). Analysis of the time and workers needed to conduct systematic reviews of medical interventions using data from the PROSPERO registry. </w:t>
      </w:r>
      <w:r>
        <w:rPr>
          <w:rFonts w:ascii="Times New Roman" w:hAnsi="Times New Roman"/>
          <w:i/>
          <w:sz w:val="24"/>
        </w:rPr>
        <w:t>BMJ Open</w:t>
      </w:r>
      <w:r>
        <w:rPr>
          <w:rFonts w:ascii="Times New Roman" w:hAnsi="Times New Roman"/>
          <w:sz w:val="24"/>
        </w:rPr>
        <w:t>, 7(4), e012545.</w:t>
      </w:r>
    </w:p>
    <w:p>
      <w:pPr>
        <w:pStyle w:val="ListBullet"/>
      </w:pPr>
      <w:r>
        <w:rPr>
          <w:rFonts w:ascii="Times New Roman" w:hAnsi="Times New Roman"/>
          <w:sz w:val="24"/>
        </w:rPr>
        <w:t xml:space="preserve">Buscemi, N., Hartling, L., Vandermeer, B., Tjosvold, L., &amp; Klassen, T. P. (2006). Single data extraction generated more errors than double data extraction in systematic reviews. </w:t>
      </w:r>
      <w:r>
        <w:rPr>
          <w:rFonts w:ascii="Times New Roman" w:hAnsi="Times New Roman"/>
          <w:i/>
          <w:sz w:val="24"/>
        </w:rPr>
        <w:t>Journal of Clinical Epidemiology</w:t>
      </w:r>
      <w:r>
        <w:rPr>
          <w:rFonts w:ascii="Times New Roman" w:hAnsi="Times New Roman"/>
          <w:sz w:val="24"/>
        </w:rPr>
        <w:t>, 59(7), 697–703.</w:t>
      </w:r>
    </w:p>
    <w:p>
      <w:pPr>
        <w:pStyle w:val="ListBullet"/>
      </w:pPr>
      <w:r>
        <w:rPr>
          <w:rFonts w:ascii="Times New Roman" w:hAnsi="Times New Roman"/>
          <w:sz w:val="24"/>
        </w:rPr>
        <w:t xml:space="preserve">Cao, X., et al. (2025). OttoSR: Automation of systematic reviews with large language models. </w:t>
      </w:r>
      <w:r>
        <w:rPr>
          <w:rFonts w:ascii="Times New Roman" w:hAnsi="Times New Roman"/>
          <w:i/>
          <w:sz w:val="24"/>
        </w:rPr>
        <w:t>medRxiv</w:t>
      </w:r>
      <w:r>
        <w:rPr>
          <w:rFonts w:ascii="Times New Roman" w:hAnsi="Times New Roman"/>
          <w:sz w:val="24"/>
        </w:rPr>
        <w:t>. https://doi.org/10.1101/2025.01.15.25320588</w:t>
      </w:r>
    </w:p>
    <w:p>
      <w:pPr>
        <w:pStyle w:val="ListBullet"/>
      </w:pPr>
      <w:r>
        <w:rPr>
          <w:rFonts w:ascii="Times New Roman" w:hAnsi="Times New Roman"/>
          <w:sz w:val="24"/>
        </w:rPr>
        <w:t xml:space="preserve">Cochrane, Campbell Collaboration, JBI, &amp; CEE [Flemyng, E., et al.]. (2025). Position statement on the use of artificial intelligence in the production of evidence syntheses. </w:t>
      </w:r>
      <w:r>
        <w:rPr>
          <w:rFonts w:ascii="Times New Roman" w:hAnsi="Times New Roman"/>
          <w:i/>
          <w:sz w:val="24"/>
        </w:rPr>
        <w:t>Cochrane Database of Systematic Reviews</w:t>
      </w:r>
      <w:r>
        <w:rPr>
          <w:rFonts w:ascii="Times New Roman" w:hAnsi="Times New Roman"/>
          <w:sz w:val="24"/>
        </w:rPr>
        <w:t>.</w:t>
      </w:r>
    </w:p>
    <w:p>
      <w:pPr>
        <w:pStyle w:val="ListBullet"/>
      </w:pPr>
      <w:r>
        <w:rPr>
          <w:rFonts w:ascii="Times New Roman" w:hAnsi="Times New Roman"/>
          <w:sz w:val="24"/>
        </w:rPr>
        <w:t xml:space="preserve">Elliott, J. H., Turner, T., Clavisi, O., et al. (2014). Living systematic reviews: An emerging opportunity to narrow the evidence-practice gap. </w:t>
      </w:r>
      <w:r>
        <w:rPr>
          <w:rFonts w:ascii="Times New Roman" w:hAnsi="Times New Roman"/>
          <w:i/>
          <w:sz w:val="24"/>
        </w:rPr>
        <w:t>PLoS Medicine</w:t>
      </w:r>
      <w:r>
        <w:rPr>
          <w:rFonts w:ascii="Times New Roman" w:hAnsi="Times New Roman"/>
          <w:sz w:val="24"/>
        </w:rPr>
        <w:t>, 11(2), e1001603.</w:t>
      </w:r>
    </w:p>
    <w:p>
      <w:pPr>
        <w:pStyle w:val="ListBullet"/>
      </w:pPr>
      <w:r>
        <w:rPr>
          <w:rFonts w:ascii="Times New Roman" w:hAnsi="Times New Roman"/>
          <w:sz w:val="24"/>
        </w:rPr>
        <w:t xml:space="preserve">Gartlehner, G., Kahwati, L., Engeli, C., Hamel, C., Gaisinger, K., &amp; Glechner, A. (2024). Data extraction for evidence synthesis using a large language model: A proof-of-concept study. </w:t>
      </w:r>
      <w:r>
        <w:rPr>
          <w:rFonts w:ascii="Times New Roman" w:hAnsi="Times New Roman"/>
          <w:i/>
          <w:sz w:val="24"/>
        </w:rPr>
        <w:t>Research Synthesis Methods</w:t>
      </w:r>
      <w:r>
        <w:rPr>
          <w:rFonts w:ascii="Times New Roman" w:hAnsi="Times New Roman"/>
          <w:sz w:val="24"/>
        </w:rPr>
        <w:t>, 15(4), 576–582.</w:t>
      </w:r>
    </w:p>
    <w:p>
      <w:pPr>
        <w:pStyle w:val="ListBullet"/>
      </w:pPr>
      <w:r>
        <w:rPr>
          <w:rFonts w:ascii="Times New Roman" w:hAnsi="Times New Roman"/>
          <w:sz w:val="24"/>
        </w:rPr>
        <w:t xml:space="preserve">Gartlehner, G., et al. (2025). Artificial intelligence-assisted data extraction with a large language model: A study within reviews. </w:t>
      </w:r>
      <w:r>
        <w:rPr>
          <w:rFonts w:ascii="Times New Roman" w:hAnsi="Times New Roman"/>
          <w:i/>
          <w:sz w:val="24"/>
        </w:rPr>
        <w:t>Annals of Internal Medicine</w:t>
      </w:r>
      <w:r>
        <w:rPr>
          <w:rFonts w:ascii="Times New Roman" w:hAnsi="Times New Roman"/>
          <w:sz w:val="24"/>
        </w:rPr>
        <w:t>.</w:t>
      </w:r>
    </w:p>
    <w:p>
      <w:pPr>
        <w:pStyle w:val="ListBullet"/>
      </w:pPr>
      <w:r>
        <w:rPr>
          <w:rFonts w:ascii="Times New Roman" w:hAnsi="Times New Roman"/>
          <w:sz w:val="24"/>
        </w:rPr>
        <w:t xml:space="preserve">Gougherty, A. V., &amp; Clipp, H. L. (2024). Testing the reliability of an AI-based large language model to extract ecological information from the scientific literature. </w:t>
      </w:r>
      <w:r>
        <w:rPr>
          <w:rFonts w:ascii="Times New Roman" w:hAnsi="Times New Roman"/>
          <w:i/>
          <w:sz w:val="24"/>
        </w:rPr>
        <w:t>npj Biodiversity</w:t>
      </w:r>
      <w:r>
        <w:rPr>
          <w:rFonts w:ascii="Times New Roman" w:hAnsi="Times New Roman"/>
          <w:sz w:val="24"/>
        </w:rPr>
        <w:t>, 3(1), 13.</w:t>
      </w:r>
    </w:p>
    <w:p>
      <w:pPr>
        <w:pStyle w:val="ListBullet"/>
      </w:pPr>
      <w:r>
        <w:rPr>
          <w:rFonts w:ascii="Times New Roman" w:hAnsi="Times New Roman"/>
          <w:sz w:val="24"/>
        </w:rPr>
        <w:t xml:space="preserve">Helms Andersen, T., et al. (2025). Using AI tools as second reviewers in systematic reviews. </w:t>
      </w:r>
      <w:r>
        <w:rPr>
          <w:rFonts w:ascii="Times New Roman" w:hAnsi="Times New Roman"/>
          <w:i/>
          <w:sz w:val="24"/>
        </w:rPr>
        <w:t>Cochrane Evidence Synthesis and Methods</w:t>
      </w:r>
      <w:r>
        <w:rPr>
          <w:rFonts w:ascii="Times New Roman" w:hAnsi="Times New Roman"/>
          <w:sz w:val="24"/>
        </w:rPr>
        <w:t>.</w:t>
      </w:r>
    </w:p>
    <w:p>
      <w:pPr>
        <w:pStyle w:val="ListBullet"/>
      </w:pPr>
      <w:r>
        <w:rPr>
          <w:rFonts w:ascii="Times New Roman" w:hAnsi="Times New Roman"/>
          <w:sz w:val="24"/>
        </w:rPr>
        <w:t xml:space="preserve">Higgins, J. P. T., Thomas, J., Chandler, J., et al. (Eds.). (2023). </w:t>
      </w:r>
      <w:r>
        <w:rPr>
          <w:rFonts w:ascii="Times New Roman" w:hAnsi="Times New Roman"/>
          <w:i/>
          <w:sz w:val="24"/>
        </w:rPr>
        <w:t>Cochrane Handbook for Systematic Reviews of Interventions</w:t>
      </w:r>
      <w:r>
        <w:rPr>
          <w:rFonts w:ascii="Times New Roman" w:hAnsi="Times New Roman"/>
          <w:sz w:val="24"/>
        </w:rPr>
        <w:t xml:space="preserve"> (version 6.4). Cochrane.</w:t>
      </w:r>
    </w:p>
    <w:p>
      <w:pPr>
        <w:pStyle w:val="ListBullet"/>
      </w:pPr>
      <w:r>
        <w:rPr>
          <w:rFonts w:ascii="Times New Roman" w:hAnsi="Times New Roman"/>
          <w:sz w:val="24"/>
        </w:rPr>
        <w:t xml:space="preserve">Hui, X., Luo, L., Chen, Y., Palta, J. A., &amp; Wang, Z. (2025). Zinc agronomic biofortification in wheat and its drivers: a global meta-analysis. </w:t>
      </w:r>
      <w:r>
        <w:rPr>
          <w:rFonts w:ascii="Times New Roman" w:hAnsi="Times New Roman"/>
          <w:i/>
          <w:sz w:val="24"/>
        </w:rPr>
        <w:t>Nature Communications</w:t>
      </w:r>
      <w:r>
        <w:rPr>
          <w:rFonts w:ascii="Times New Roman" w:hAnsi="Times New Roman"/>
          <w:sz w:val="24"/>
        </w:rPr>
        <w:t>, 16, 3913.</w:t>
      </w:r>
    </w:p>
    <w:p>
      <w:pPr>
        <w:pStyle w:val="ListBullet"/>
      </w:pPr>
      <w:r>
        <w:rPr>
          <w:rFonts w:ascii="Times New Roman" w:hAnsi="Times New Roman"/>
          <w:sz w:val="24"/>
        </w:rPr>
        <w:t xml:space="preserve">Jansen, T., et al. (2025). Data extraction by generative artificial intelligence. </w:t>
      </w:r>
      <w:r>
        <w:rPr>
          <w:rFonts w:ascii="Times New Roman" w:hAnsi="Times New Roman"/>
          <w:i/>
          <w:sz w:val="24"/>
        </w:rPr>
        <w:t>Psychological Bulletin</w:t>
      </w:r>
      <w:r>
        <w:rPr>
          <w:rFonts w:ascii="Times New Roman" w:hAnsi="Times New Roman"/>
          <w:sz w:val="24"/>
        </w:rPr>
        <w:t>, 151(10), 1280–1306.</w:t>
      </w:r>
    </w:p>
    <w:p>
      <w:pPr>
        <w:pStyle w:val="ListBullet"/>
      </w:pPr>
      <w:r>
        <w:rPr>
          <w:rFonts w:ascii="Times New Roman" w:hAnsi="Times New Roman"/>
          <w:sz w:val="24"/>
        </w:rPr>
        <w:t xml:space="preserve">Kataoka, Y., et al. (2026). Automating the data extraction process for systematic reviews using GPT-4o and o3. </w:t>
      </w:r>
      <w:r>
        <w:rPr>
          <w:rFonts w:ascii="Times New Roman" w:hAnsi="Times New Roman"/>
          <w:i/>
          <w:sz w:val="24"/>
        </w:rPr>
        <w:t>Research Synthesis Methods</w:t>
      </w:r>
      <w:r>
        <w:rPr>
          <w:rFonts w:ascii="Times New Roman" w:hAnsi="Times New Roman"/>
          <w:sz w:val="24"/>
        </w:rPr>
        <w:t>, 17, 42–62.</w:t>
      </w:r>
    </w:p>
    <w:p>
      <w:pPr>
        <w:pStyle w:val="ListBullet"/>
      </w:pPr>
      <w:r>
        <w:rPr>
          <w:rFonts w:ascii="Times New Roman" w:hAnsi="Times New Roman"/>
          <w:sz w:val="24"/>
        </w:rPr>
        <w:t xml:space="preserve">Khan, M. A., Ayub, U., Naqvi, S. A. A., et al. (2025). Collaborative large language models for automated data extraction in living systematic reviews. </w:t>
      </w:r>
      <w:r>
        <w:rPr>
          <w:rFonts w:ascii="Times New Roman" w:hAnsi="Times New Roman"/>
          <w:i/>
          <w:sz w:val="24"/>
        </w:rPr>
        <w:t>JAMIA</w:t>
      </w:r>
      <w:r>
        <w:rPr>
          <w:rFonts w:ascii="Times New Roman" w:hAnsi="Times New Roman"/>
          <w:sz w:val="24"/>
        </w:rPr>
        <w:t>, 32(4), 638–647.</w:t>
      </w:r>
    </w:p>
    <w:p>
      <w:pPr>
        <w:pStyle w:val="ListBullet"/>
      </w:pPr>
      <w:r>
        <w:rPr>
          <w:rFonts w:ascii="Times New Roman" w:hAnsi="Times New Roman"/>
          <w:sz w:val="24"/>
        </w:rPr>
        <w:t xml:space="preserve">Khraisha, Q., et al. (2024). Can large language models replace humans in systematic reviews? A study of LLM performance in screening and extracting data. </w:t>
      </w:r>
      <w:r>
        <w:rPr>
          <w:rFonts w:ascii="Times New Roman" w:hAnsi="Times New Roman"/>
          <w:i/>
          <w:sz w:val="24"/>
        </w:rPr>
        <w:t>Research Synthesis Methods</w:t>
      </w:r>
      <w:r>
        <w:rPr>
          <w:rFonts w:ascii="Times New Roman" w:hAnsi="Times New Roman"/>
          <w:sz w:val="24"/>
        </w:rPr>
        <w:t>, 15(4), 616–626.</w:t>
      </w:r>
    </w:p>
    <w:p>
      <w:pPr>
        <w:pStyle w:val="ListBullet"/>
      </w:pPr>
      <w:r>
        <w:rPr>
          <w:rFonts w:ascii="Times New Roman" w:hAnsi="Times New Roman"/>
          <w:sz w:val="24"/>
        </w:rPr>
        <w:t xml:space="preserve">Koo, T. K., &amp; Li, M. Y. (2016). A guideline of selecting and reporting intraclass correlation coefficients for reliability research. </w:t>
      </w:r>
      <w:r>
        <w:rPr>
          <w:rFonts w:ascii="Times New Roman" w:hAnsi="Times New Roman"/>
          <w:i/>
          <w:sz w:val="24"/>
        </w:rPr>
        <w:t>Journal of Chiropractic Medicine</w:t>
      </w:r>
      <w:r>
        <w:rPr>
          <w:rFonts w:ascii="Times New Roman" w:hAnsi="Times New Roman"/>
          <w:sz w:val="24"/>
        </w:rPr>
        <w:t>, 15(2), 155–163.</w:t>
      </w:r>
    </w:p>
    <w:p>
      <w:pPr>
        <w:pStyle w:val="ListBullet"/>
      </w:pPr>
      <w:r>
        <w:rPr>
          <w:rFonts w:ascii="Times New Roman" w:hAnsi="Times New Roman"/>
          <w:sz w:val="24"/>
        </w:rPr>
        <w:t xml:space="preserve">Li, J., Van Gerrewey, T., &amp; Geelen, D. (2022). A meta-analysis of biostimulant yield effectiveness in field trials. </w:t>
      </w:r>
      <w:r>
        <w:rPr>
          <w:rFonts w:ascii="Times New Roman" w:hAnsi="Times New Roman"/>
          <w:i/>
          <w:sz w:val="24"/>
        </w:rPr>
        <w:t>Frontiers in Plant Science</w:t>
      </w:r>
      <w:r>
        <w:rPr>
          <w:rFonts w:ascii="Times New Roman" w:hAnsi="Times New Roman"/>
          <w:sz w:val="24"/>
        </w:rPr>
        <w:t>, 13, 836702.</w:t>
      </w:r>
    </w:p>
    <w:p>
      <w:pPr>
        <w:pStyle w:val="ListBullet"/>
      </w:pPr>
      <w:r>
        <w:rPr>
          <w:rFonts w:ascii="Times New Roman" w:hAnsi="Times New Roman"/>
          <w:sz w:val="24"/>
        </w:rPr>
        <w:t xml:space="preserve">Li, L., Mathrani, A., &amp; Susnjak, T. (2025). What level of automation is "good enough"? A benchmark of large language models for meta-analysis data extraction. </w:t>
      </w:r>
      <w:r>
        <w:rPr>
          <w:rFonts w:ascii="Times New Roman" w:hAnsi="Times New Roman"/>
          <w:i/>
          <w:sz w:val="24"/>
        </w:rPr>
        <w:t>arXiv:2507.15152</w:t>
      </w:r>
      <w:r>
        <w:rPr>
          <w:rFonts w:ascii="Times New Roman" w:hAnsi="Times New Roman"/>
          <w:sz w:val="24"/>
        </w:rPr>
        <w:t>.</w:t>
      </w:r>
    </w:p>
    <w:p>
      <w:pPr>
        <w:pStyle w:val="ListBullet"/>
      </w:pPr>
      <w:r>
        <w:rPr>
          <w:rFonts w:ascii="Times New Roman" w:hAnsi="Times New Roman"/>
          <w:sz w:val="24"/>
        </w:rPr>
        <w:t>Li, S., et al. (2024). Biochar increases crop yield: A meta-analysis. figshare. https://doi.org/10.6084/m9.figshare.c.6622375.v1</w:t>
      </w:r>
    </w:p>
    <w:p>
      <w:pPr>
        <w:pStyle w:val="ListBullet"/>
      </w:pPr>
      <w:r>
        <w:rPr>
          <w:rFonts w:ascii="Times New Roman" w:hAnsi="Times New Roman"/>
          <w:sz w:val="24"/>
        </w:rPr>
        <w:t xml:space="preserve">Lin, L. I.-K. (1989). A concordance correlation coefficient to evaluate reproducibility. </w:t>
      </w:r>
      <w:r>
        <w:rPr>
          <w:rFonts w:ascii="Times New Roman" w:hAnsi="Times New Roman"/>
          <w:i/>
          <w:sz w:val="24"/>
        </w:rPr>
        <w:t>Biometrics</w:t>
      </w:r>
      <w:r>
        <w:rPr>
          <w:rFonts w:ascii="Times New Roman" w:hAnsi="Times New Roman"/>
          <w:sz w:val="24"/>
        </w:rPr>
        <w:t>, 45(1), 255–268.</w:t>
      </w:r>
    </w:p>
    <w:p>
      <w:pPr>
        <w:pStyle w:val="ListBullet"/>
      </w:pPr>
      <w:r>
        <w:rPr>
          <w:rFonts w:ascii="Times New Roman" w:hAnsi="Times New Roman"/>
          <w:sz w:val="24"/>
        </w:rPr>
        <w:t xml:space="preserve">Loladze, I. (2014). Hidden shift of the ionome of plants exposed to elevated CO2 depletes minerals at the base of human nutrition. </w:t>
      </w:r>
      <w:r>
        <w:rPr>
          <w:rFonts w:ascii="Times New Roman" w:hAnsi="Times New Roman"/>
          <w:i/>
          <w:sz w:val="24"/>
        </w:rPr>
        <w:t>eLife</w:t>
      </w:r>
      <w:r>
        <w:rPr>
          <w:rFonts w:ascii="Times New Roman" w:hAnsi="Times New Roman"/>
          <w:sz w:val="24"/>
        </w:rPr>
        <w:t>, 3, e02245.</w:t>
      </w:r>
    </w:p>
    <w:p>
      <w:pPr>
        <w:pStyle w:val="ListBullet"/>
      </w:pPr>
      <w:r>
        <w:rPr>
          <w:rFonts w:ascii="Times New Roman" w:hAnsi="Times New Roman"/>
          <w:sz w:val="24"/>
        </w:rPr>
        <w:t xml:space="preserve">Marshall, I. J., Kuiper, J., &amp; Wallace, B. C. (2016). RobotReviewer: evaluation of a system for automatically assessing bias in clinical trials. </w:t>
      </w:r>
      <w:r>
        <w:rPr>
          <w:rFonts w:ascii="Times New Roman" w:hAnsi="Times New Roman"/>
          <w:i/>
          <w:sz w:val="24"/>
        </w:rPr>
        <w:t>Journal of the American Medical Informatics Association</w:t>
      </w:r>
      <w:r>
        <w:rPr>
          <w:rFonts w:ascii="Times New Roman" w:hAnsi="Times New Roman"/>
          <w:sz w:val="24"/>
        </w:rPr>
        <w:t>, 23(1), 193–201.</w:t>
      </w:r>
    </w:p>
    <w:p>
      <w:pPr>
        <w:pStyle w:val="ListBullet"/>
      </w:pPr>
      <w:r>
        <w:rPr>
          <w:rFonts w:ascii="Times New Roman" w:hAnsi="Times New Roman"/>
          <w:sz w:val="24"/>
        </w:rPr>
        <w:t xml:space="preserve">Mathes, T., Klassen, P., &amp; Pieper, D. (2017). Frequency of data extraction errors and methods to increase data extraction quality: a methodological review. </w:t>
      </w:r>
      <w:r>
        <w:rPr>
          <w:rFonts w:ascii="Times New Roman" w:hAnsi="Times New Roman"/>
          <w:i/>
          <w:sz w:val="24"/>
        </w:rPr>
        <w:t>BMC Medical Research Methodology</w:t>
      </w:r>
      <w:r>
        <w:rPr>
          <w:rFonts w:ascii="Times New Roman" w:hAnsi="Times New Roman"/>
          <w:sz w:val="24"/>
        </w:rPr>
        <w:t>, 17, 152.</w:t>
      </w:r>
    </w:p>
    <w:p>
      <w:pPr>
        <w:pStyle w:val="ListBullet"/>
      </w:pPr>
      <w:r>
        <w:rPr>
          <w:rFonts w:ascii="Times New Roman" w:hAnsi="Times New Roman"/>
          <w:sz w:val="24"/>
        </w:rPr>
        <w:t xml:space="preserve">Nakagawa, S., et al. (2023). A robust and readily implementable method for the meta-analysis of response ratios with and without missing standard deviations. </w:t>
      </w:r>
      <w:r>
        <w:rPr>
          <w:rFonts w:ascii="Times New Roman" w:hAnsi="Times New Roman"/>
          <w:i/>
          <w:sz w:val="24"/>
        </w:rPr>
        <w:t>Ecology Letters</w:t>
      </w:r>
      <w:r>
        <w:rPr>
          <w:rFonts w:ascii="Times New Roman" w:hAnsi="Times New Roman"/>
          <w:sz w:val="24"/>
        </w:rPr>
        <w:t>, 26(2), 232–244.</w:t>
      </w:r>
    </w:p>
    <w:p>
      <w:pPr>
        <w:pStyle w:val="ListBullet"/>
      </w:pPr>
      <w:r>
        <w:rPr>
          <w:rFonts w:ascii="Times New Roman" w:hAnsi="Times New Roman"/>
          <w:sz w:val="24"/>
        </w:rPr>
        <w:t xml:space="preserve">Poser, P. L., Klimas, R., Luerweg, J., et al. (2026). Improving reliability and accuracy of structured data extraction using a consensus large-language model approach. </w:t>
      </w:r>
      <w:r>
        <w:rPr>
          <w:rFonts w:ascii="Times New Roman" w:hAnsi="Times New Roman"/>
          <w:i/>
          <w:sz w:val="24"/>
        </w:rPr>
        <w:t>Frontiers in Artificial Intelligence</w:t>
      </w:r>
      <w:r>
        <w:rPr>
          <w:rFonts w:ascii="Times New Roman" w:hAnsi="Times New Roman"/>
          <w:sz w:val="24"/>
        </w:rPr>
        <w:t>.</w:t>
      </w:r>
    </w:p>
    <w:p>
      <w:pPr>
        <w:pStyle w:val="ListBullet"/>
      </w:pPr>
      <w:r>
        <w:rPr>
          <w:rFonts w:ascii="Times New Roman" w:hAnsi="Times New Roman"/>
          <w:sz w:val="24"/>
        </w:rPr>
        <w:t xml:space="preserve">Pustejovsky, J. E., &amp; Tipton, E. (2018). Small-sample methods for cluster-robust variance estimation and hypothesis testing in fixed effects models. </w:t>
      </w:r>
      <w:r>
        <w:rPr>
          <w:rFonts w:ascii="Times New Roman" w:hAnsi="Times New Roman"/>
          <w:i/>
          <w:sz w:val="24"/>
        </w:rPr>
        <w:t>Journal of Business &amp; Economic Statistics</w:t>
      </w:r>
      <w:r>
        <w:rPr>
          <w:rFonts w:ascii="Times New Roman" w:hAnsi="Times New Roman"/>
          <w:sz w:val="24"/>
        </w:rPr>
        <w:t>, 36(4), 672–683.</w:t>
      </w:r>
    </w:p>
    <w:p>
      <w:pPr>
        <w:pStyle w:val="ListBullet"/>
      </w:pPr>
      <w:r>
        <w:rPr>
          <w:rFonts w:ascii="Times New Roman" w:hAnsi="Times New Roman"/>
          <w:sz w:val="24"/>
        </w:rPr>
        <w:t xml:space="preserve">Schmidt, L., Shokraneh, F., Pieper, D., &amp; Mathes, T. (2025). Data extraction methods for systematic review (semi)automation: Update of a living systematic review. </w:t>
      </w:r>
      <w:r>
        <w:rPr>
          <w:rFonts w:ascii="Times New Roman" w:hAnsi="Times New Roman"/>
          <w:i/>
          <w:sz w:val="24"/>
        </w:rPr>
        <w:t>F1000Research</w:t>
      </w:r>
      <w:r>
        <w:rPr>
          <w:rFonts w:ascii="Times New Roman" w:hAnsi="Times New Roman"/>
          <w:sz w:val="24"/>
        </w:rPr>
        <w:t>.</w:t>
      </w:r>
    </w:p>
    <w:p>
      <w:pPr>
        <w:pStyle w:val="ListBullet"/>
      </w:pPr>
      <w:r>
        <w:rPr>
          <w:rFonts w:ascii="Times New Roman" w:hAnsi="Times New Roman"/>
          <w:sz w:val="24"/>
        </w:rPr>
        <w:t xml:space="preserve">Shojania, K. G., Sampson, M., Ansari, M. T., Ji, J., Doucette, S., &amp; Moher, D. (2007). How quickly do systematic reviews go out of date? A survival analysis. </w:t>
      </w:r>
      <w:r>
        <w:rPr>
          <w:rFonts w:ascii="Times New Roman" w:hAnsi="Times New Roman"/>
          <w:i/>
          <w:sz w:val="24"/>
        </w:rPr>
        <w:t>Annals of Internal Medicine</w:t>
      </w:r>
      <w:r>
        <w:rPr>
          <w:rFonts w:ascii="Times New Roman" w:hAnsi="Times New Roman"/>
          <w:sz w:val="24"/>
        </w:rPr>
        <w:t>, 147(4), 224–233.</w:t>
      </w:r>
    </w:p>
    <w:p>
      <w:pPr>
        <w:pStyle w:val="ListBullet"/>
      </w:pPr>
      <w:r>
        <w:rPr>
          <w:rFonts w:ascii="Times New Roman" w:hAnsi="Times New Roman"/>
          <w:sz w:val="24"/>
        </w:rPr>
        <w:t xml:space="preserve">Tendal, B., Higgins, J. P. T., Juni, P., Hrobjartsson, A., &amp; Gotzsche, P. C. (2009). Multiplicity of data in trial reports and the reliability of meta-analyses: Empirical study. </w:t>
      </w:r>
      <w:r>
        <w:rPr>
          <w:rFonts w:ascii="Times New Roman" w:hAnsi="Times New Roman"/>
          <w:i/>
          <w:sz w:val="24"/>
        </w:rPr>
        <w:t>BMJ</w:t>
      </w:r>
      <w:r>
        <w:rPr>
          <w:rFonts w:ascii="Times New Roman" w:hAnsi="Times New Roman"/>
          <w:sz w:val="24"/>
        </w:rPr>
        <w:t>, 339, b3128.</w:t>
      </w:r>
    </w:p>
    <w:p>
      <w:pPr>
        <w:pStyle w:val="ListBullet"/>
      </w:pPr>
      <w:r>
        <w:rPr>
          <w:rFonts w:ascii="Times New Roman" w:hAnsi="Times New Roman"/>
          <w:sz w:val="24"/>
        </w:rPr>
        <w:t xml:space="preserve">Topp, C. F. E., et al. (2023). AgroEcoList: A checklist to improve reporting of ecological research in agronomy. </w:t>
      </w:r>
      <w:r>
        <w:rPr>
          <w:rFonts w:ascii="Times New Roman" w:hAnsi="Times New Roman"/>
          <w:i/>
          <w:sz w:val="24"/>
        </w:rPr>
        <w:t>PLOS ONE</w:t>
      </w:r>
      <w:r>
        <w:rPr>
          <w:rFonts w:ascii="Times New Roman" w:hAnsi="Times New Roman"/>
          <w:sz w:val="24"/>
        </w:rPr>
        <w:t>, 18(6), e0285478.</w:t>
      </w:r>
    </w:p>
    <w:p>
      <w:pPr>
        <w:pStyle w:val="Heading2"/>
      </w:pPr>
      <w:r>
        <w:t>Declarations</w:t>
      </w:r>
    </w:p>
    <w:p>
      <w:pPr>
        <w:pStyle w:val="Heading3"/>
      </w:pPr>
      <w:r>
        <w:t>Competing Interests</w:t>
      </w:r>
    </w:p>
    <w:p>
      <w:pPr>
        <w:ind w:hanging="720" w:left="720"/>
      </w:pPr>
      <w:r>
        <w:rPr>
          <w:rFonts w:ascii="Times New Roman" w:hAnsi="Times New Roman"/>
          <w:sz w:val="22"/>
        </w:rPr>
        <w:t>The author declares none.</w:t>
      </w:r>
    </w:p>
    <w:p>
      <w:pPr>
        <w:pStyle w:val="Heading3"/>
      </w:pPr>
      <w:r>
        <w:t>Funding</w:t>
      </w:r>
    </w:p>
    <w:p>
      <w:pPr>
        <w:ind w:hanging="720" w:left="720"/>
      </w:pPr>
      <w:r>
        <w:rPr>
          <w:rFonts w:ascii="Times New Roman" w:hAnsi="Times New Roman"/>
          <w:sz w:val="22"/>
        </w:rPr>
        <w:t>This research received no specific grant from any funding agency in the public, commercial, or not-for-profit sectors.</w:t>
      </w:r>
    </w:p>
    <w:p>
      <w:pPr>
        <w:pStyle w:val="Heading3"/>
      </w:pPr>
      <w:r>
        <w:t>Data Availability</w:t>
      </w:r>
    </w:p>
    <w:p>
      <w:pPr>
        <w:ind w:hanging="720" w:left="720"/>
      </w:pPr>
      <w:r>
        <w:rPr>
          <w:rFonts w:ascii="Times New Roman" w:hAnsi="Times New Roman"/>
          <w:sz w:val="22"/>
        </w:rPr>
        <w:t>All extraction code, configuration files, validation scripts, and pre-computed outputs are publicly available at https://github.com/halpernmoshe/Meta-analysis-extractor-agriculture. The repository includes complete LLM extraction prompts and alignment prompts used for all five datasets, enabling full replication. Reference-standard datasets are from published meta-analyses: Loladze (2014), Hui et al. (2025), Li et al. (2022), Li et al. (2024), and Boldorini et al. (2024). Source PDFs cannot be redistributed due to publisher copyright.</w:t>
      </w:r>
    </w:p>
    <w:p>
      <w:pPr>
        <w:pStyle w:val="Heading3"/>
      </w:pPr>
      <w:r>
        <w:t>CRediT Author Statement</w:t>
      </w:r>
    </w:p>
    <w:p>
      <w:pPr>
        <w:spacing w:after="40"/>
        <w:jc w:val="center"/>
      </w:pPr>
      <w:r>
        <w:rPr>
          <w:rFonts w:ascii="Times New Roman" w:hAnsi="Times New Roman"/>
          <w:b/>
          <w:sz w:val="24"/>
        </w:rPr>
        <w:t>Moshe Halpern: Conceptualization, Methodology, Software, Validation, Formal Analysis, Investigation, Data Curation, Writing -- Original Draft, Writing -- Review &amp; Editing, Visualization.</w:t>
      </w:r>
    </w:p>
    <w:p>
      <w:pPr>
        <w:pStyle w:val="Heading3"/>
      </w:pPr>
      <w:r>
        <w:t>Use of Artificial Intelligence Tools</w:t>
      </w:r>
    </w:p>
    <w:p>
      <w:pPr>
        <w:ind w:hanging="720" w:left="720"/>
      </w:pPr>
      <w:r>
        <w:rPr>
          <w:rFonts w:ascii="Times New Roman" w:hAnsi="Times New Roman"/>
          <w:sz w:val="22"/>
        </w:rPr>
        <w:t>This study used Claude Opus 4.6 (Anthropic, San Francisco, CA; accessed via API, February–March 2026) as both the extraction agent under evaluation and as a coding assistant during development. Claude Code (Anthropic CLI tool) was used for iterative development of extraction pipelines, validation scripts, and manuscript preparation. All AI-generated outputs were verified by the author against published reference standards. The extraction system, prompts, and validation code are available in the public repository.</w:t>
      </w:r>
    </w:p>
    <w:p>
      <w:pPr>
        <w:pStyle w:val="Heading1"/>
      </w:pPr>
      <w:r>
        <w:t>Appendix A: Extraction Instructions</w:t>
      </w:r>
    </w:p>
    <w:p>
      <w:pPr>
        <w:ind w:hanging="720" w:left="720"/>
      </w:pPr>
      <w:r>
        <w:rPr>
          <w:rFonts w:ascii="Times New Roman" w:hAnsi="Times New Roman"/>
          <w:sz w:val="22"/>
        </w:rPr>
        <w:t>For each dataset, the agent received a natural-language instruction specifying:</w:t>
      </w:r>
    </w:p>
    <w:p>
      <w:pPr>
        <w:pStyle w:val="ListBullet"/>
      </w:pPr>
      <w:r>
        <w:rPr>
          <w:rFonts w:ascii="Times New Roman" w:hAnsi="Times New Roman"/>
          <w:sz w:val="24"/>
        </w:rPr>
        <w:t>The treatment condition (e.g., "elevated CO2," "zinc fertilization," "biochar amendment," "predator enhancement")</w:t>
      </w:r>
    </w:p>
    <w:p>
      <w:pPr>
        <w:pStyle w:val="ListBullet"/>
      </w:pPr>
      <w:r>
        <w:rPr>
          <w:rFonts w:ascii="Times New Roman" w:hAnsi="Times New Roman"/>
          <w:sz w:val="24"/>
        </w:rPr>
        <w:t>The control condition (e.g., "ambient CO2," "no zinc application," "no biochar," "predator exclusion/reduction")</w:t>
      </w:r>
    </w:p>
    <w:p>
      <w:pPr>
        <w:pStyle w:val="ListBullet"/>
      </w:pPr>
      <w:r>
        <w:rPr>
          <w:rFonts w:ascii="Times New Roman" w:hAnsi="Times New Roman"/>
          <w:sz w:val="24"/>
        </w:rPr>
        <w:t>The outcome variable (e.g., "mineral element concentration," "grain yield," "grain Zn concentration," "crop yield")</w:t>
      </w:r>
    </w:p>
    <w:p>
      <w:pPr>
        <w:pStyle w:val="ListBullet"/>
      </w:pPr>
      <w:r>
        <w:rPr>
          <w:rFonts w:ascii="Times New Roman" w:hAnsi="Times New Roman"/>
          <w:sz w:val="24"/>
        </w:rPr>
        <w:t>The desired output format (JSON schema with fields for treatment mean, control mean, sample size, variance type, variance value, and moderator variables)</w:t>
      </w:r>
    </w:p>
    <w:p>
      <w:pPr>
        <w:ind w:hanging="720" w:left="720"/>
      </w:pPr>
      <w:r>
        <w:rPr>
          <w:rFonts w:ascii="Times New Roman" w:hAnsi="Times New Roman"/>
          <w:sz w:val="22"/>
        </w:rPr>
        <w:t>No few-shot examples, chain-of-thought demonstrations, or domain-specific prompt engineering were used. The same model was used for all five datasets. Complete prompts are available in the code repository.</w:t>
      </w:r>
    </w:p>
    <w:p>
      <w:pPr>
        <w:pStyle w:val="Heading1"/>
      </w:pPr>
      <w:r>
        <w:t>Supplementary Material</w:t>
      </w:r>
    </w:p>
    <w:p>
      <w:pPr>
        <w:ind w:hanging="720" w:left="720"/>
      </w:pPr>
      <w:r>
        <w:rPr>
          <w:rFonts w:ascii="Times New Roman" w:hAnsi="Times New Roman"/>
          <w:sz w:val="22"/>
        </w:rPr>
        <w:t>[TABLE S1: CR1 and CR2 TOST results for all five datasets at multiple margin levels (+-2 pp, +-3 pp, and proportional +-20%).]</w:t>
      </w:r>
    </w:p>
    <w:p>
      <w:pPr>
        <w:ind w:hanging="720" w:left="720"/>
      </w:pPr>
      <w:r>
        <w:rPr>
          <w:rFonts w:ascii="Times New Roman" w:hAnsi="Times New Roman"/>
          <w:sz w:val="22"/>
        </w:rPr>
        <w:t>[TABLE S2: Per-paper agreement statistics for all 136 papers across five datasets, including paper-level r, MAE, direction agreement, number of observations, and tier classification.]</w:t>
      </w:r>
    </w:p>
    <w:p>
      <w:pPr>
        <w:ind w:hanging="720" w:left="720"/>
      </w:pPr>
      <w:r>
        <w:rPr>
          <w:rFonts w:ascii="Times New Roman" w:hAnsi="Times New Roman"/>
          <w:sz w:val="22"/>
        </w:rPr>
        <w:t>[TABLE S3: Variance recovery details by dataset – direct extraction coverage, indirect recovery methods, imputation sensitivity analysis, and spread of pooled effect across imputation strategies.]</w:t>
      </w:r>
    </w:p>
    <w:p>
      <w:pPr>
        <w:ind w:hanging="720" w:left="720"/>
      </w:pPr>
      <w:r>
        <w:rPr>
          <w:rFonts w:ascii="Times New Roman" w:hAnsi="Times New Roman"/>
          <w:sz w:val="22"/>
        </w:rPr>
        <w:t>[TABLE S4: Agent replication details – per-paper agreement statistics for Run 1 versus Run 2 across three datasets.]</w:t>
      </w:r>
    </w:p>
    <w:p>
      <w:pPr>
        <w:ind w:hanging="720" w:left="720"/>
      </w:pPr>
      <w:r>
        <w:rPr>
          <w:rFonts w:ascii="Times New Roman" w:hAnsi="Times New Roman"/>
          <w:sz w:val="22"/>
        </w:rPr>
        <w:t>[FIGURE S1: Per-element effect sizes for the Loladze 2014 dataset – agent-extracted versus reference, showing element-specific direction patterns (Fe and Mn increase under elevated CO2).]</w:t>
      </w:r>
    </w:p>
    <w:p>
      <w:pPr>
        <w:ind w:hanging="720" w:left="720"/>
      </w:pPr>
      <w:r>
        <w:rPr>
          <w:rFonts w:ascii="Times New Roman" w:hAnsi="Times New Roman"/>
          <w:sz w:val="22"/>
        </w:rPr>
        <w:t>[FIGURE S2: Source-type distribution across all five datasets, showing the proportion of table, figure, and text observations in each dataset.]</w:t>
      </w:r>
    </w:p>
    <w:p>
      <w:pPr>
        <w:ind w:hanging="720" w:left="720"/>
      </w:pPr>
      <w:r>
        <w:rPr>
          <w:rFonts w:ascii="Times New Roman" w:hAnsi="Times New Roman"/>
          <w:sz w:val="22"/>
        </w:rPr>
        <w:t>[FIGURE S3: Variance recovery sensitivity analysis for the Li 2024 (biochar) dataset – pooled effect under five imputation strategies, demonstrating the 0.78 pp spread.]</w:t>
      </w:r>
    </w:p>
    <w:sectPr w:rsidR="00FC693F" w:rsidRPr="0006063C" w:rsidSect="00034616">
      <w:footerReference w:type="default" r:id="rId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