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Supplementary Materials</w:t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Breaking the Extraction Bottleneck: A Single AI Agent Achieves Statistical Equivalence with Human-Extracted Meta-Analysis Data Across Five Agricultural Datasets</w:t>
      </w:r>
    </w:p>
    <w:p>
      <w:pPr>
        <w:spacing w:after="480"/>
        <w:jc w:val="center"/>
      </w:pPr>
      <w:r>
        <w:rPr>
          <w:rFonts w:ascii="Times New Roman" w:hAnsi="Times New Roman"/>
          <w:sz w:val="24"/>
        </w:rPr>
        <w:t>Moshe Halpern</w:t>
      </w:r>
    </w:p>
    <w:p>
      <w:pPr>
        <w:spacing w:before="360" w:after="120"/>
      </w:pPr>
      <w:r>
        <w:rPr>
          <w:rFonts w:ascii="Times New Roman" w:hAnsi="Times New Roman"/>
          <w:b/>
          <w:sz w:val="20"/>
        </w:rPr>
        <w:t>Table S1. TOST equivalence results for all five datasets at four margin levels (±2 pp, ±3 pp, proportional ±20%, and proportional ±10% of mean absolute effect size). CR2 bias-corrected sandwich estimator with Satterthwaite degrees of freedom.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F549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17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Margin_type</w:t>
            </w:r>
          </w:p>
        </w:tc>
        <w:tc>
          <w:tcPr>
            <w:tcW w:type="dxa" w:w="117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Margin_pp</w:t>
            </w:r>
          </w:p>
        </w:tc>
        <w:tc>
          <w:tcPr>
            <w:tcW w:type="dxa" w:w="117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Margin_label</w:t>
            </w:r>
          </w:p>
        </w:tc>
        <w:tc>
          <w:tcPr>
            <w:tcW w:type="dxa" w:w="117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N_obs</w:t>
            </w:r>
          </w:p>
        </w:tc>
        <w:tc>
          <w:tcPr>
            <w:tcW w:type="dxa" w:w="117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Mean_diff_pp</w:t>
            </w:r>
          </w:p>
        </w:tc>
        <w:tc>
          <w:tcPr>
            <w:tcW w:type="dxa" w:w="117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TOST_p</w:t>
            </w:r>
          </w:p>
        </w:tc>
        <w:tc>
          <w:tcPr>
            <w:tcW w:type="dxa" w:w="117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 (mineral/CO2)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+/-2pp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413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0.0111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 (mineral/CO2)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+/-3pp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413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0.0111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 (mineral/CO2)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Proportional (20%)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2.477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+/-20% of |effect| = +/-2.48pp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413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0.0111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 (mineral/CO2)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Proportional (10%)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1.2385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+/-10% of |effect| = +/-1.24pp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413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0.0111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Hui 2025 (Zn/wheat)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+/-2pp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319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0.1171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Hui 2025 (Zn/wheat)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+/-3pp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319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0.1171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Hui 2025 (Zn/wheat)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Proportional (20%)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10.0464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+/-20% of |effect| = +/-10.05pp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319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0.1171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Hui 2025 (Zn/wheat)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Proportional (10%)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5.0232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+/-10% of |effect| = +/-5.02pp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319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0.1171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 (biostimulant/yield)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+/-2pp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117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-0.1472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 (biostimulant/yield)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+/-3pp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117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-0.1472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 (biostimulant/yield)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Proportional (20%)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3.4097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+/-20% of |effect| = +/-3.41pp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117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-0.1472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 (biostimulant/yield)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Proportional (10%)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1.7048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+/-10% of |effect| = +/-1.70pp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117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-0.1472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 (biochar/yield)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+/-2pp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-0.2184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 (biochar/yield)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+/-3pp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254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-0.2184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 (biochar/yield)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Proportional (20%)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3.2181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+/-20% of |effect| = +/-3.22pp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-0.2184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 (biochar/yield)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Proportional (10%)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1.6091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+/-10% of |effect| = +/-1.61pp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254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-0.2184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 (predator/yield)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+/-2pp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1.6089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0.404745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Not equivalent</w:t>
            </w:r>
          </w:p>
        </w:tc>
      </w:tr>
      <w:tr>
        <w:tc>
          <w:tcPr>
            <w:tcW w:type="dxa" w:w="117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 (predator/yield)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+/-3pp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1.6089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0.196464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Not equivalent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 (predator/yield)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Proportional (20%)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9.4155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+/-20% of |effect| = +/-9.42pp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1.6089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8e-06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  <w:tr>
        <w:tc>
          <w:tcPr>
            <w:tcW w:type="dxa" w:w="117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 (predator/yield)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Proportional (10%)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4.7078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+/-10% of |effect| = +/-4.71pp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1.6089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0.030501</w:t>
            </w:r>
          </w:p>
        </w:tc>
        <w:tc>
          <w:tcPr>
            <w:tcW w:type="dxa" w:w="117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Equivalent</w:t>
            </w:r>
          </w:p>
        </w:tc>
      </w:tr>
    </w:tbl>
    <w:p/>
    <w:p>
      <w:pPr>
        <w:spacing w:before="360" w:after="120"/>
      </w:pPr>
      <w:r>
        <w:rPr>
          <w:rFonts w:ascii="Times New Roman" w:hAnsi="Times New Roman"/>
          <w:b/>
          <w:sz w:val="20"/>
        </w:rPr>
        <w:t>Table S2. Per-paper agreement statistics for all papers across five datasets. Tier classification: Excellent (MAE &lt; 5 pp), Good (5–10 pp), Fair (10–20 pp), Poor (&gt; 20 pp).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F549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56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Paper_ID</w:t>
            </w:r>
          </w:p>
        </w:tc>
        <w:tc>
          <w:tcPr>
            <w:tcW w:type="dxa" w:w="156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N_obs</w:t>
            </w:r>
          </w:p>
        </w:tc>
        <w:tc>
          <w:tcPr>
            <w:tcW w:type="dxa" w:w="156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MAE_pp</w:t>
            </w:r>
          </w:p>
        </w:tc>
        <w:tc>
          <w:tcPr>
            <w:tcW w:type="dxa" w:w="156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Direction_pct</w:t>
            </w:r>
          </w:p>
        </w:tc>
        <w:tc>
          <w:tcPr>
            <w:tcW w:type="dxa" w:w="156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Barnes_1992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Hogy_2009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1.46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Huluka_1994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Fair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Wu_2004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Keutgen_2001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Lieffering_2004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4.15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Pleijel_2009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Fernando_2012a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1.36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027_Peet_1986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3.19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031_Pal_2003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032_Kanowski_2001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2.41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034_Johnson_2003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035_Oksanen_2005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036_Schenk_1997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037_Haase_2008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3.07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Al-Rawahy_2013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Azam_2013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Baslam_2012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Baxter_1994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9.59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Fair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Blank_2011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2.05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Campbell_2002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9.97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Fair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Fangmeier_2002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1.59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Fernando_2012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Finzi_2001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Guo_2011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Heagle_1993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3.03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Housman_2012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Khan_2013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Luomala_2005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3.72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Mjwara_1996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Natali_2009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1.65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Newbery_1995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Niinemets_1999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Niu_2013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1.25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ONeill_1987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Overdieck_1993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0.79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Pfirrmann_1996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Polley_2011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Porter_1984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Rodenkirchen_2009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4.01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Seneweera_1997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Singh_2013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Wilsey_1994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Woodin_1992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5.91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Fair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Ziska_1997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Hui 2025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(aggregate - 319 obs)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009_Ali_2019_Biostimulatory activities of Ascophyllum nodosum 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027_Chen_2021_Effects of Seaweed Extracts on the Growt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029_Ciepiela_2019_The effect of biostimulants derived from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1.35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058_Fichhof_2018_Management of Biostimulant and Silicon i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4.29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067_Grabowska_2012_The Effect of Cultivar and Biostimulant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086_Knapowski_2019_Crop stimulants as a factor determining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088_Kocira_2019_Effect of amino acid biostimulant on the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090_Kocira_2020_Biochemical and economical effect of app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0.65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091_Kocira_2018_Modeling biometric traits, yield and nut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0.99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094_Kowalska_2021_Effect of Different Forms of Silicon on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1.13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095_Kuisma_1989_The effect of foliar application of seaw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1.43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1-s2.0-S0304423819306703-main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1-s2.0-S0304423820302417-main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1.37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1-s2.0-S1878818119307637-main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1-s2.0-S1878818119309879-main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105_Mattner_2018_Increased growth response of strawberry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106_Matysiak_2018_Herbicides with natural and synthetic bi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110_Michalak_2016_Evaluation of supercritical extracts of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1.32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116_Nurdiawati_2019_Liquid feather protein hydrolysate as a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120_Pohl_2019_The Eggplant Yield and Fruit Composition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127_Radkowski_2018_Influence of foliar fertilization with a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131_Rahman_2018_Chitosan biopolymer promotes yield and s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1.02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1542-1558-15(3)2018 BR-18-165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2.15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158_Sulakhudin_2019_Application of Coastal Sediments and Fol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175_Wilczewski_2018_Response of sugar beet to humic substanc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604-615-14(3)2017BR-1503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1.47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agriculture-10-00618-v2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ali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0.76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article1400838000_Azarpour et al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plants-09-01633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0.83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sustainability-11-02171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1.66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001_Adekiya_2019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007_Gathorne-Hardy_2009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016_Li_B_2016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021_Nobile_2022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041_Guerena_2013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0.89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063_Asai_2009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1.01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077_Zhang_J_2019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078_Wang_2012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1.35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081_Deenik_2010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082_Jose_2013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101_Liang_Feng_2014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116_Farrell_2014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1.98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130_Azeem_2019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133_Pandit_2018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2.02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145_Omara_2020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153_Wei_2022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2.11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166_Haefele_2011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0.98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184_Yeboah_2018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1.46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193_Islami_2011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207_Liu_2019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1.11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219_Xie_2021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223_Dong_2019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1.67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227_Niu_2017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1.37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229_Shi_2022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231_Zhang_2021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1.48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242_Liu_2014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2.33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Good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Ali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1.01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Bisseleua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Borkhataria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Classen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Garfinkel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Gras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Hooks_et_al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Ismoilov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Lang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Libran-Embid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Maas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48.16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Poor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Martin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Mols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Saunders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Snyder_Wise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Suenaga_Hamamura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1.35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  <w:tr>
        <w:tc>
          <w:tcPr>
            <w:tcW w:type="dxa" w:w="156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Vichitbandha_Wise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3.77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type="dxa" w:w="156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Excellent</w:t>
            </w:r>
          </w:p>
        </w:tc>
      </w:tr>
    </w:tbl>
    <w:p/>
    <w:p>
      <w:pPr>
        <w:spacing w:before="360" w:after="120"/>
      </w:pPr>
      <w:r>
        <w:rPr>
          <w:rFonts w:ascii="Times New Roman" w:hAnsi="Times New Roman"/>
          <w:b/>
          <w:sz w:val="20"/>
        </w:rPr>
        <w:t>Table S3. Variance recovery details by dataset, including direct extraction coverage, indirect recovery, and imputation sensitivity.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2F549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N_matched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Direct_variance_pct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Indirect_recovery_count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Indirect_recovery_pct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Imputation_spread_pp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Table_obs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Figure_obs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Text_obs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Table_MAE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Figure_MAE</w:t>
            </w:r>
          </w:p>
        </w:tc>
        <w:tc>
          <w:tcPr>
            <w:tcW w:type="dxa" w:w="7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Biochar 2024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254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25.5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83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22.4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67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133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0.61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Table data 5.5x more precise than figure data</w:t>
            </w:r>
          </w:p>
        </w:tc>
      </w:tr>
      <w:tr>
        <w:tc>
          <w:tcPr>
            <w:tcW w:type="dxa" w:w="78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413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GT uses percentage change; variance not validated separately</w:t>
            </w:r>
          </w:p>
        </w:tc>
      </w:tr>
      <w:tr>
        <w:tc>
          <w:tcPr>
            <w:tcW w:type="dxa" w:w="7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Hui 2025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319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Validated on effect sizes; variance not separately assessed</w:t>
            </w:r>
          </w:p>
        </w:tc>
      </w:tr>
      <w:tr>
        <w:tc>
          <w:tcPr>
            <w:tcW w:type="dxa" w:w="780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117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Effect-size-only validation</w:t>
            </w:r>
          </w:p>
        </w:tc>
      </w:tr>
      <w:tr>
        <w:tc>
          <w:tcPr>
            <w:tcW w:type="dxa" w:w="7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Boldorini 2024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lnRR-based validation</w:t>
            </w:r>
          </w:p>
        </w:tc>
      </w:tr>
    </w:tbl>
    <w:p/>
    <w:p>
      <w:pPr>
        <w:spacing w:before="360" w:after="120"/>
      </w:pPr>
      <w:r>
        <w:rPr>
          <w:rFonts w:ascii="Times New Roman" w:hAnsi="Times New Roman"/>
          <w:b/>
          <w:sz w:val="20"/>
        </w:rPr>
        <w:t>Table S4. Agent replication stability. Aggregate effect difference between independent duplicate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F549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33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N_matched_obs</w:t>
            </w:r>
          </w:p>
        </w:tc>
        <w:tc>
          <w:tcPr>
            <w:tcW w:type="dxa" w:w="133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N_papers</w:t>
            </w:r>
          </w:p>
        </w:tc>
        <w:tc>
          <w:tcPr>
            <w:tcW w:type="dxa" w:w="133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Aggregate_effect_Run1</w:t>
            </w:r>
          </w:p>
        </w:tc>
        <w:tc>
          <w:tcPr>
            <w:tcW w:type="dxa" w:w="133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Aggregate_effect_Run2</w:t>
            </w:r>
          </w:p>
        </w:tc>
        <w:tc>
          <w:tcPr>
            <w:tcW w:type="dxa" w:w="133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Effect_diff_pp</w:t>
            </w:r>
          </w:p>
        </w:tc>
        <w:tc>
          <w:tcPr>
            <w:tcW w:type="dxa" w:w="133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Loladze 2014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665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-4.95%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-5.04%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Run1 vs Run2 agent extraction</w:t>
            </w:r>
          </w:p>
        </w:tc>
      </w:tr>
      <w:tr>
        <w:tc>
          <w:tcPr>
            <w:tcW w:type="dxa" w:w="1337"/>
            <w:shd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Hui 2025</w:t>
            </w:r>
          </w:p>
        </w:tc>
        <w:tc>
          <w:tcPr>
            <w:tcW w:type="dxa" w:w="1337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362</w:t>
            </w:r>
          </w:p>
        </w:tc>
        <w:tc>
          <w:tcPr>
            <w:tcW w:type="dxa" w:w="1337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337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37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37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6.31</w:t>
            </w:r>
          </w:p>
        </w:tc>
        <w:tc>
          <w:tcPr>
            <w:tcW w:type="dxa" w:w="1337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Large effect-size scale amplifies small proportional differences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Li 2022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10.16%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10.39%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Aggregate effect stable across runs</w:t>
            </w:r>
          </w:p>
        </w:tc>
      </w:tr>
    </w:tbl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per_element_eff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left"/>
      </w:pPr>
      <w:r>
        <w:rPr>
          <w:rFonts w:ascii="Times New Roman" w:hAnsi="Times New Roman"/>
          <w:i/>
          <w:sz w:val="20"/>
        </w:rPr>
        <w:t>Figure S1. Per-element effect sizes for the Loladze 2014 dataset. Agent-extracted (orange) versus reference (blue) mean percentage change under elevated CO₂. Elements marked with * (Fe, Mn) increase under elevated CO₂, which is biologically correct. Error reflects alignment and extraction combined.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5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source_typ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left"/>
      </w:pPr>
      <w:r>
        <w:rPr>
          <w:rFonts w:ascii="Times New Roman" w:hAnsi="Times New Roman"/>
          <w:i/>
          <w:sz w:val="20"/>
        </w:rPr>
        <w:t>Figure S2. Source-type distribution across datasets. The Li 2024 (biochar) dataset has detailed source labeling; other datasets show available classification.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4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variance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4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left"/>
      </w:pPr>
      <w:r>
        <w:rPr>
          <w:rFonts w:ascii="Times New Roman" w:hAnsi="Times New Roman"/>
          <w:i/>
          <w:sz w:val="20"/>
        </w:rPr>
        <w:t>Figure S3. Variance recovery sensitivity analysis for the Li 2024 (biochar) dataset. Pooled effect size under five imputation strategies, demonstrating robustness (spread &lt; 1 pp).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