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oto Nastaliq Urdu" w:cs="Noto Nastaliq Urdu" w:eastAsia="Noto Nastaliq Urdu" w:hAnsi="Noto Nastaliq Urdu"/>
          <w:sz w:val="256"/>
          <w:szCs w:val="25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56"/>
          <w:szCs w:val="256"/>
          <w:rtl w:val="1"/>
        </w:rPr>
        <w:t xml:space="preserve">رجسٹریشن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58"/>
          <w:szCs w:val="5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1"/>
        </w:rPr>
        <w:t xml:space="preserve">بلاک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1"/>
        </w:rPr>
        <w:br w:type="textWrapping"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E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F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G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H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River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70"/>
          <w:szCs w:val="70"/>
          <w:rtl w:val="0"/>
        </w:rPr>
        <w:t xml:space="preserve">Garden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