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رضوان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وفات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مسیح</w:t>
      </w:r>
    </w:p>
    <w:p w:rsidR="00000000" w:rsidDel="00000000" w:rsidP="00000000" w:rsidRDefault="00000000" w:rsidRPr="00000000" w14:paraId="00000003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</w:rPr>
        <w:drawing>
          <wp:inline distB="114300" distT="114300" distL="114300" distR="114300">
            <wp:extent cx="5181217" cy="16208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217" cy="162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فیضان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نبوت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</w:rPr>
        <w:drawing>
          <wp:inline distB="114300" distT="114300" distL="114300" distR="114300">
            <wp:extent cx="5157608" cy="226099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608" cy="2260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  <w:rtl w:val="1"/>
        </w:rPr>
        <w:t xml:space="preserve">صداقت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8"/>
          <w:szCs w:val="2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8"/>
          <w:szCs w:val="28"/>
          <w:u w:val="single"/>
        </w:rPr>
        <w:drawing>
          <wp:inline distB="114300" distT="114300" distL="114300" distR="114300">
            <wp:extent cx="5243513" cy="16385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1638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