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pacing w:val="60"/>
          <w:sz w:val="22"/>
          <w:szCs w:val="22"/>
        </w:rPr>
        <w:t xml:space="preserve">RAUMGLEITER</w:t>
      </w:r>
    </w:p>
    <w:p>
      <w:pPr>
        <w:spacing w:after="60" w:lin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pacing w:val="10"/>
          <w:sz w:val="40"/>
          <w:szCs w:val="40"/>
        </w:rPr>
        <w:t xml:space="preserve">GRUNDLAGENDOKUMENT</w:t>
      </w:r>
    </w:p>
    <w:p>
      <w:pPr>
        <w:spacing w:after="20" w:lin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30"/>
          <w:szCs w:val="30"/>
        </w:rPr>
        <w:t xml:space="preserve">Dimensionsraster und Entwicklungsprofil (RAG)</w:t>
      </w:r>
    </w:p>
    <w:p>
      <w:p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30"/>
          <w:szCs w:val="30"/>
        </w:rPr>
        <w:t xml:space="preserve">der Räumlichen Entwicklungsstrategie · Version 8</w:t>
      </w:r>
    </w:p>
    <w:p>
      <w:pPr>
        <w:spacing w:after="3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F66"/>
          <w:sz w:val="19"/>
          <w:szCs w:val="19"/>
        </w:rPr>
        <w:t xml:space="preserve">Methodische Grundlage für Leistungspaket 01 · «Räumliche Entwicklungsstrategie»</w:t>
      </w:r>
    </w:p>
    <w:p>
      <w:pPr>
        <w:pBdr>
          <w:bottom w:val="single" w:color="4C6079" w:sz="12" w:space="4"/>
        </w:pBdr>
        <w:spacing w:after="200" w:before="4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7"/>
          <w:szCs w:val="17"/>
        </w:rPr>
        <w:t xml:space="preserve">Raumgleiter · Ebene 1 · Strategische Basis</w:t>
      </w:r>
    </w:p>
    <w:p>
      <w:pPr>
        <w:keepNext w:val="false"/>
        <w:spacing w:after="1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Dieses Grundlagendokument gliedert die Räumliche Entwicklungsstrategie in drei aufeinander bezogene Schichten und einen verbindlichen Qualitätsrahmen.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Schicht A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bestimmt die sozioökonomischen Strategieentscheidungen,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Schicht B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übersetzt sie räumlich,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Schicht C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weist die institutionellen Voraussetzungen und Folgewirkungen aus, und der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Qualitätsrahmen Q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begrenzt und qualifiziert jede Strategievariante. Teil I beschreibt das Dimensionsraster, Teil II analysiert die IST-Situation, Teil III entwickelt daraus die Strategie (RAG).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038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EB8C4"/>
                <w:spacing w:val="40"/>
                <w:sz w:val="16"/>
                <w:szCs w:val="16"/>
              </w:rPr>
              <w:t xml:space="preserve">TEIL I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Dimensionsraster</w:t>
            </w:r>
          </w:p>
        </w:tc>
      </w:tr>
    </w:tbl>
    <w:p>
      <w:pPr>
        <w:spacing w:after="120"/>
      </w:pPr>
    </w:p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01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Grundlogik der drei Schichten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Die Strategie unterscheidet das sozioökonomische WAS (A), das räumliche WO und WIE (B) und die institutionellen Voraussetzungen und Folgewirkungen (C). Quer dazu gilt ein verbindlicher, nicht wählbarer Qualitäts- und Nachhaltigkeitsrahmen (Q).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DIE VIER BESTANDTEILE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Schicht A klärt die sozioökonomische Strategie: Welche demografische, wirtschaftliche, freizeitbezogene und touristische Rolle will die Gemeinde künftig einnehmen und entwickeln?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Schicht B klärt die räumlich-physische Umsetzung: Welche Strukturen, Standorte, Kapazitäten und Massnahmen sind nötig, um die gewählte Strategiekombination umzusetzen?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Schicht C klärt die institutionelle Wirkung: Welche finanziellen, bodenpolitischen, organisatorischen, kooperativen und politischen Ausrichtungen sind kausal notwendig – und welche dauerhaften Auswirkungen erzeugt die Strategie für Politik und Verwaltung?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Qualitätsrahmen Q gilt für alle Varianten: Landschaft, Biodiversität, Klima, Ressourcen und Baukultur sind keine wählbaren Strategievarianten, sondern verbindliche Anforderungen an jede Strategie und ihre Umsetzung.</w:t>
            </w:r>
          </w:p>
        </w:tc>
      </w:tr>
    </w:tbl>
    <w:p>
      <w:pPr>
        <w:spacing w:after="120"/>
      </w:pP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900"/>
        <w:gridCol w:w="4260"/>
        <w:gridCol w:w="3750"/>
      </w:tblGrid>
      <w:tr>
        <w:trPr>
          <w:tblHeader/>
        </w:trPr>
        <w:tc>
          <w:tcPr>
            <w:tcW w:type="dxa" w:w="19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Schicht / Rahmen</w:t>
            </w:r>
          </w:p>
        </w:tc>
        <w:tc>
          <w:tcPr>
            <w:tcW w:type="dxa" w:w="42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Leitfrage</w:t>
            </w:r>
          </w:p>
        </w:tc>
        <w:tc>
          <w:tcPr>
            <w:tcW w:type="dxa" w:w="37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Bestandteile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· Strategie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Welche sozioökonomische Rolle wollen wir einnehmen?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Bevölkerung · A2 Wirtschaft · A3 Freizeit · A4 Tourismus</w:t>
            </w:r>
          </w:p>
        </w:tc>
      </w:tr>
      <w:tr>
        <w:trPr>
          <w:cantSplit/>
        </w:trPr>
        <w:tc>
          <w:tcPr>
            <w:tcW w:type="dxa" w:w="1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· Umsetzung</w:t>
            </w:r>
          </w:p>
        </w:tc>
        <w:tc>
          <w:tcPr>
            <w:tcW w:type="dxa" w:w="4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Wo und wie im Raum setzen wir die Kombination um?</w:t>
            </w:r>
          </w:p>
        </w:tc>
        <w:tc>
          <w:tcPr>
            <w:tcW w:type="dxa" w:w="37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 Siedlung · B2 Landschaft · B3 Mobilität · B4 Versorgung · B5 Energie/Klima · B6 Ortsbild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 · Institution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Was ist institutionell nötig – und was folgt daraus?</w:t>
            </w:r>
          </w:p>
        </w:tc>
        <w:tc>
          <w:tcPr>
            <w:tcW w:type="dxa" w:w="37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C1 Finanzen · C2 Boden · C3 Governance · C4 Verwaltung · C5 Politik</w:t>
            </w:r>
          </w:p>
        </w:tc>
      </w:tr>
      <w:tr>
        <w:trPr>
          <w:cantSplit/>
        </w:trPr>
        <w:tc>
          <w:tcPr>
            <w:tcW w:type="dxa" w:w="1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 · Qualitätsrahmen</w:t>
            </w:r>
          </w:p>
        </w:tc>
        <w:tc>
          <w:tcPr>
            <w:tcW w:type="dxa" w:w="4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A1A1A"/>
                <w:sz w:val="18"/>
                <w:szCs w:val="18"/>
              </w:rPr>
              <w:t xml:space="preserve">Welche verbindlichen Standards gelten für jede Variante?</w:t>
            </w:r>
          </w:p>
        </w:tc>
        <w:tc>
          <w:tcPr>
            <w:tcW w:type="dxa" w:w="37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 Recht/Planung · Q2 Landschaft/Biodiversität · Q3 Klima/Ressourcen · Q4 Resilienz · Q5 Baukultur · Q6 Bestellung/Umsetzung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02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Schicht A · Sozioökonomische Wirkungsdimensionen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A1–A4 strukturieren IST-Analyse, Zielwirkungen und Monitoring – sie sind Wirkungs-, Analyse- und Berichtsdimensionen, keine Auswahlkataloge.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Schicht A umfasst vier sozioökonomische Wirkungsdimensionen. Die strategische Auswahl erfolgt nicht mehr durch Wahl je einer A-Variante, sondern in Teil III über Schwerpunktmodule F1–F10 und deren fachliche Ausprägungen. A1–A4 sagen, WO Wirkungen entstehen und berichtet werden; die Module sagen, WAS politisch priorisiert wird. Freizeit (A3) und Tourismus (A4) bleiben getrennt (unterschiedliche Adressaten: eigene/regionale Bevölkerung vs. auswärtige Gäste).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000"/>
        <w:gridCol w:w="2820"/>
        <w:gridCol w:w="2990"/>
        <w:gridCol w:w="2100"/>
      </w:tblGrid>
      <w:tr>
        <w:trPr>
          <w:tblHeader/>
        </w:trPr>
        <w:tc>
          <w:tcPr>
            <w:tcW w:type="dxa" w:w="2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Wirkungsdimension</w:t>
            </w:r>
          </w:p>
        </w:tc>
        <w:tc>
          <w:tcPr>
            <w:tcW w:type="dxa" w:w="28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Leitfrage</w:t>
            </w:r>
          </w:p>
        </w:tc>
        <w:tc>
          <w:tcPr>
            <w:tcW w:type="dxa" w:w="299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Datenfokus</w:t>
            </w:r>
          </w:p>
        </w:tc>
        <w:tc>
          <w:tcPr>
            <w:tcW w:type="dxa" w:w="2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Berichts-/Wirkungsfokus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Bevölkerung und Gesellschaft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demografische und gesellschaftliche Rolle wollen wir entwickeln?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STATPOP, Alters-/Haushalts-/Sozialstruktur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Wanderungssaldo, Kaufkraft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Siedlungsform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IST-Profil, Ziel- und Strukturwirkungen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A2 Wirtschaft und Arbeit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funktionale Rolle und welchen Branchenfokus streben wir an?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STATENT, Arbeitsplatzdichte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Branchenmix, Pendlerverflechtung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Wirtschaftsflächen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Funktion, Branchen, Arbeitsplatzwirkung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A3 Freizeit und Gemeinschaft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Freizeit-, Sport-, Kultur- und Gemeinschaftsfunktion für die eigene/regionale Bevölkerung?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Sport-/Kultur-/Vereinsinfrastruktur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Vereinsdichte, Auslastung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Reichweite (lokal–regional)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Versorgung, Auslastung, Reichweite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A4 Tourismus und Gästewirtschaft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touristische Rolle gegenüber auswärtigen Gästen?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Logiernächte (HESTA), Tagesgäste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Beherbergung, Saisonalität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ISOS-/Altstadtpotenzial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Intensität, Gästetyp, Wertschöpfung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ENTWICKLUNGSRICHTUNG JE WIRKUNGSDIMENSION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Die Richtungen Halten · Stärken · Wandeln · Aufbauen sind keine Strategievarianten, sondern beschreiben den Übergang von der heutigen IST-Ausprägung zur angestrebten Wirkung je Dimension (Zielmodell Kap. 16).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03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Schicht B · Räumlich-physische Umsetzung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Welche räumlichen Strukturen, Standorte, Kapazitäten und Massnahmen setzen die gewählte Strategiekombination um?</w:t>
      </w: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Schicht B dockt an Schicht A an – aber nicht als starre Eins-zu-eins-Beziehung: Eine A-Strategie betrifft meist mehrere B-Dimensionen, und eine B-Massnahme kann mehrere A-Dimensionen stützen. Das Andocken erfolgt über transparente A–B-Anschlussprofile.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000"/>
        <w:gridCol w:w="2820"/>
        <w:gridCol w:w="2990"/>
        <w:gridCol w:w="2100"/>
      </w:tblGrid>
      <w:tr>
        <w:trPr>
          <w:tblHeader/>
        </w:trPr>
        <w:tc>
          <w:tcPr>
            <w:tcW w:type="dxa" w:w="2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8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Leitfrage</w:t>
            </w:r>
          </w:p>
        </w:tc>
        <w:tc>
          <w:tcPr>
            <w:tcW w:type="dxa" w:w="299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Datenfokus</w:t>
            </w:r>
          </w:p>
        </w:tc>
        <w:tc>
          <w:tcPr>
            <w:tcW w:type="dxa" w:w="2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Vertiefung (LP)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 Siedlung, Innenentwicklung und Nutzungsstruktur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 verdichten, wo wachsen, wie mischen wir Nutzungen (RPG 1)?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Bauzonenreserven, AZ, Flächenpotenzial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Leerstand, GWR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Nutzungsstruktur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LP02 Planungsrechtl. Umsetzung; LP05 Gebiets-/Arealentwicklung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B2 Landschaft, Freiraum und Biodiversität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Freiräume schützen, vernetzen und entwickeln wir?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Grün-/Biodiversität, Gewässerräume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Freiraumversorgung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Kulturland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LP05 Gebiets-/Freiraumentwicklung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B3 Mobilität und Erreichbarkeit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organisieren wir Erreichbarkeit – ÖV, MIV, Langsamverkehr?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ÖV-Güteklassen, MIV-Erreichbarkeit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Modal Split, Pendlerströme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Parkierung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 04; LP 02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B4 Versorgung und soziale Infrastruktur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Bauten, Anlagen und Angebote brauchen wir wann und wo?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Anlageninventar (Bestand/Zustand)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Bedarfsprognosen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Nahversorgung, Auslastung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 04; LP 06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B5 Energie, Klima und Ressourcen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machen wir Siedlung und Infrastruktur klimaneutral und -angepasst?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Energie-/Wärmedaten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CO₂, Sanierungsstand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Klima-/Hochwasserrisiken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 04; LP 08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B6 Ortsbild, Baukultur und räumliche Identität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erhalten und entwickeln wir Ortsbild und Identität?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ISOS, Denkmal-/Schutzinventar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Ortsbildqualität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Bausubstanz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LP05; LP02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Standardisiertes Modul–B-Anschlussprofil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Für jedes Schwerpunktmodul (F1–F10, Teil III) wird ein einheitliches Anschlussprofil geführt; nach Konfiguration einer Variante werden die betroffenen Profile zu einem räumlichen Gesamtprogramm zusammengeführt und auf Synergien, Doppelbedarfe und Widersprüche bereinigt (Kap. 18). Die Detailprofile stehen im Anhang.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900"/>
        <w:gridCol w:w="7010"/>
      </w:tblGrid>
      <w:tr>
        <w:trPr>
          <w:tblHeader/>
        </w:trPr>
        <w:tc>
          <w:tcPr>
            <w:tcW w:type="dxa" w:w="29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0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Räumlicher Bedarf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Flächen, Kapazitäten, Erreichbarkeiten oder Qualitäten werden benötigt?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Betroffene B-Dimensionen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der Dimensionen B1–B6 sind wesentlich?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 Logik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Innenentwicklung, Transformation, Schutz, Vernetzung, Ausbau oder Neueinzonung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Quantitative Übersetzung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Einwohner, Wohnungen, Arbeitsplätze, Geschossflächen, Besucher, Verkehrsströme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Standortlogik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Standorttypen sind geeignet oder ausgeschlossen?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Zielkonflikte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Konflikte mit anderen Modulen oder Qualitätszielen (Q)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Verbindliche Leitplanken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Geltende Klima-, Landschafts-, Biodiversitäts- und Baukulturstandards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04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Schicht C · Dynamische institutionelle Wirkungsebene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Was ist institutionell kausal notwendig – und welche dauerhaften Auswirkungen erzeugt die Strategie für Politik und Verwaltung?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ZWEI WIRKUNGSRICHTUNGEN – NICHT VERMISCHEN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Voraussetzung (C → Umsetzung): Was muss vorhanden oder aufgebaut werden, damit A und B umsetzbar sind (z. B. Bodensicherung, Kooperationsstrukturen, Verwaltungsressourcen, Finanzierungsstrategie)?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Folge (Umsetzung → C): Welche dauerhaften Belastungen entstehen (Betriebskosten, Verschuldung, Bewilligungs-/Koordinationsaufwand, politische Konflikte, Personal-/Kompetenzbedarf, Trägerschafts- und Unterhaltspflichten)?</w:t>
            </w:r>
          </w:p>
        </w:tc>
      </w:tr>
    </w:tbl>
    <w:p>
      <w:pPr>
        <w:spacing w:after="100"/>
      </w:pP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000"/>
        <w:gridCol w:w="2820"/>
        <w:gridCol w:w="2990"/>
        <w:gridCol w:w="2100"/>
      </w:tblGrid>
      <w:tr>
        <w:trPr>
          <w:tblHeader/>
        </w:trPr>
        <w:tc>
          <w:tcPr>
            <w:tcW w:type="dxa" w:w="2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8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Gegenstand</w:t>
            </w:r>
          </w:p>
        </w:tc>
        <w:tc>
          <w:tcPr>
            <w:tcW w:type="dxa" w:w="299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Voraussetzung (Beispiel)</w:t>
            </w:r>
          </w:p>
        </w:tc>
        <w:tc>
          <w:tcPr>
            <w:tcW w:type="dxa" w:w="2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Folgewirkung (Beispiel)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C1 Finanzen, Investitionen und Lebenszyklus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Finanzierungs-, Investitions- und Lebenszyklusfähigkeit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Finanzierungs-/Lebenszyklusstrategie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Selbstfinanzierungsfähigkeit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Betriebskosten; Verschuldung/Finanzrisiko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C2 Boden, Eigentum und Verfügungsrechte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Bodensicherung, -mobilisierung und -vergabe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Bodenbevorratung, Baurechte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Verfügungsrechte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Bindung von Mitteln; Wertentwicklung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C3 Governance, Trägerschaft und regionale Kooperation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Zuständigkeiten, Gesamtträgerschaft und überkommunale Zusammenarbeit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Kooperationsstrukturen, Verträge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Klare Verantwortungsträgerschaft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Koordinationsaufwand; Abhängigkeiten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C4 Verwaltung, Organisation, Führung und Kompetenzen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Organisations-, Projekt- und Bestellkompetenz; integrierte, innovationsfördernde Beschaffung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Projektorganisation, Bestellerkompetenz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Principal-Agent strukturell gelöst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Zusätzliche Stellen/Prozesslast; Steuerungs- und Ergebnisgewinn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C5 Politik, Mitwirkung, Kommunikation und Legitimation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Politische Tragfähigkeit und Legitimation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Mitwirkungs-/Kommunikationsformate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Mehrheitsfähigkeit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Neue Konflikte; Beschluss-/Mitwirkungsbedarf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Standardisiertes C-Wirkungsprofil (je Gesamtstrategievariante)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400"/>
        <w:gridCol w:w="6510"/>
      </w:tblGrid>
      <w:tr>
        <w:trPr>
          <w:tblHeader/>
        </w:trPr>
        <w:tc>
          <w:tcPr>
            <w:tcW w:type="dxa" w:w="3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65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Institutioneller IST-Zustand</w:t>
            </w:r>
          </w:p>
        </w:tc>
        <w:tc>
          <w:tcPr>
            <w:tcW w:type="dxa" w:w="65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Fähigkeiten und Ressourcen bestehen heute?</w:t>
            </w:r>
          </w:p>
        </w:tc>
      </w:tr>
      <w:tr>
        <w:trPr>
          <w:cantSplit/>
        </w:trPr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Kausal notwendige Ausrichtung</w:t>
            </w:r>
          </w:p>
        </w:tc>
        <w:tc>
          <w:tcPr>
            <w:tcW w:type="dxa" w:w="65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Was muss vorhanden oder aufgebaut werden?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Institutionelle Folgewirkung</w:t>
            </w:r>
          </w:p>
        </w:tc>
        <w:tc>
          <w:tcPr>
            <w:tcW w:type="dxa" w:w="65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dauerhafte Belastung oder Veränderung entsteht?</w:t>
            </w:r>
          </w:p>
        </w:tc>
      </w:tr>
      <w:tr>
        <w:trPr>
          <w:cantSplit/>
        </w:trPr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Fähigkeits-/Umsetzungslücke</w:t>
            </w:r>
          </w:p>
        </w:tc>
        <w:tc>
          <w:tcPr>
            <w:tcW w:type="dxa" w:w="65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Differenz zwischen IST und Erfordernis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Massnahme und Verantwortlichkeit</w:t>
            </w:r>
          </w:p>
        </w:tc>
        <w:tc>
          <w:tcPr>
            <w:tcW w:type="dxa" w:w="65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Was ist durch wen zu tun?</w:t>
            </w:r>
          </w:p>
        </w:tc>
      </w:tr>
      <w:tr>
        <w:trPr>
          <w:cantSplit/>
        </w:trPr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Zeitpunkt und Abhängigkeit</w:t>
            </w:r>
          </w:p>
        </w:tc>
        <w:tc>
          <w:tcPr>
            <w:tcW w:type="dxa" w:w="65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Vor, während oder nach der räumlichen Umsetzung?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Kennzahl und Zielkorridor</w:t>
            </w:r>
          </w:p>
        </w:tc>
        <w:tc>
          <w:tcPr>
            <w:tcW w:type="dxa" w:w="65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wird die institutionelle Veränderung überprüft?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C IST DYNAMISCH – MEHRPERIODISCH PRÜFEN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C ist kein fixer Ausgangswert: Jede Variante verändert über den Horizont ihre eigene künftige Tragfähigkeit (Investitionsspitzen, Betriebskosten, Schuldendienst, Personalaufbau). C1, C2 und C4 werden deshalb über mehrere Perioden fortgeschrieben und mit einer periodenweisen Gate-Regel geprüft (Kap. 16/18): Ein guter Endwert 2045 darf eine nicht finanzierbare Spitze z. B. 2032 nicht kompensieren.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BESTELLQUALITÄT ALS SCHWELLE (Q6) UND ALS FÄHIGKEIT (C4/C3)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Q6 setzt die verbindliche Anforderung (integrierte, lebenszyklusorientierte Gesamtlösung, klare Verantwortungsträgerschaft); C4 und C3 bauen die Fähigkeit dazu auf – Bestellerkompetenz, strukturelle Lösung der Principal-Agent-Problematik auf Bestellerseite und tragfähige Trägerschaft. Vertieft im Leistungspaket LP08 (Integrierte, lebenszyklusorientierte Bestellung und Beschaffung). Die Schwelle (Q6) und das Wie (C4/C3) werden nur einmal gewertet, nicht doppelt.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05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Verbindlicher Qualitäts- und Nachhaltigkeitsrahmen (Q)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Landschaft, Biodiversität, Klima, Ressourcen und Baukultur sowie eine integrierte, lebenszyklusorientierte Bestellung und Umsetzung sind nicht frei wählbar – sie begrenzen und qualifizieren jede Variante.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NICHT VERHANDELBAR BEDEUTET NICHT UNGEMESSEN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Q bildet keine vierte Schicht, sondern durchdringt alle Schichten als harter Prüfrahmen. Für jede Gesamtstrategievariante ist auszuweisen: welche Mindeststandards gelten, ob die Variante sie erfüllt, welche Wirkungen sie erzeugt und welche Kompensationen oder Anpassungen nötig sind.</w:t>
            </w:r>
          </w:p>
        </w:tc>
      </w:tr>
    </w:tbl>
    <w:p>
      <w:pPr>
        <w:spacing w:after="100"/>
      </w:pP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000"/>
        <w:gridCol w:w="2820"/>
        <w:gridCol w:w="2990"/>
        <w:gridCol w:w="2100"/>
      </w:tblGrid>
      <w:tr>
        <w:trPr>
          <w:tblHeader/>
        </w:trPr>
        <w:tc>
          <w:tcPr>
            <w:tcW w:type="dxa" w:w="2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Rahmen</w:t>
            </w:r>
          </w:p>
        </w:tc>
        <w:tc>
          <w:tcPr>
            <w:tcW w:type="dxa" w:w="28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Gegenstand</w:t>
            </w:r>
          </w:p>
        </w:tc>
        <w:tc>
          <w:tcPr>
            <w:tcW w:type="dxa" w:w="299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Mindeststandard (Beispiel)</w:t>
            </w:r>
          </w:p>
        </w:tc>
        <w:tc>
          <w:tcPr>
            <w:tcW w:type="dxa" w:w="2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Prüfung je Variante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 Recht und übergeordnete Planung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Rechts- und Richtplankonformität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Kant. Richtplan, RPG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Übergeordnete Vorgaben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Zulässigkeit / Vereinbarkeit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Q2 Landschaft, Kulturland und Biodiversität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Schutz und Vernetzung von Landschaft und Natur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Fruchtfolgeflächen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Vernetzung, Gewässerraum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Verlust / Aufwertung, Kompensation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Q3 Klimaschutz, Energie und Ressourcen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Klimaneutralität und Ressourcenschonung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Absenkpfad CO₂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Graue Energie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CO₂-Wirkung, Zielpfad-Konformität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Q4 Klimaanpassung und Resilienz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Hitze-, Hochwasser- und Risikovorsorge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Hitze-/Retentionsvorgaben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Resilienzstandards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Risikoexposition, Anpassungsgrad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Q5 Ortsbild und Baukultur</w:t>
            </w:r>
          </w:p>
        </w:tc>
        <w:tc>
          <w:tcPr>
            <w:tcW w:type="dxa" w:w="282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Ortsbild-, Denkmal- und Gestaltungsqualität</w:t>
            </w:r>
          </w:p>
        </w:tc>
        <w:tc>
          <w:tcPr>
            <w:tcW w:type="dxa" w:w="29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ISOS, Baukultur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Gestaltungsqualität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Ortsbildwirkung, Qualitätssicherung</w:t>
            </w:r>
          </w:p>
        </w:tc>
      </w:tr>
      <w:tr>
        <w:trPr>
          <w:cantSplit/>
        </w:trPr>
        <w:tc>
          <w:tcPr>
            <w:tcW w:type="dxa" w:w="2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Q6 Integrierte, lebenszyklusorientierte Bestellung und Umsetzung</w:t>
            </w:r>
          </w:p>
        </w:tc>
        <w:tc>
          <w:tcPr>
            <w:tcW w:type="dxa" w:w="282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Gesamtlösung über den Lebenszyklus statt fragmentierter Teillösungen; Principal-Agent-Problematik auf Bestellerseite strukturell gelöst</w:t>
            </w:r>
          </w:p>
        </w:tc>
        <w:tc>
          <w:tcPr>
            <w:tcW w:type="dxa" w:w="299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Öff. Vergaberecht</w:t>
            </w:r>
          </w:p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Klare Gesamtverantwortung / Bestellerkompetenz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Lebenszyklus- statt Erstellungskostenoptik</w:t>
            </w:r>
          </w:p>
        </w:tc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Integrierte Gesamtlösung mit Verantwortungsträger vs. fragmentierte Teillösung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Q6 ERWEITERT Q VON DER ERGEBNIS- AUF DIE PROZESSQUALITÄT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Q6 prüft nicht das räumliche Resultat, sondern ob eine Variante als integrierte, lebenszyklusorientierte Gesamtlösung mit klarer Verantwortungsträgerschaft bestellbar und umsetzbar ist – komplexe Mehrakteurs-Varianten sind hier stärker exponiert als bestandsnahe. Überschneidungsfrei zu Q1 (Zulässigkeit/Vergaberecht) und Q3 (Ressourcen-/Kreislaufschwellen); das WIE der Bestell- und Trägerschaftsfähigkeit liegt in C4/C3 und im Leistungspaket LP08 (Integrierte Bestellung und Beschaffung).</w:t>
            </w:r>
          </w:p>
        </w:tc>
      </w:tr>
    </w:tbl>
    <w:p>
      <w:pPr>
        <w:spacing w:after="6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Abgrenzung Q und B – Schwelle versus Ausgestaltung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Q und B behandeln teils dieselben Sachgebiete (Q2/B2, Q3/B5, Q5/B6), aber in unterschiedlicher Rolle: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Q setzt die nicht unterschreitbare Schwelle, B bestimmt die räumlich-gestalterische Lösung innerhalb bzw. oberhalb dieser Schwelle.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910"/>
      </w:tblGrid>
      <w:tr>
        <w:trPr>
          <w:tblHeader/>
        </w:trPr>
        <w:tc>
          <w:tcPr>
            <w:tcW w:type="dxa" w:w="2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Themenfeld</w:t>
            </w:r>
          </w:p>
        </w:tc>
        <w:tc>
          <w:tcPr>
            <w:tcW w:type="dxa" w:w="3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Q-Funktion (Schwelle)</w:t>
            </w:r>
          </w:p>
        </w:tc>
        <w:tc>
          <w:tcPr>
            <w:tcW w:type="dxa" w:w="39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B-Funktion (Ausgestaltung)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Landschaft/Biodiversität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Ausschluss, Mindestschutz, max. Verlust, Kompensationspflicht</w:t>
            </w:r>
          </w:p>
        </w:tc>
        <w:tc>
          <w:tcPr>
            <w:tcW w:type="dxa" w:w="3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Freiraumnetz, Aufwertung, Vernetzung</w:t>
            </w:r>
          </w:p>
        </w:tc>
      </w:tr>
      <w:tr>
        <w:trPr>
          <w:cantSplit/>
        </w:trPr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Klima/Ressourcen</w:t>
            </w:r>
          </w:p>
        </w:tc>
        <w:tc>
          <w:tcPr>
            <w:tcW w:type="dxa" w:w="3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CO₂-Budget, Absenkpfad, Risiko-/Resilienzstandard</w:t>
            </w:r>
          </w:p>
        </w:tc>
        <w:tc>
          <w:tcPr>
            <w:tcW w:type="dxa" w:w="3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Wärmeversorgung, Materialwahl, Retention, Verschattung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Baukultur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keine unzulässige Beeinträchtigung, Schutzvorgaben</w:t>
            </w:r>
          </w:p>
        </w:tc>
        <w:tc>
          <w:tcPr>
            <w:tcW w:type="dxa" w:w="3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Volumen, Setzung, Gestaltung, Verfahren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VORRANGREGEL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Q nicht erfüllt → Variante ausschliessen oder umgestalten. Q gerade erfüllt → B-Lösung zulässig, aber noch nicht zwingend gut. Q übererfüllt → positive räumliche Wirkung wird in B ausgewiesen.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Derselbe Messwert wird nur einmal in der Datenbasis geführt und nicht doppelt bewertet (einmal als Q-Schwelle, einmal als B-Nutzen).</w:t>
            </w:r>
          </w:p>
        </w:tc>
      </w:tr>
    </w:tbl>
    <w:p>
      <w:pPr>
        <w:spacing w:after="20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038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EB8C4"/>
                <w:spacing w:val="40"/>
                <w:sz w:val="16"/>
                <w:szCs w:val="16"/>
              </w:rPr>
              <w:t xml:space="preserve">TEIL II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IST-Situation</w:t>
            </w:r>
          </w:p>
        </w:tc>
      </w:tr>
    </w:tbl>
    <w:p>
      <w:pPr>
        <w:spacing w:after="120"/>
      </w:pPr>
    </w:p>
    <w:p>
      <w:pPr>
        <w:keepNext w:val="false"/>
        <w:spacing w:after="14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Teil II analysiert die Ausgangslage, bevor Teil III die Strategie entwickelt. Die IST-Analyse folgt acht Analysefeldern (I1–I8). Sie sind bewusst nicht mit den Schichtencodes A/B/C beschriftet, referenzieren aber jede Kennzahl eindeutig auf ihre primäre Schicht. Mehrfachdarstellung ist zulässig, Mehrfachgewichtung nicht.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110"/>
      </w:tblGrid>
      <w:tr>
        <w:trPr>
          <w:tblHeader/>
        </w:trPr>
        <w:tc>
          <w:tcPr>
            <w:tcW w:type="dxa" w:w="15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43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Gegenstand</w:t>
            </w:r>
          </w:p>
        </w:tc>
        <w:tc>
          <w:tcPr>
            <w:tcW w:type="dxa" w:w="41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Primäre Schicht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I1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Sozioökonomische Entwicklungsdynamik</w:t>
            </w:r>
          </w:p>
        </w:tc>
        <w:tc>
          <w:tcPr>
            <w:tcW w:type="dxa" w:w="41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 (Diagnose)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I2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Demografie und Haushalte</w:t>
            </w:r>
          </w:p>
        </w:tc>
        <w:tc>
          <w:tcPr>
            <w:tcW w:type="dxa" w:w="41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I3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Wohn- und Arbeitsmarkt</w:t>
            </w:r>
          </w:p>
        </w:tc>
        <w:tc>
          <w:tcPr>
            <w:tcW w:type="dxa" w:w="41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A1/A2 + B1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I4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Freizeit und Gemeinschaft</w:t>
            </w:r>
          </w:p>
        </w:tc>
        <w:tc>
          <w:tcPr>
            <w:tcW w:type="dxa" w:w="41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I5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Tourismus und Gästewirtschaft</w:t>
            </w:r>
          </w:p>
        </w:tc>
        <w:tc>
          <w:tcPr>
            <w:tcW w:type="dxa" w:w="41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A4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I6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 Entwicklung und Kapazität</w:t>
            </w:r>
          </w:p>
        </w:tc>
        <w:tc>
          <w:tcPr>
            <w:tcW w:type="dxa" w:w="41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(B-Benchmark)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I7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Lage, Erreichbarkeit, Belastung, Qualität</w:t>
            </w:r>
          </w:p>
        </w:tc>
        <w:tc>
          <w:tcPr>
            <w:tcW w:type="dxa" w:w="41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 / Q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I8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Institutionelle Ausgangsfähigkeit</w:t>
            </w:r>
          </w:p>
        </w:tc>
        <w:tc>
          <w:tcPr>
            <w:tcW w:type="dxa" w:w="41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 / Q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06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Untersuchungsrahmen, Vergleichsgruppen und Mindestdatensatz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Die Vergleichsgruppe ist die Basis jeder relativen Aussage. Bezeichnung, Version und Datenstand werden dokumentiert.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Die strukturelle Einordnung erfolgt über die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ARE-Raumtypologie 11 Klassen [Version / Gemeindestand]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×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BFS «Raum mit städtischem Charakter 2020»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× Grössenklasse. Die Bezeichnung «BFS-Raumtypologie 2020» wird vermieden, da sie mit der separaten BFS-Gemeindetypologie 2020 (9 bzw. 25 Kategorien) verwechselt werden kann. Die ARE-11-Klasse stammt aus einem älteren Gemeindestand und wird deshalb versioniert und auf Plausibilität geprüft.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050"/>
        <w:gridCol w:w="4100"/>
        <w:gridCol w:w="3760"/>
      </w:tblGrid>
      <w:tr>
        <w:trPr>
          <w:tblHeader/>
        </w:trPr>
        <w:tc>
          <w:tcPr>
            <w:tcW w:type="dxa" w:w="20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Vergleichsgruppe</w:t>
            </w:r>
          </w:p>
        </w:tc>
        <w:tc>
          <w:tcPr>
            <w:tcW w:type="dxa" w:w="4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7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Anwendung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Primär strukturell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gleiche ARE-11-Klasse × BFS-2020-Kategorie × ähnliche Grösse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A-Benchmark</w:t>
            </w:r>
          </w:p>
        </w:tc>
      </w:tr>
      <w:tr>
        <w:trPr>
          <w:cantSplit/>
        </w:trPr>
        <w:tc>
          <w:tcPr>
            <w:tcW w:type="dxa" w:w="20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Regional-funktional</w:t>
            </w:r>
          </w:p>
        </w:tc>
        <w:tc>
          <w:tcPr>
            <w:tcW w:type="dxa" w:w="4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gleicher Arbeitsmarkt-, Wohnungs-, Versorgungsraum / Agglomeration</w:t>
            </w:r>
          </w:p>
        </w:tc>
        <w:tc>
          <w:tcPr>
            <w:tcW w:type="dxa" w:w="37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Wohn-/Arbeitsmarktstatus</w:t>
            </w:r>
          </w:p>
        </w:tc>
      </w:tr>
      <w:tr>
        <w:trPr>
          <w:cantSplit/>
        </w:trP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Strategische Referenz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Gemeinden mit bereits erreichtem Zielprofil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Zielbezug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HIERARCHISCHER RÜCKFALL BEI KLEINEN GRUPPEN (&lt; ~15 FÄLLE)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1. gleiche BFS-Kategorie, benachbarte ARE-Klassen  ·  2. gleiche ARE-Klasse, gröbere BFS-Hauptkategorie  ·  3. gleiche BFS-Kategorie und Grössenklasse  ·  4. gesamtschweizerische strukturelle Referenz. Jede Erweiterung wird dokumentiert.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Indikatorspezifisch: A-Benchmark strukturell · Wohn-/Arbeitsmarkt strukturell + regional-funktional · B-Benchmark ähnliche Siedlungs-/Topografie-/Erreichbarkeitslage · C-Finanzbenchmark gleicher Kanton/Grösse/Aufgabenstruktur · Tourismusbenchmark ähnliche Intensität/Angebotsform.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Dreistufiger Datenpfad und Indikatorrollen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Nicht jeder Indikator ist in jeder Gemeinde mit vertretbarem Aufwand verfügbar. Die Analyse ist deshalb gestuft: eine verbindliche Kernanalyse, modulbezogene Vertiefung nur bei ernsthaften Kandidaten, Projektvertiefung erst in Folge-Leistungspaketen.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600"/>
        <w:gridCol w:w="7310"/>
      </w:tblGrid>
      <w:tr>
        <w:trPr>
          <w:tblHeader/>
        </w:trPr>
        <w:tc>
          <w:tcPr>
            <w:tcW w:type="dxa" w:w="2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73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· LP01-Kernanalyse (Pflicht)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Bevölkerung/Haushalte, Alter, Wanderung, Beschäftigung/Pendler, Wohnungsbestand/Leerstand/Bautätigkeit, Bauzonen-/Innenentwicklungskapazität, ÖV-Erreichbarkeit, Grundversorgung, Finanzkraft/Verschuldung, kommunaler Boden, zentrale Q-Restriktionen.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 · Modulbezogene Vertiefung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Nur wenn ein Modul ernsthafter Kandidat ist (z. B. F1 Preise/Mietbelastung; F4 Pflege/Barrierefreiheit; F6 Branchen/Flächen; F8/F9 Auslastung/Vereine; F10 Gäste/Betten/Saison).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· Projekt-/Umsetzungsvertiefung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Erst in Folge-LP: parzellenscharfe Mobilisierung, Marktstudien, Betreiber-/Businesscases, Verkehrsmodelle, Lebenszykluskosten.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INDIKATORKENNZEICHNUNG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Jeder Indikator ist gekennzeichnet als P (Pflicht) · E (erweitert) · M (nur bei aktivem Modul) · Proxy (zulässiger Ersatzwert) · n. v. (keine quantitative Aussage zulässig). Fehlt ein Pflichtindikator, wird die Lücke offen ausgewiesen statt geschätzt.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07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Historische Entwicklung und analysierter Entwicklungsdruck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I1 · Wächst, stagniert oder schrumpft die Gemeinde – und beschleunigt oder verlangsamt sich die Entwicklung?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Kernindikatoren: Bevölkerungs-, Haushalts- und Beschäftigungswachstum über 5 und 10 Jahre; Wanderungssaldo und natürlicher Saldo; Veränderung der Wachstumsrate (letzte 5 J. vs. vorangehende 5 J.); bei touristischer Relevanz Logiernächte/Tagesgäste. Bautätigkeit und Flächenverbrauch sind räumlich (B) und werden in Kap. 10 geführt.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950"/>
        <w:gridCol w:w="1560"/>
        <w:gridCol w:w="1560"/>
        <w:gridCol w:w="1560"/>
        <w:gridCol w:w="2280"/>
      </w:tblGrid>
      <w:tr>
        <w:trPr>
          <w:tblHeader/>
        </w:trPr>
        <w:tc>
          <w:tcPr>
            <w:tcW w:type="dxa" w:w="29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Messgrösse</w:t>
            </w:r>
          </w:p>
        </w:tc>
        <w:tc>
          <w:tcPr>
            <w:tcW w:type="dxa" w:w="156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2015</w:t>
            </w:r>
          </w:p>
        </w:tc>
        <w:tc>
          <w:tcPr>
            <w:tcW w:type="dxa" w:w="156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2020</w:t>
            </w:r>
          </w:p>
        </w:tc>
        <w:tc>
          <w:tcPr>
            <w:tcW w:type="dxa" w:w="156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2025 (IST)</w:t>
            </w:r>
          </w:p>
        </w:tc>
        <w:tc>
          <w:tcPr>
            <w:tcW w:type="dxa" w:w="228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Δ / Tendenz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Einwohner</w:t>
            </w:r>
          </w:p>
        </w:tc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5'400</w:t>
            </w:r>
          </w:p>
        </w:tc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5'700</w:t>
            </w:r>
          </w:p>
        </w:tc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6'000</w:t>
            </w:r>
          </w:p>
        </w:tc>
        <w:tc>
          <w:tcPr>
            <w:tcW w:type="dxa" w:w="22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+11 % / verlangsamt</w:t>
            </w:r>
          </w:p>
        </w:tc>
      </w:tr>
      <w:tr>
        <w:trPr>
          <w:cantSplit/>
        </w:trPr>
        <w:tc>
          <w:tcPr>
            <w:tcW w:type="dxa" w:w="29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Haushalte</w:t>
            </w:r>
          </w:p>
        </w:tc>
        <w:tc>
          <w:tcPr>
            <w:tcW w:type="dxa" w:w="15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2'450</w:t>
            </w:r>
          </w:p>
        </w:tc>
        <w:tc>
          <w:tcPr>
            <w:tcW w:type="dxa" w:w="15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2'650</w:t>
            </w:r>
          </w:p>
        </w:tc>
        <w:tc>
          <w:tcPr>
            <w:tcW w:type="dxa" w:w="15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2'820</w:t>
            </w:r>
          </w:p>
        </w:tc>
        <w:tc>
          <w:tcPr>
            <w:tcW w:type="dxa" w:w="228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+15 %</w:t>
            </w:r>
          </w:p>
        </w:tc>
      </w:tr>
      <w:tr>
        <w:trPr>
          <w:cantSplit/>
        </w:trPr>
        <w:tc>
          <w:tcPr>
            <w:tcW w:type="dxa" w:w="29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Beschäftigung (VZÄ)</w:t>
            </w:r>
          </w:p>
        </w:tc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1'350</w:t>
            </w:r>
          </w:p>
        </w:tc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1'420</w:t>
            </w:r>
          </w:p>
        </w:tc>
        <w:tc>
          <w:tcPr>
            <w:tcW w:type="dxa" w:w="15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1'500</w:t>
            </w:r>
          </w:p>
        </w:tc>
        <w:tc>
          <w:tcPr>
            <w:tcW w:type="dxa" w:w="22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+11 %</w:t>
            </w:r>
          </w:p>
        </w:tc>
      </w:tr>
      <w:tr>
        <w:trPr>
          <w:cantSplit/>
        </w:trPr>
        <w:tc>
          <w:tcPr>
            <w:tcW w:type="dxa" w:w="29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Wanderungssaldo (‰)</w:t>
            </w:r>
          </w:p>
        </w:tc>
        <w:tc>
          <w:tcPr>
            <w:tcW w:type="dxa" w:w="15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+9</w:t>
            </w:r>
          </w:p>
        </w:tc>
        <w:tc>
          <w:tcPr>
            <w:tcW w:type="dxa" w:w="15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+6</w:t>
            </w:r>
          </w:p>
        </w:tc>
        <w:tc>
          <w:tcPr>
            <w:tcW w:type="dxa" w:w="15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+5</w:t>
            </w:r>
          </w:p>
        </w:tc>
        <w:tc>
          <w:tcPr>
            <w:tcW w:type="dxa" w:w="228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abnehmend</w:t>
            </w:r>
          </w:p>
        </w:tc>
      </w:tr>
    </w:tbl>
    <w:p>
      <w:pPr>
        <w:spacing w:after="8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Entwicklungsdruckprofil (Diagnose, keine Entscheidung)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5010"/>
      </w:tblGrid>
      <w:tr>
        <w:trPr>
          <w:tblHeader/>
        </w:trPr>
        <w:tc>
          <w:tcPr>
            <w:tcW w:type="dxa" w:w="15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3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50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Merkmal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Anpassungs-/Rückgangsdruck</w:t>
            </w:r>
          </w:p>
        </w:tc>
        <w:tc>
          <w:tcPr>
            <w:tcW w:type="dxa" w:w="5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Rückgang oder Schrumpfung, Funktionen unter Druck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geringe/ausgeglichene Dynamik</w:t>
            </w:r>
          </w:p>
        </w:tc>
        <w:tc>
          <w:tcPr>
            <w:tcW w:type="dxa" w:w="5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kaum quantitative Veränderung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moderater Entwicklungsdruck</w:t>
            </w:r>
          </w:p>
        </w:tc>
        <w:tc>
          <w:tcPr>
            <w:tcW w:type="dxa" w:w="5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spürbares, aber steuerbares Wachstum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P4</w:t>
            </w:r>
          </w:p>
        </w:tc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hoher Entwicklungsdruck</w:t>
            </w:r>
          </w:p>
        </w:tc>
        <w:tc>
          <w:tcPr>
            <w:tcW w:type="dxa" w:w="5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starkes Wachstum/Nachfrage, hohe Reaktionslast</w:t>
            </w:r>
          </w:p>
        </w:tc>
      </w:tr>
    </w:tbl>
    <w:p>
      <w:pPr>
        <w:keepNext w:val="false"/>
        <w:spacing w:after="60" w:before="0" w:line="264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Beispielbefund: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P3 (moderater Entwicklungsdruck), Tendenz verlangsamend. Zusätzlich wird ausgewiesen, ob sich die Dynamik beschleunigt oder verlangsamt.</w:t>
      </w:r>
    </w:p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08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Sozioökonomisches IST-Profil (A)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I2 Demografie · I3 Wohn-/Arbeitsmarkt · I4 Freizeit · I5 Tourismus – je als Diagnose, noch ohne Strategiewahl.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DREI GETRENNTE EBENEN – KEIN «GEWINNERPROFIL» AUS EINEM NORMATIVEN SCORE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Ebene 1 (deskriptiv): Messwert, Zeittrend, Perzentilrang – ohne Gut-Schlecht-Richtung (z. B. «Arbeitsplatzdichte: P30 der Vergleichsgruppe»).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Ebene 2 (diagnostischer Status): feste, zweiseitige Regeln → tief/mittel/hoch, angespannt/ausgeglichen/entspannt, wachsend/stabil/rückläufig – noch keine Strategiewertung.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Ebene 3 (strategiebezogene Relevanz): erst nach Modulwahl entstehen Handlungsbedarf, Potenzial, Zielrichtung und gewünschte Gap-Schliessung (Kap. 13/16).</w:t>
            </w:r>
          </w:p>
        </w:tc>
      </w:tr>
    </w:tbl>
    <w:p>
      <w:pPr>
        <w:keepNext w:val="false"/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Ergebnis der Ebenen 1–2 ist ein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mehrdimensionaler IST-Diagnosevektor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(keine einzelne «dominante Ausprägung»). Kommunikative Kurzprofile bleiben möglich, dürfen aber keine scheinbar objektive Gewinnerklasse suggerieren.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08.1 Bevölkerung und Gesellschaft (I2)</w:t>
      </w:r>
    </w:p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Bei Alterung genügt die Veränderung des Anteils 65+ nicht – nötig sind Niveau, Veränderung, absolute Zahl und Entwicklung der Hochaltrigen. Indikatoren: Altersanteile (0–19, 20–39, 65+, 80+), Haushaltsformen und -grösse, Wanderungssaldo nach Alter, Steuerkraft/Einkommen, Sozialhilfequote.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08.2 Wirtschaft und Arbeit (I3-Arbeitsmarkt)</w:t>
      </w:r>
    </w:p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Arbeitsplatzfunktion nicht nur mit AP/EW: zusätzlich Arbeitsplätze je erwerbstätige Wohnbevölkerung, Zu-/Wegpendlersaldo, Beschäftigungswachstum relativ zum Bevölkerungs-/Haushaltswachstum, Branchen- und Grössenstruktur, Auslastung der Arbeitszonen.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08.3 Freizeit und Gemeinschaft (I4)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4300"/>
        <w:gridCol w:w="5610"/>
      </w:tblGrid>
      <w:tr>
        <w:trPr>
          <w:tblHeader/>
        </w:trPr>
        <w:tc>
          <w:tcPr>
            <w:tcW w:type="dxa" w:w="43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Kritische Frage</w:t>
            </w:r>
          </w:p>
        </w:tc>
        <w:tc>
          <w:tcPr>
            <w:tcW w:type="dxa" w:w="56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Geeignete Indikatoren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Ist die lokale Freizeitgrundversorgung ausreichend?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Sport-/Hallenfläche je EW; Kultur-/Begegnungsräume; Erreichbarkeit; Öffnungszeiten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Werden die Angebote genutzt?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Belegungsstunden, Auslastung, Nutzerzahlen, Kosten je Nutzung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Ist das Angebot strukturell passend?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Angebote je Zielgruppe; Barrierefreiheit; Abgleich mit Demografie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stabil ist die Gemeinschaftsbasis?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Vereine je 1'000 EW; Mitgliederentwicklung; Ehrenamt; Nachwuchs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Reichweite haben die Angebote?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Anteil lokaler/interkommunaler/regionaler Nutzer; Einzugsgebiet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Doppelangebote oder regionale Lücken?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Vergleich Nachbargemeinden; regionale Angebotskarte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Langfristig tragfähig?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Zustand, Erneuerungsbedarf, Betriebskosten, Mitfinanzierung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IST-ERGEBNIS FREIZEIT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Versorgungsniveau × Auslastung × Reichweite × Strukturpassung – z. B. «lokale Grundversorgung, ausgeglichen ausgelastet, geringe Reichweite». Keine sofortige Zuordnung zu einer künftigen Strategie.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08.4 Tourismus und Gästewirtschaft (I5)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4300"/>
        <w:gridCol w:w="5610"/>
      </w:tblGrid>
      <w:tr>
        <w:trPr>
          <w:tblHeader/>
        </w:trPr>
        <w:tc>
          <w:tcPr>
            <w:tcW w:type="dxa" w:w="43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Kritische Frage</w:t>
            </w:r>
          </w:p>
        </w:tc>
        <w:tc>
          <w:tcPr>
            <w:tcW w:type="dxa" w:w="56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Geeignete Indikatoren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Relevante touristische Funktion?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Logiernächte je EW; Tagesgäste; touristische Beschäftigung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Tages- oder Aufenthaltsdestination?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Tages-/Übernachtungsverhältnis; Aufenthaltsdauer; Betten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stark ist die Saisonalität?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Monatsverteilung Logiernächte; Auslastung; Spreizung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Wird Wertschöpfung erzeugt?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Ausgaben je Gast; Beschäftigung; Beherbergungs-/Gastrodichte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Ist die Kapazität ausgelastet?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Betten-/Zimmerauslastung; warme/kalte Betten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räumlichen Belastungen?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Spitzenbelegung, Besucher/EW, Verkehr, Wasser/Abfall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Wie hoch ist die Abhängigkeit?</w:t>
            </w:r>
          </w:p>
        </w:tc>
        <w:tc>
          <w:tcPr>
            <w:tcW w:type="dxa" w:w="5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Anteil tourist. Beschäftigung; Konzentration</w:t>
            </w:r>
          </w:p>
        </w:tc>
      </w:tr>
      <w:tr>
        <w:trPr>
          <w:cantSplit/>
        </w:trPr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Rolle spielen Zweitwohnungen?</w:t>
            </w:r>
          </w:p>
        </w:tc>
        <w:tc>
          <w:tcPr>
            <w:tcW w:type="dxa" w:w="5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Zweitwohnungsquote, Nutzung, warme Betten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IST-ERGEBNIS TOURISMUS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Tourismusintensität × Gästetyp × Saisonalität × Wertschöpfung × Belastung – z. B. «tagesgästeorientiert, saisonal, gering wertschöpfungsintensiv».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09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Wohn- und Arbeitsmarktstatus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Als 3×3-Matrix (Wohnmarkt × lokale Arbeitsplatzfunktion), immer relativ zur Vergleichsgruppe und zu absoluten Stress-/Knappheitsschwellen.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150"/>
        <w:gridCol w:w="2540"/>
        <w:gridCol w:w="2540"/>
        <w:gridCol w:w="2680"/>
      </w:tblGrid>
      <w:tr>
        <w:trPr>
          <w:tblHeader/>
        </w:trPr>
        <w:tc>
          <w:tcPr>
            <w:tcW w:type="dxa" w:w="21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Wohnmarkt ↓ / lokale AP-Funktion →</w:t>
            </w:r>
          </w:p>
        </w:tc>
        <w:tc>
          <w:tcPr>
            <w:tcW w:type="dxa" w:w="254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Gering</w:t>
            </w:r>
          </w:p>
        </w:tc>
        <w:tc>
          <w:tcPr>
            <w:tcW w:type="dxa" w:w="254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Ausgeglichen</w:t>
            </w:r>
          </w:p>
        </w:tc>
        <w:tc>
          <w:tcPr>
            <w:tcW w:type="dxa" w:w="268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Hoch</w:t>
            </w:r>
          </w:p>
        </w:tc>
      </w:tr>
      <w:tr>
        <w:trPr>
          <w:cantSplit/>
        </w:trPr>
        <w:tc>
          <w:tcPr>
            <w:tcW w:type="dxa" w:w="21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Angespannt</w:t>
            </w:r>
          </w:p>
        </w:tc>
        <w:tc>
          <w:tcPr>
            <w:tcW w:type="dxa" w:w="25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angespannter Wohnmarkt, geringe AP-Funktion</w:t>
            </w:r>
          </w:p>
        </w:tc>
        <w:tc>
          <w:tcPr>
            <w:tcW w:type="dxa" w:w="25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angespannter Wohnmarkt</w:t>
            </w:r>
          </w:p>
        </w:tc>
        <w:tc>
          <w:tcPr>
            <w:tcW w:type="dxa" w:w="26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angespannter Wohnmarkt, hohe AP-Funktion</w:t>
            </w:r>
          </w:p>
        </w:tc>
      </w:tr>
      <w:tr>
        <w:trPr>
          <w:cantSplit/>
        </w:trPr>
        <w:tc>
          <w:tcPr>
            <w:tcW w:type="dxa" w:w="21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Ausgeglichen</w:t>
            </w:r>
          </w:p>
        </w:tc>
        <w:tc>
          <w:tcPr>
            <w:tcW w:type="dxa" w:w="254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geringe lokale AP-Funktion</w:t>
            </w:r>
          </w:p>
        </w:tc>
        <w:tc>
          <w:tcPr>
            <w:tcW w:type="dxa" w:w="254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ausgeglichener Markt</w:t>
            </w:r>
          </w:p>
        </w:tc>
        <w:tc>
          <w:tcPr>
            <w:tcW w:type="dxa" w:w="268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hohe AP-Funktion (Zupendlung)</w:t>
            </w:r>
          </w:p>
        </w:tc>
      </w:tr>
      <w:tr>
        <w:trPr>
          <w:cantSplit/>
        </w:trPr>
        <w:tc>
          <w:tcPr>
            <w:tcW w:type="dxa" w:w="21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Entspannt</w:t>
            </w:r>
          </w:p>
        </w:tc>
        <w:tc>
          <w:tcPr>
            <w:tcW w:type="dxa" w:w="25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entspannter Markt, geringe AP-Funktion</w:t>
            </w:r>
          </w:p>
        </w:tc>
        <w:tc>
          <w:tcPr>
            <w:tcW w:type="dxa" w:w="254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entspannter/angebotsbetonter Markt</w:t>
            </w:r>
          </w:p>
        </w:tc>
        <w:tc>
          <w:tcPr>
            <w:tcW w:type="dxa" w:w="268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hohe AP-Funktion bei schwacher Wohnnachfrage</w:t>
            </w:r>
          </w:p>
        </w:tc>
      </w:tr>
    </w:tbl>
    <w:p>
      <w:pPr>
        <w:spacing w:after="8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Strukturmismatch als unabhängiger Zusatz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500"/>
        <w:gridCol w:w="8410"/>
      </w:tblGrid>
      <w:tr>
        <w:trPr>
          <w:tblHeader/>
        </w:trPr>
        <w:tc>
          <w:tcPr>
            <w:tcW w:type="dxa" w:w="15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4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Mismatch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M-W</w:t>
            </w:r>
          </w:p>
        </w:tc>
        <w:tc>
          <w:tcPr>
            <w:tcW w:type="dxa" w:w="84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Wohnungsmix passt nicht zur Haushaltsstruktur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M-P</w:t>
            </w:r>
          </w:p>
        </w:tc>
        <w:tc>
          <w:tcPr>
            <w:tcW w:type="dxa" w:w="84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Preise passen nicht zu Nachfrage / Kaufkraft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M-A</w:t>
            </w:r>
          </w:p>
        </w:tc>
        <w:tc>
          <w:tcPr>
            <w:tcW w:type="dxa" w:w="84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Branchen-/Arbeitsplatzprofil passt nicht zur Erwerbsbevölkerung</w:t>
            </w:r>
          </w:p>
        </w:tc>
      </w:tr>
      <w:tr>
        <w:trPr>
          <w:cantSplit/>
        </w:trPr>
        <w:tc>
          <w:tcPr>
            <w:tcW w:type="dxa" w:w="1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M-R</w:t>
            </w:r>
          </w:p>
        </w:tc>
        <w:tc>
          <w:tcPr>
            <w:tcW w:type="dxa" w:w="84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 Lage des Angebots passt nicht zur Nachfrage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M-Z</w:t>
            </w:r>
          </w:p>
        </w:tc>
        <w:tc>
          <w:tcPr>
            <w:tcW w:type="dxa" w:w="84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zeitliche Pipeline passt nicht zur erwarteten Entwicklung</w:t>
            </w:r>
          </w:p>
        </w:tc>
      </w:tr>
    </w:tbl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Eine Gemeinde kann somit z. B. gleichzeitig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angespannter Wohnmarkt + hohe Arbeitsplatzfunktion + Wohnungsstrukturmismatch (M-W)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aufweisen. Neutrale Statusbegriffe (angespannt/ausgeglichen/entspannt); «Defizit» nur, wenn ein ausgewiesenes strategisches Soll unterschritten wird. «Ausgeglichen» nur ohne absolute Stressschwelle und ohne deutliche Peer-Abweichung.</w:t>
      </w:r>
    </w:p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10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Räumliche IST-Situation und B-Benchmark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I6/I7 · Bautätigkeit, Dichte, Innenentwicklung, Versorgung, Erreichbarkeit, Belastung. Bautätigkeit und Flächenverbrauch gehören methodisch zu B.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10.1 Bautätigkeit und Flächenentwicklung</w:t>
      </w:r>
    </w:p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Bewilligungen und Fertigstellungen nicht mischen: fertiggestellte Wohnungen (realisiert), bewilligte Wohnungen (Pipeline), Baugesuche (unsichere Vorstufe), Nettowachstum des Bestands (nach Abbruch/Umnutzung). Flächenverbrauch parallel messen: absolute Siedlungs-/Versiegelungsfläche, Verbrauch je zusätzl. Einwohner und Beschäftigten, Anteil Innenentwicklung, zusätzliche Geschossfläche je E+B.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10.2–10.3 Dichte, Nutzungsstruktur und Innenentwicklung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DREI POTENZIALBEGRIFFE – NUR DAS DRITTE GEHT IN DIE BILANZ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Theoretisches Potenzial: planungsrechtlich mögliche zusätzliche Geschossfläche.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Mobilisierbares Potenzial: unter Parzellenstruktur, Eigentum, Erschliessung, Schutz, Q-Rahmen und Markt.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Wahrscheinlich realisierbares Potenzial: erwartete Realisierung im Strategiehorizont – nur dieses darf direkt in die räumliche Bilanz einer Variante eingehen.</w:t>
            </w:r>
          </w:p>
        </w:tc>
      </w:tr>
    </w:tbl>
    <w:p>
      <w:pPr>
        <w:keepNext w:val="false"/>
        <w:spacing w:after="60" w:before="8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Dichtekennzahl: E+B je Hektare überbaute Siedlungsfläche (nicht als «EBL» bezeichnen – EBL umfasst offiziell auch in Äquivalente umgerechnete Logiernächte). Kapazitätsreichweite in Jahren; Schul-, Pflege-, Wasser-, Abwasser-, Energie- und Verkehrsreserven; Grundstücksfragmentierung und Eigentümerstruktur.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10.4–10.6 Versorgung, Erreichbarkeit und Belastung</w:t>
      </w:r>
    </w:p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Indikatoren: ÖV-Güteklasse, Reisezeit zu Zentren, Erreichbarkeit Schule/Einkauf/Gesundheit/Freizeit, Modal Split; Lärm/Luft/Verkehr; Hitze/Hochwasser/Starkregen/Naturgefahren; Grün-/Freiraumversorgung, Versiegelung; Ortsbild-/Schutzinventare; Zentralität.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AUFWERTUNGSPOTENZIAL PROJEKTUNABHÄNGIG OPERATIONALISIEREN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«Aufwertungspotenzial» darf keine bereits vorgeschlagenen RAG-Massnahmen enthalten – sonst begründet die Strategie sich mit ihren eigenen Projekten. Zulässig sind objektive IST-Eigenschaften, verbindlich beschlossene Vorhaben und bestehende Planungen als klar ausgewiesene Pipeline.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Getrennte Teilscores: Zentralität · Erreichbarkeit · bauliche Unternutzung · Eigentum/Mobilisierbarkeit · Freiraum-/Lagequalität · Konflikt-/Restriktionsgrad.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11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Institutionelle IST-Ausgangsfähigkeit (C) und Q-Ausgangslage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I8 · Der C-Benchmark ist vom A-Profil getrennt. Q wird als Ausgangs- und Restriktionslage geführt, nicht als eigentlicher Benchmark.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400"/>
        <w:gridCol w:w="1450"/>
        <w:gridCol w:w="1220"/>
        <w:gridCol w:w="1220"/>
        <w:gridCol w:w="2620"/>
      </w:tblGrid>
      <w:tr>
        <w:trPr>
          <w:tblHeader/>
        </w:trPr>
        <w:tc>
          <w:tcPr>
            <w:tcW w:type="dxa" w:w="340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Messgrösse (C)</w:t>
            </w:r>
          </w:p>
        </w:tc>
        <w:tc>
          <w:tcPr>
            <w:tcW w:type="dxa" w:w="14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Eigene</w:t>
            </w:r>
          </w:p>
        </w:tc>
        <w:tc>
          <w:tcPr>
            <w:tcW w:type="dxa" w:w="122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P25</w:t>
            </w:r>
          </w:p>
        </w:tc>
        <w:tc>
          <w:tcPr>
            <w:tcW w:type="dxa" w:w="122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Median</w:t>
            </w:r>
          </w:p>
        </w:tc>
        <w:tc>
          <w:tcPr>
            <w:tcW w:type="dxa" w:w="262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Einordnung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Selbstfinanzierungsgrad</w:t>
            </w:r>
          </w:p>
        </w:tc>
        <w:tc>
          <w:tcPr>
            <w:tcW w:type="dxa" w:w="1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82 %</w:t>
            </w:r>
          </w:p>
        </w:tc>
        <w:tc>
          <w:tcPr>
            <w:tcW w:type="dxa" w:w="12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70 %</w:t>
            </w:r>
          </w:p>
        </w:tc>
        <w:tc>
          <w:tcPr>
            <w:tcW w:type="dxa" w:w="12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80 %</w:t>
            </w:r>
          </w:p>
        </w:tc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leicht über Median</w:t>
            </w:r>
          </w:p>
        </w:tc>
      </w:tr>
      <w:tr>
        <w:trPr>
          <w:cantSplit/>
        </w:trPr>
        <w:tc>
          <w:tcPr>
            <w:tcW w:type="dxa" w:w="34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Nettoverschuldung pro EW, CHF</w:t>
            </w:r>
          </w:p>
        </w:tc>
        <w:tc>
          <w:tcPr>
            <w:tcW w:type="dxa" w:w="1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1'900</w:t>
            </w:r>
          </w:p>
        </w:tc>
        <w:tc>
          <w:tcPr>
            <w:tcW w:type="dxa" w:w="122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2'600</w:t>
            </w:r>
          </w:p>
        </w:tc>
        <w:tc>
          <w:tcPr>
            <w:tcW w:type="dxa" w:w="122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1'700</w:t>
            </w:r>
          </w:p>
        </w:tc>
        <w:tc>
          <w:tcPr>
            <w:tcW w:type="dxa" w:w="262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nahe Median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Kommunaler Bodenanteil / Mobilisierungsquote</w:t>
            </w:r>
          </w:p>
        </w:tc>
        <w:tc>
          <w:tcPr>
            <w:tcW w:type="dxa" w:w="1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6 % / tief</w:t>
            </w:r>
          </w:p>
        </w:tc>
        <w:tc>
          <w:tcPr>
            <w:tcW w:type="dxa" w:w="12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3 %</w:t>
            </w:r>
          </w:p>
        </w:tc>
        <w:tc>
          <w:tcPr>
            <w:tcW w:type="dxa" w:w="12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7 %</w:t>
            </w:r>
          </w:p>
        </w:tc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unter Median (Handlungsbedarf)</w:t>
            </w:r>
          </w:p>
        </w:tc>
      </w:tr>
      <w:tr>
        <w:trPr>
          <w:cantSplit/>
        </w:trPr>
        <w:tc>
          <w:tcPr>
            <w:tcW w:type="dxa" w:w="34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Verfahrensdauer / Digitalisierung</w:t>
            </w:r>
          </w:p>
        </w:tc>
        <w:tc>
          <w:tcPr>
            <w:tcW w:type="dxa" w:w="1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mittel</w:t>
            </w:r>
          </w:p>
        </w:tc>
        <w:tc>
          <w:tcPr>
            <w:tcW w:type="dxa" w:w="122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122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262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Ausbaupotenzial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Verwaltungskosten pro EW, CHF*</w:t>
            </w:r>
          </w:p>
        </w:tc>
        <w:tc>
          <w:tcPr>
            <w:tcW w:type="dxa" w:w="1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780</w:t>
            </w:r>
          </w:p>
        </w:tc>
        <w:tc>
          <w:tcPr>
            <w:tcW w:type="dxa" w:w="12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690</w:t>
            </w:r>
          </w:p>
        </w:tc>
        <w:tc>
          <w:tcPr>
            <w:tcW w:type="dxa" w:w="12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720</w:t>
            </w:r>
          </w:p>
        </w:tc>
        <w:tc>
          <w:tcPr>
            <w:tcW w:type="dxa" w:w="262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über Median – Leistungsniveau prüfen</w:t>
            </w:r>
          </w:p>
        </w:tc>
      </w:tr>
    </w:tbl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5"/>
          <w:szCs w:val="15"/>
        </w:rPr>
        <w:t xml:space="preserve">* nur mit Aufgabenportfolio, Fallzahlen, Qualität und Bearbeitungszeiten belastbar. Weiter: Projekt-/Vergabe-/Bestellkompetenz, regionale Kooperationsstrukturen, politische Mehrheits-/Mitwirkungsfähigkeit.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600"/>
        <w:gridCol w:w="7310"/>
      </w:tblGrid>
      <w:tr>
        <w:trPr>
          <w:tblHeader/>
        </w:trPr>
        <w:tc>
          <w:tcPr>
            <w:tcW w:type="dxa" w:w="2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Q-Restriktion</w:t>
            </w:r>
          </w:p>
        </w:tc>
        <w:tc>
          <w:tcPr>
            <w:tcW w:type="dxa" w:w="73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Ausgangslage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 Recht/Planung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rechtliche Zulässigkeit, Richtplanbindungen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Q2 Landschaft/Biodiversität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FFF-, Landschafts-, Vernetzungsrestriktionen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Q3/Q4 Klima/Resilienz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Klimarisiken (Hitze, Hochwasser)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Q5 Baukultur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Ortsbild- und Baukultursensibilität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12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IST-Synthese als Input für die Strategieentwicklung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Einheitliches Ergebnisblatt als mehrdimensionaler IST-Diagnosevektor – die verdichtete Ausgangslage, an die der Crosswalk in Teil III (Kap. 13) anknüpft.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000"/>
        <w:gridCol w:w="6910"/>
      </w:tblGrid>
      <w:tr>
        <w:trPr>
          <w:tblHeader/>
        </w:trPr>
        <w:tc>
          <w:tcPr>
            <w:tcW w:type="dxa" w:w="3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Synthesefeld</w:t>
            </w:r>
          </w:p>
        </w:tc>
        <w:tc>
          <w:tcPr>
            <w:tcW w:type="dxa" w:w="69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Beispielbefund (Modell)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Entwicklungsdruck (I1)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P3 – moderat, verlangsamend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Wohn-/Arbeitsmarktstatus (I3)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Ausgeglichener Wohnmarkt / geringe AP-Funktion; M-A (Struktur)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Freizeitstatus (I4)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lokale Grundversorgung, ausgeglichen, geringe Reichweite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Tourismusstatus (I5)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tagesgästeorientiert, saisonal, gering wertschöpfungsintensiv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 Aufnahmefähigkeit (I6)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realisierbares Potenzial ~700 EW; Schulkapazität +400; ÖV C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Institutionelle Fähigkeit (I8)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solide Finanzen; tiefer Bodenanteil; Ausbaupotenzial Verwaltung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Wesentliche Q-Restriktionen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FFF-Schutz; Hitzevorsorge; Ortsbild Kern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Zentrale Chancen / Risiken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Chance: eigene AP-Basis; Risiko: Arealmobilisierung, Finanzlast</w:t>
            </w:r>
          </w:p>
        </w:tc>
      </w:tr>
    </w:tbl>
    <w:p>
      <w:pPr>
        <w:spacing w:after="20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038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EB8C4"/>
                <w:spacing w:val="40"/>
                <w:sz w:val="16"/>
                <w:szCs w:val="16"/>
              </w:rPr>
              <w:t xml:space="preserve">TEIL III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Strategieentwicklung</w:t>
            </w:r>
          </w:p>
        </w:tc>
      </w:tr>
    </w:tbl>
    <w:p>
      <w:pPr>
        <w:spacing w:after="120"/>
      </w:pPr>
    </w:p>
    <w:p>
      <w:pPr>
        <w:keepNext w:val="false"/>
        <w:spacing w:after="14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Durchgängige Prozesslogik: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IST-Diagnose → strategischer Handlungsraum → zulässige Dynamik → Schwerpunktwahl → getrennte Mengen-, Struktur- und Leistungsziele → räumliche Umsetzung → mehrperiodische institutionelle Prüfung → Qualitätskontrolle.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Objektarchitektur (eindeutige Funktionen)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600"/>
        <w:gridCol w:w="7310"/>
      </w:tblGrid>
      <w:tr>
        <w:trPr>
          <w:tblHeader/>
        </w:trPr>
        <w:tc>
          <w:tcPr>
            <w:tcW w:type="dxa" w:w="2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Objekt</w:t>
            </w:r>
          </w:p>
        </w:tc>
        <w:tc>
          <w:tcPr>
            <w:tcW w:type="dxa" w:w="73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Funktion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A1–A4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Wirkungs-, Analyse- und Berichtsdimensionen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P1–P4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diagnostizierter Entwicklungsdruck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DYN1–DYN4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politisch gewählte Mengen- und Tempodynamik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F1–F10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strategische Schwerpunktmodule (G0 = Grundmodus Profilkontinuität)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F6.1–F6.4 / F10.1–F10.3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fachliche Modulausprägungen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B1–B6 / C1–C5 / Q1–Q5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 Übersetzung / dynamische Institution / harte Schwellen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R-stat / R-trend / R-plan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erwarteter Referenzkorridor / lokale Trendsensitivität / planungsrechtlicher Korridor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13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Von der IST-Diagnose zum strategischen Handlungsraum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Die Diagnose erzeugt keine automatische Strategie – sie schränkt die Menge fachlich plausibler Module und Dynamikstufen nachvollziehbar ein.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LEISTUNGSABGRENZUNG LP01 – STRATEGISCHE TIEFE, NICHT PROJEKTIERUNG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In LP01 enthalten: strategische räumliche Kapazitätsprüfung, grobe Verortung, Planungsstatus (P-A/P-B/P-C), institutionelle Fähigkeitsprüfung, mehrperiodische Tragfähigkeit auf strategischem Niveau, Q-Prüfung, grobe Investitions-/Betriebskorridore, Etappierung/Restlücken und die Auslösung der Folgepakete.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Nicht in LP01: parzellenscharfe Mobilisierungsverhandlungen, vollständige Nutzungsplanrevision, vertiefte Marktstudien, definitive Betreiber-/Businesscases, Verkehrsmodelle, Projektierung, definitive Lebenszykluskosten, Vergabe-/Beschaffungsunterlagen. Diese Abgrenzung gehört in jedes Angebot und jeden Leistungsbeschrieb.</w:t>
            </w:r>
          </w:p>
        </w:tc>
      </w:tr>
    </w:tbl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Je Modul werden drei Bewertungen getrennt: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Handlungsbedarf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(Problem/Versorgungslücke?),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Entwicklungspotenzial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(Assets, Nachfrage, Standortvorteile?) und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grundsätzliche Eignung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 (Gemeinde-DNA, regionaler Kontext). Erst danach folgt die Machbarkeitsprüfung durch B, C, Q und übergeordnete Planung.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Crosswalk IST-Befund → Module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900"/>
        <w:gridCol w:w="3200"/>
        <w:gridCol w:w="2810"/>
      </w:tblGrid>
      <w:tr>
        <w:trPr>
          <w:tblHeader/>
        </w:trPr>
        <w:tc>
          <w:tcPr>
            <w:tcW w:type="dxa" w:w="39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IST-Befund</w:t>
            </w:r>
          </w:p>
        </w:tc>
        <w:tc>
          <w:tcPr>
            <w:tcW w:type="dxa" w:w="32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Naheliegende Module</w:t>
            </w:r>
          </w:p>
        </w:tc>
        <w:tc>
          <w:tcPr>
            <w:tcW w:type="dxa" w:w="28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Gegenanzeigen / Bedingungen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Hohe Wohnkostenbelastung, geringe Leerstände, tiefer Anteil preisgünstiger Whg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Boden- und Finanzinstrumente nötig</w:t>
            </w:r>
          </w:p>
        </w:tc>
      </w:tr>
      <w:tr>
        <w:trPr>
          <w:cantSplit/>
        </w:trPr>
        <w:tc>
          <w:tcPr>
            <w:tcW w:type="dxa" w:w="3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Familienabwanderung, fehlende grosse Whg, Schulkapazität vorhanden</w:t>
            </w:r>
          </w:p>
        </w:tc>
        <w:tc>
          <w:tcPr>
            <w:tcW w:type="dxa" w:w="32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F3</w:t>
            </w:r>
          </w:p>
        </w:tc>
        <w:tc>
          <w:tcPr>
            <w:tcW w:type="dxa" w:w="28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nicht allein aus allg. Wohnraummangel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Stark wachsender Anteil 80+, Versorgungslücken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F4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Pflege-, Mobilitäts-, Betriebskapazität prüfen</w:t>
            </w:r>
          </w:p>
        </w:tc>
      </w:tr>
      <w:tr>
        <w:trPr>
          <w:cantSplit/>
        </w:trPr>
        <w:tc>
          <w:tcPr>
            <w:tcW w:type="dxa" w:w="3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Zunahme Einpersonenhaushalte, Nachfrage Zentrumslagen</w:t>
            </w:r>
          </w:p>
        </w:tc>
        <w:tc>
          <w:tcPr>
            <w:tcW w:type="dxa" w:w="32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F5</w:t>
            </w:r>
          </w:p>
        </w:tc>
        <w:tc>
          <w:tcPr>
            <w:tcW w:type="dxa" w:w="28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ÖV, Freiraum, Baukulturverträglichkeit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Geringe lokale AP-Funktion, schwache Dynamik, geeignete Flächen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F6.x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ohne Flächen/Nachfrage nur bedingt</w:t>
            </w:r>
          </w:p>
        </w:tc>
      </w:tr>
      <w:tr>
        <w:trPr>
          <w:cantSplit/>
        </w:trPr>
        <w:tc>
          <w:tcPr>
            <w:tcW w:type="dxa" w:w="3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Überlastete Sportanlagen, hohe Nachfrage</w:t>
            </w:r>
          </w:p>
        </w:tc>
        <w:tc>
          <w:tcPr>
            <w:tcW w:type="dxa" w:w="32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F8</w:t>
            </w:r>
          </w:p>
        </w:tc>
        <w:tc>
          <w:tcPr>
            <w:tcW w:type="dxa" w:w="28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Betrieb, regionale Trägerschaft, Verkehr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Rückläufige Vereine, fehlende Mehrzweckräume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F9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Vereinsstruktur und Nachfrage prüfen</w:t>
            </w:r>
          </w:p>
        </w:tc>
      </w:tr>
      <w:tr>
        <w:trPr>
          <w:cantSplit/>
        </w:trPr>
        <w:tc>
          <w:tcPr>
            <w:tcW w:type="dxa" w:w="3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Hohe Tagesgästedynamik, belastbare Attraktionen</w:t>
            </w:r>
          </w:p>
        </w:tc>
        <w:tc>
          <w:tcPr>
            <w:tcW w:type="dxa" w:w="32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F10.1</w:t>
            </w:r>
          </w:p>
        </w:tc>
        <w:tc>
          <w:tcPr>
            <w:tcW w:type="dxa" w:w="28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Besucherlenkung, Belastungsgrenzen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Hohe Logiernachfrage, geringe Saisonalität, warme Betten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F10.2</w:t>
            </w:r>
          </w:p>
        </w:tc>
        <w:tc>
          <w:tcPr>
            <w:tcW w:type="dxa" w:w="2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Beherbergungsstandorte, Betreiberinteresse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MODUL-KANDIDATENSTATUS (ERGEBNIS JE MODUL)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prioritärer Kandidat · opportunitätsgetriebener Kandidat · flankierender Kandidat · aktuell nicht begründet · nur unter Voraussetzungen weiterzuverfolgen. Der Crosswalk empfiehlt nicht automatisch – er ordnet ein.</w:t>
            </w:r>
          </w:p>
        </w:tc>
      </w:tr>
    </w:tbl>
    <w:p>
      <w:pPr>
        <w:spacing w:after="10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Zulässiger DYN-Korridor als Schnittmenge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DYN_zulässig  =  DYN(P)  ∩  DYN(Plan)  ∩  DYN(B)  ∩  DYN(C)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   DYN(P)    aus Entwicklungsdruck plausible Stufen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   DYN(Plan) planungsrechtlich zulässiger Korridor (R-plan)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   DYN(B)    räumlich/infrastrukturell aufnehmbar</w:t>
            </w:r>
          </w:p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   DYN(C)    institutionell/finanziell tragbar (mehrperiodisch)</w:t>
            </w:r>
          </w:p>
        </w:tc>
      </w:tr>
    </w:tbl>
    <w:p>
      <w:pPr>
        <w:spacing w:after="100"/>
      </w:pP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000"/>
        <w:gridCol w:w="6910"/>
      </w:tblGrid>
      <w:tr>
        <w:trPr>
          <w:tblHeader/>
        </w:trPr>
        <w:tc>
          <w:tcPr>
            <w:tcW w:type="dxa" w:w="3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Entwicklungsdruck</w:t>
            </w:r>
          </w:p>
        </w:tc>
        <w:tc>
          <w:tcPr>
            <w:tcW w:type="dxa" w:w="69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Zunächst plausible DYN-Stufen (Ausgangskorridor)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P1 Rückgangs-/Anpassungsdruck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DYN1–DYN2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P2 geringe Dynamik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DYN1–DYN2; DYN3 nur mit begründeter Chance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P3 moderater Druck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DYN2–DYN3; DYN4 nur bei hoher Kapazität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P4 hoher Druck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DYN3–DYN4; bei geringer Kapazität DYN2 als Begrenzungsstrategie</w:t>
            </w:r>
          </w:p>
        </w:tc>
      </w:tr>
    </w:tbl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5"/>
          <w:szCs w:val="15"/>
        </w:rPr>
        <w:t xml:space="preserve">Die Matrix ist keine automatische Entscheidung, sondern ein Ausgangskorridor; Abweichungen sind möglich, müssen aber begründet werden.</w:t>
      </w:r>
    </w:p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14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Schwerpunktmodule und Modulausprägungen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Ein Schwerpunktmodul ist ein Wirkungsvektor über eine oder mehrere A-Dimensionen. G0 Profilkontinuität ist kein gleichrangiges Modul, sondern ein Grundmodus (bestehendes Profil bewusst fortführen, kombinierbar mit null bis einem selektiven Aufwertungsmodul). F6 und F10 sind erst mit einer fachlichen Ausprägung vollständig spezifiziert.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350"/>
        <w:gridCol w:w="2500"/>
        <w:gridCol w:w="2560"/>
        <w:gridCol w:w="2500"/>
      </w:tblGrid>
      <w:tr>
        <w:trPr>
          <w:tblHeader/>
        </w:trPr>
        <w:tc>
          <w:tcPr>
            <w:tcW w:type="dxa" w:w="23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5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A-Wirkung (primär / sekundär)</w:t>
            </w:r>
          </w:p>
        </w:tc>
        <w:tc>
          <w:tcPr>
            <w:tcW w:type="dxa" w:w="25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Kernindikatoren</w:t>
            </w:r>
          </w:p>
        </w:tc>
        <w:tc>
          <w:tcPr>
            <w:tcW w:type="dxa" w:w="25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 / C / Q-Bezug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G0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Profilkontinuität (Grundmodus)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Erhalt über alle Dimensionen.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Stabilität der Kernkennzahlen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Bestand · C-Bestand · Q</w:t>
            </w:r>
          </w:p>
        </w:tc>
      </w:tr>
      <w:tr>
        <w:trPr>
          <w:cantSplit/>
        </w:trPr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F1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Preisgünstiger/gemeinnütziger Wohnraum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primär / A2 indirekt.</w:t>
            </w:r>
          </w:p>
        </w:tc>
        <w:tc>
          <w:tcPr>
            <w:tcW w:type="dxa" w:w="25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Anteil gemeinnütziger Whg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Preissegmente, Wohnkostenbelastung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B1/B4 · C2/C1 · Q1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F2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Hochwertiges/einkommensstarkes Wohnprofil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primär / fiskalisch.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Steuerkraft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hochwertige Whg, Lagequalität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B6/B2 · C1 · Q2/Q5</w:t>
            </w:r>
          </w:p>
        </w:tc>
      </w:tr>
      <w:tr>
        <w:trPr>
          <w:cantSplit/>
        </w:trPr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F3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Familien- und Nachwuchsstrategie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primär / A3 sekundär.</w:t>
            </w:r>
          </w:p>
        </w:tc>
        <w:tc>
          <w:tcPr>
            <w:tcW w:type="dxa" w:w="25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Anteil 0–19, Familienhaushalte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Schul-/Spielraum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B1/B4 · C1 · Q2/Q4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F4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Altersgerechte und sorgende Gemeinde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primär / Versorgung.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65+/80+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Pflege, Barrierefreiheit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B4/B3 · C1 · Q4</w:t>
            </w:r>
          </w:p>
        </w:tc>
      </w:tr>
      <w:tr>
        <w:trPr>
          <w:cantSplit/>
        </w:trPr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F5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Kleinhaushalte und junge Erwachsene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A1 primär.</w:t>
            </w:r>
          </w:p>
        </w:tc>
        <w:tc>
          <w:tcPr>
            <w:tcW w:type="dxa" w:w="25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Einpersonenhaushalte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junge Erwachsene, Dichte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B1/B3 · C2 · Q5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F6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Arbeitsplätze und lokale Wertschöpfung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A2 primär / A1 sekundär.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AP-Dichte, Pendlersaldo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Beschäftigungswachstum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B1/B3 · C2 · Q3</w:t>
            </w:r>
          </w:p>
        </w:tc>
      </w:tr>
      <w:tr>
        <w:trPr>
          <w:cantSplit/>
        </w:trPr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F7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Kultur und Begegnung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A3 primär / A4 sekundär.</w:t>
            </w:r>
          </w:p>
        </w:tc>
        <w:tc>
          <w:tcPr>
            <w:tcW w:type="dxa" w:w="25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Kulturinfrastruktur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Besucher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B6/B4 · C5 · Q5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F8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Sport und Bewegung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A3 primär.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Sportflächen/EW, Hallen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Auslastung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B4/B2 · C1/C3 · Q2</w:t>
            </w:r>
          </w:p>
        </w:tc>
      </w:tr>
      <w:tr>
        <w:trPr>
          <w:cantSplit/>
        </w:trPr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F9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Vereine und Gemeinschaft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A3 primär.</w:t>
            </w:r>
          </w:p>
        </w:tc>
        <w:tc>
          <w:tcPr>
            <w:tcW w:type="dxa" w:w="25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Vereinsdichte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Mehrzweckräume, Ehrenamt</w:t>
            </w:r>
          </w:p>
        </w:tc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B4 · C5 · Q5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F10 ·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Tourismus und Gästewirtschaft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A4 primär / A2 sekundär.</w:t>
            </w:r>
          </w:p>
        </w:tc>
        <w:tc>
          <w:tcPr>
            <w:tcW w:type="dxa" w:w="25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Logiernächte, Tagesgäste</w:t>
            </w:r>
          </w:p>
          <w:p>
            <w:pPr>
              <w:spacing w:after="0" w:line="23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7"/>
                <w:szCs w:val="17"/>
              </w:rPr>
              <w:t xml:space="preserve">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Wertschöpfung, Belastung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B6/B4/B3 · C1/C3 · Q2/Q5</w:t>
            </w:r>
          </w:p>
        </w:tc>
      </w:tr>
    </w:tbl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Sport (F8) und Vereine (F9) bleiben getrennt (Mehrzweckräume/Ehrenamt vs. Flächen-/Hallen-/Verkehrs-/Trägerschaftsbedarf).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Modulausprägungen F6 (Wirtschaft) und F10 (Tourismus)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3210"/>
      </w:tblGrid>
      <w:tr>
        <w:trPr>
          <w:tblHeader/>
        </w:trPr>
        <w:tc>
          <w:tcPr>
            <w:tcW w:type="dxa" w:w="2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Ausprägung</w:t>
            </w:r>
          </w:p>
        </w:tc>
        <w:tc>
          <w:tcPr>
            <w:tcW w:type="dxa" w:w="43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Gegenstand</w:t>
            </w:r>
          </w:p>
        </w:tc>
        <w:tc>
          <w:tcPr>
            <w:tcW w:type="dxa" w:w="32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Typische B/C-Bezüge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F6.1 lokale KMU und Gewerbe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kleinteilige lokale Wertschöpfung</w:t>
            </w:r>
          </w:p>
        </w:tc>
        <w:tc>
          <w:tcPr>
            <w:tcW w:type="dxa" w:w="3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 Gewerbeflächen · C2 Boden</w:t>
            </w:r>
          </w:p>
        </w:tc>
      </w:tr>
      <w:tr>
        <w:trPr>
          <w:cantSplit/>
        </w:trPr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F6.2 Wissen, Innovation, DL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wissensintensive Arbeitsplätze</w:t>
            </w:r>
          </w:p>
        </w:tc>
        <w:tc>
          <w:tcPr>
            <w:tcW w:type="dxa" w:w="32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B1/B3 TOD · C5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F6.3 Produktion, Industrie, Ressourcen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flächen-/energieintensive Betriebe</w:t>
            </w:r>
          </w:p>
        </w:tc>
        <w:tc>
          <w:tcPr>
            <w:tcW w:type="dxa" w:w="3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B1/B5 · C1/C2</w:t>
            </w:r>
          </w:p>
        </w:tc>
      </w:tr>
      <w:tr>
        <w:trPr>
          <w:cantSplit/>
        </w:trPr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F6.4 regionale Wirtschafts-/Versorgungsfunktion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regionale Zentralität</w:t>
            </w:r>
          </w:p>
        </w:tc>
        <w:tc>
          <w:tcPr>
            <w:tcW w:type="dxa" w:w="32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B4/B3 · C3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F10.1 Ausflugs-/Tagesgäste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Tagesgäste, Ausflugs-/Kulturmotive</w:t>
            </w:r>
          </w:p>
        </w:tc>
        <w:tc>
          <w:tcPr>
            <w:tcW w:type="dxa" w:w="3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B6/B3 · C1</w:t>
            </w:r>
          </w:p>
        </w:tc>
      </w:tr>
      <w:tr>
        <w:trPr>
          <w:cantSplit/>
        </w:trPr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F10.2 Ganzjahres-Aufenthalt</w:t>
            </w:r>
          </w:p>
        </w:tc>
        <w:tc>
          <w:tcPr>
            <w:tcW w:type="dxa" w:w="4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Beherbergung, saisonal ausgewogen</w:t>
            </w:r>
          </w:p>
        </w:tc>
        <w:tc>
          <w:tcPr>
            <w:tcW w:type="dxa" w:w="32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B4/B1 · C1/C3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F10.3 Spezial-/Premium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hochwertige Nische</w:t>
            </w:r>
          </w:p>
        </w:tc>
        <w:tc>
          <w:tcPr>
            <w:tcW w:type="dxa" w:w="3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B6/B4 · C1/C5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15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Strategiekonfiguration: DYN + Haupt- und Nebenschwerpunkte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Zeilen DYN1–DYN4, Spalten G0/F1–F10. Eine Variante entsteht durch gewichtete Markierungen – kein Feld ist für sich eine vollständige Strategie.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EF1F4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KOMBINATIONSREGELN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Grundmodus G0 allein oder mit null bis einem selektiven Aufwertungsmodul; ODER ein Hauptschwerpunkt + null bis zwei Nebenschwerpunkte. Maximal drei aktive Schwerpunkte.</w:t>
            </w:r>
          </w:p>
          <w:p>
            <w:pPr>
              <w:spacing w:after="6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Für Wirtschaft, Kultur, Sport/Vereine und Tourismus zusätzlich die Reichweite festlegen: lokal · interkommunal · regional.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Ohne Regeln entstünden 4 DYN × 2⁹ = 2’048 Möglichkeiten – die Regeln (nicht die Matrix) halten den Raum beherrschbar.</w:t>
            </w:r>
          </w:p>
        </w:tc>
      </w:tr>
    </w:tbl>
    <w:p>
      <w:pPr>
        <w:spacing w:after="8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Gewichtung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800"/>
        <w:gridCol w:w="8110"/>
      </w:tblGrid>
      <w:tr>
        <w:trPr>
          <w:tblHeader/>
        </w:trPr>
        <w:tc>
          <w:tcPr>
            <w:tcW w:type="dxa" w:w="18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Gewicht</w:t>
            </w:r>
          </w:p>
        </w:tc>
        <w:tc>
          <w:tcPr>
            <w:tcW w:type="dxa" w:w="81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1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Hauptschwerpunkt</w:t>
            </w:r>
          </w:p>
        </w:tc>
      </w:tr>
      <w:tr>
        <w:trPr>
          <w:cantSplit/>
        </w:trPr>
        <w:tc>
          <w:tcPr>
            <w:tcW w:type="dxa" w:w="18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1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starker Nebenschwerpunkt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1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flankierender Nebenschwerpunkt</w:t>
            </w:r>
          </w:p>
        </w:tc>
      </w:tr>
      <w:tr>
        <w:trPr>
          <w:cantSplit/>
        </w:trPr>
        <w:tc>
          <w:tcPr>
            <w:tcW w:type="dxa" w:w="18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81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kein Schwerpunkt</w:t>
            </w:r>
          </w:p>
        </w:tc>
      </w:tr>
    </w:tbl>
    <w:p>
      <w:pPr>
        <w:spacing w:after="8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Indikatorrollen gegen Doppelzählung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600"/>
        <w:gridCol w:w="7310"/>
      </w:tblGrid>
      <w:tr>
        <w:trPr>
          <w:tblHeader/>
        </w:trPr>
        <w:tc>
          <w:tcPr>
            <w:tcW w:type="dxa" w:w="2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73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Lead Outcome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wird genau einem Modul primär zugerechnet (z. B. Vereinsdichte → F9)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Induzierter Bedarf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Folgewirkung (z. B. Schulraum aus F3/DYN) – kein zweiter A-Nutzen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Co-Benefit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wird beschrieben, aber nicht ein zweites Mal gewichtet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Restriktion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begrenzt die Umsetzung</w:t>
            </w:r>
          </w:p>
        </w:tc>
      </w:tr>
    </w:tbl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Jeder Zielindikator erhält im Datenhandbuch (M5) genau eine Rolle. Überlappende Modul-A-Wirkungen (z. B. F3 sekundär A3 und F9 primär A3) werden über diese Rollen bereinigt – Mehrfachdarstellung ja, Mehrfachgewichtung nein.</w:t>
      </w:r>
    </w:p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16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Referenzkorridor, Zielmodell, Planungs- und C-Tragfähigkeit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Zielwerte entstehen aus einem Referenzkorridor plus DYN-Mengenabweichung plus modulbestimmter Struktur – begrenzt durch Planung, B, C und Q. Das frühere Multiplikationsmodell entfällt.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Referenzsystem (drei Ebenen statt R0-Punktwert)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100"/>
        <w:gridCol w:w="5100"/>
        <w:gridCol w:w="2710"/>
      </w:tblGrid>
      <w:tr>
        <w:trPr>
          <w:tblHeader/>
        </w:trPr>
        <w:tc>
          <w:tcPr>
            <w:tcW w:type="dxa" w:w="2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5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7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Priorität / Rolle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R-stat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erwartete Referenz: 1. kommunale/regionale Kantonsprognose, 2. kant. Szenario mit dokumentierter Verteilung, 3. robuster lokaler Trend, 4. gesicherte Pipeline</w:t>
            </w:r>
          </w:p>
        </w:tc>
        <w:tc>
          <w:tcPr>
            <w:tcW w:type="dxa" w:w="27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Hauptreferenz</w:t>
            </w:r>
          </w:p>
        </w:tc>
      </w:tr>
      <w:tr>
        <w:trPr>
          <w:cantSplit/>
        </w:trPr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R-trend</w:t>
            </w:r>
          </w:p>
        </w:tc>
        <w:tc>
          <w:tcPr>
            <w:tcW w:type="dxa" w:w="5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lineare Fortschreibung des Zehnjahrestrends inkl. 5- vs. 10-Jahres-Trend, robuster Regression, Wanderungs-/Natürlichkeitszerlegung</w:t>
            </w:r>
          </w:p>
        </w:tc>
        <w:tc>
          <w:tcPr>
            <w:tcW w:type="dxa" w:w="27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Sensitivität, nicht automatisch Hauptreferenz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R-plan</w:t>
            </w:r>
          </w:p>
        </w:tc>
        <w:tc>
          <w:tcPr>
            <w:tcW w:type="dxa" w:w="5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planungsrechtlicher Korridor: Bauzonenkapazität, mobilisierbare Reserven, 15-Jahres-Bedarf, Richtplanbindungen, Siedlungsgebiet</w:t>
            </w:r>
          </w:p>
        </w:tc>
        <w:tc>
          <w:tcPr>
            <w:tcW w:type="dxa" w:w="27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harte Begrenzung</w:t>
            </w:r>
          </w:p>
        </w:tc>
      </w:tr>
    </w:tbl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Rein lokale Trendfortschreibung (R-trend) ist als alleinige Referenz unzureichend; in der Schweiz sind kantonale Szenarien und Richtplanvorgaben regelmässig massgeblicher. Es existiert kein einheitliches gesamtschweizerisches kommunales Bevölkerungskontingent – die Verteilung folgt kantonsspezifischen Methoden.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Einheitliches Zielmodell nach Indikatorklasse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650"/>
        <w:gridCol w:w="3300"/>
        <w:gridCol w:w="4960"/>
      </w:tblGrid>
      <w:tr>
        <w:trPr>
          <w:tblHeader/>
        </w:trPr>
        <w:tc>
          <w:tcPr>
            <w:tcW w:type="dxa" w:w="16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Klasse</w:t>
            </w:r>
          </w:p>
        </w:tc>
        <w:tc>
          <w:tcPr>
            <w:tcW w:type="dxa" w:w="33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Beispiele</w:t>
            </w:r>
          </w:p>
        </w:tc>
        <w:tc>
          <w:tcPr>
            <w:tcW w:type="dxa" w:w="49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Zielbildung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 Menge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Einwohner, Haushalte, Wohnungen, Arbeitsplätze, Gäste</w:t>
            </w:r>
          </w:p>
        </w:tc>
        <w:tc>
          <w:tcPr>
            <w:tcW w:type="dxa" w:w="49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Menge = Referenzkorridor + DYN-Abweichung, begrenzt durch Plan/B/C/Q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 Struktur</w:t>
            </w:r>
          </w:p>
        </w:tc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Anteil preisgünstig/familiengeeignet/hindernisfrei, Branchenmix</w:t>
            </w:r>
          </w:p>
        </w:tc>
        <w:tc>
          <w:tcPr>
            <w:tcW w:type="dxa" w:w="49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Modulquoten: Mindest-/Höchstanteile, Merkmalsmatrix bei Überlappung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 Leistung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Schul-/Pflegeplätze, Sportfläche/EW, Erreichbarkeit, CO₂-Budget</w:t>
            </w:r>
          </w:p>
        </w:tc>
        <w:tc>
          <w:tcPr>
            <w:tcW w:type="dxa" w:w="49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Versorgungs-/Leistungsstandard, nicht Anteil einer DYN-Menge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 Institution</w:t>
            </w:r>
          </w:p>
        </w:tc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Investitionen, Betriebskosten, Verschuldung, Personal, Boden</w:t>
            </w:r>
          </w:p>
        </w:tc>
        <w:tc>
          <w:tcPr>
            <w:tcW w:type="dxa" w:w="49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dynamisch aus dem räumlichen Programm, mehrperiodisch</w:t>
            </w:r>
          </w:p>
        </w:tc>
      </w:tr>
    </w:tbl>
    <w:p>
      <w:pPr>
        <w:spacing w:after="8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Menge      M_i  =  Begrenzung( R-Korridor_i + ΔDYN_i ;  Plan, B, C, Q )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Struktur   S    =  Modulquoten / Mindest- und Höchstanteile (Merkmalsmatrix)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Leistung   L    =  modulspezifischer Versorgungs-/Qualitätsstandard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Institution C_t =  f( Investitionen_t, Betrieb_t, Erträge_t, Personal_t, Boden_t )  über mehrere Perioden</w:t>
            </w:r>
          </w:p>
          <w:p>
            <w:pPr>
              <w:spacing w:after="2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/>
            </w:r>
          </w:p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B2F35"/>
                <w:sz w:val="17"/>
                <w:szCs w:val="17"/>
              </w:rPr>
              <w:t xml:space="preserve">ENTFÄLLT:  Ziel = Referenz + DYN-Effekt × Schwerpunkteffekt</w:t>
            </w:r>
          </w:p>
        </w:tc>
      </w:tr>
    </w:tbl>
    <w:p>
      <w:pPr>
        <w:spacing w:after="10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Merkmalsmatrix bei überlappenden Strukturzielen (Beispiel Wohnen)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Von z. B. 600 zusätzlichen Wohnungen: mindestens 35 % preisgünstig (F1), 40 % familiengeeignet (F3), 20 % hindernisfrei (F4). Überschneidungen sind zulässig (eine Wohnung kann mehrere Merkmale erfüllen); die räumliche Wohnungsbilanz muss die gleichzeitige Erfüllbarkeit nachweisen. Struktur wird nicht als Partition mit Summe 100 % gerechnet, wenn die Merkmale überlappen.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Planungsstatus (harter Filter auf Mengenkorridor und Programm)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650"/>
        <w:gridCol w:w="8260"/>
      </w:tblGrid>
      <w:tr>
        <w:trPr>
          <w:tblHeader/>
        </w:trPr>
        <w:tc>
          <w:tcPr>
            <w:tcW w:type="dxa" w:w="16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2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P-A</w:t>
            </w:r>
          </w:p>
        </w:tc>
        <w:tc>
          <w:tcPr>
            <w:tcW w:type="dxa" w:w="8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innerhalb geltender Planung umsetzbar (bestehende Bauzonen, Richtplangrundlage)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P-B</w:t>
            </w:r>
          </w:p>
        </w:tc>
        <w:tc>
          <w:tcPr>
            <w:tcW w:type="dxa" w:w="8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planungsrechtlich möglich, aber Revision/Erschliessung/regionale Abstimmung nötig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P-C</w:t>
            </w:r>
          </w:p>
        </w:tc>
        <w:tc>
          <w:tcPr>
            <w:tcW w:type="dxa" w:w="8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nicht als umsetzbare Strategie gesichert (Richtplanänderung/Siedlungsgebiet/Bedarfsnachweis offen)</w:t>
            </w:r>
          </w:p>
        </w:tc>
      </w:tr>
    </w:tbl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Nur P-A und ggf. P-B werden als vollwertig wählbare Varianten vorgelegt. P-C nur als langfristiges, konditionales Transformationsszenario, nicht als gleichrangige Entscheidungsoption. Der Filter greift am quantifizierten Mengenkorridor und am räumlichen Programm – nicht am DYN-Etikett (auch DYN4 kann rein über Innenentwicklung P-A sein; auch DYN2 kann über eine kleine Einzonung P-C sein).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Mehrperiodische C-Tragfähigkeit und Gate-Regel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100"/>
        <w:gridCol w:w="7810"/>
      </w:tblGrid>
      <w:tr>
        <w:trPr>
          <w:tblHeader/>
        </w:trPr>
        <w:tc>
          <w:tcPr>
            <w:tcW w:type="dxa" w:w="21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Zeitpunkt</w:t>
            </w:r>
          </w:p>
        </w:tc>
        <w:tc>
          <w:tcPr>
            <w:tcW w:type="dxa" w:w="78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Zu prüfen (C1/C2/C4)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2025 / Start</w:t>
            </w:r>
          </w:p>
        </w:tc>
        <w:tc>
          <w:tcPr>
            <w:tcW w:type="dxa" w:w="7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Ausgangsfähigkeit</w:t>
            </w:r>
          </w:p>
        </w:tc>
      </w:tr>
      <w:tr>
        <w:trPr>
          <w:cantSplit/>
        </w:trPr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2030</w:t>
            </w:r>
          </w:p>
        </w:tc>
        <w:tc>
          <w:tcPr>
            <w:tcW w:type="dxa" w:w="78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Planungs-, Erwerbs- und erste Investitionsphase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2035</w:t>
            </w:r>
          </w:p>
        </w:tc>
        <w:tc>
          <w:tcPr>
            <w:tcW w:type="dxa" w:w="7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Hauptrealisierung und Personalaufbau</w:t>
            </w:r>
          </w:p>
        </w:tc>
      </w:tr>
      <w:tr>
        <w:trPr>
          <w:cantSplit/>
        </w:trPr>
        <w:tc>
          <w:tcPr>
            <w:tcW w:type="dxa" w:w="21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2040</w:t>
            </w:r>
          </w:p>
        </w:tc>
        <w:tc>
          <w:tcPr>
            <w:tcW w:type="dxa" w:w="78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Betriebskosten, Verschuldung und Auslastung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2045</w:t>
            </w:r>
          </w:p>
        </w:tc>
        <w:tc>
          <w:tcPr>
            <w:tcW w:type="dxa" w:w="78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konsolidierter Zustand und Erneuerungsbedarf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GATE-REGEL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Eine Variante ist nur tragfähig, wenn sie in JEDER relevanten Periode die definierten Finanz- und Kapazitätsschwellen einhält. Ein guter Endwert 2045 kompensiert keine nicht finanzierbare Investitionsspitze z. B. 2032. Analog für C4 (FTE, Projektlast, Aufbauzeit, Dauerbetrieb).</w:t>
            </w:r>
          </w:p>
        </w:tc>
      </w:tr>
    </w:tbl>
    <w:p>
      <w:pPr>
        <w:spacing w:after="10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Gap-Bezug – Vergleichsgruppendifferenz nicht automatisch schliessen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600"/>
        <w:gridCol w:w="6310"/>
      </w:tblGrid>
      <w:tr>
        <w:trPr>
          <w:tblHeader/>
        </w:trPr>
        <w:tc>
          <w:tcPr>
            <w:tcW w:type="dxa" w:w="3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Strategische Bedeutung</w:t>
            </w:r>
          </w:p>
        </w:tc>
        <w:tc>
          <w:tcPr>
            <w:tcW w:type="dxa" w:w="63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Zielbezug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Kein Schwerpunkt</w:t>
            </w:r>
          </w:p>
        </w:tc>
        <w:tc>
          <w:tcPr>
            <w:tcW w:type="dxa" w:w="6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Entwicklung ungefähr entlang R-stat</w:t>
            </w:r>
          </w:p>
        </w:tc>
      </w:tr>
      <w:tr>
        <w:trPr>
          <w:cantSplit/>
        </w:trPr>
        <w:tc>
          <w:tcPr>
            <w:tcW w:type="dxa" w:w="3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Flankierend (1)</w:t>
            </w:r>
          </w:p>
        </w:tc>
        <w:tc>
          <w:tcPr>
            <w:tcW w:type="dxa" w:w="6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teilweise Verringerung des Peer-Gaps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Sekundär (2)</w:t>
            </w:r>
          </w:p>
        </w:tc>
        <w:tc>
          <w:tcPr>
            <w:tcW w:type="dxa" w:w="6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Annäherung an Median / strategische Referenz</w:t>
            </w:r>
          </w:p>
        </w:tc>
      </w:tr>
      <w:tr>
        <w:trPr>
          <w:cantSplit/>
        </w:trPr>
        <w:tc>
          <w:tcPr>
            <w:tcW w:type="dxa" w:w="3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Hauptschwerpunkt (3)</w:t>
            </w:r>
          </w:p>
        </w:tc>
        <w:tc>
          <w:tcPr>
            <w:tcW w:type="dxa" w:w="6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Annäherung an P75 oder ausgewählte Referenzgemeinden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DYN4 + Hauptschwerpunkt</w:t>
            </w:r>
          </w:p>
        </w:tc>
        <w:tc>
          <w:tcPr>
            <w:tcW w:type="dxa" w:w="6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oberer realistischer Zielkorridor, sofern B/C/Q/Plan tragfähig</w:t>
            </w:r>
          </w:p>
        </w:tc>
      </w:tr>
    </w:tbl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5"/>
          <w:szCs w:val="15"/>
        </w:rPr>
        <w:t xml:space="preserve">Aus der Vergleichsgruppendifferenz folgt ein möglicher Handlungsbedarf; ein Ziel wird daraus erst, wenn der zugehörige Schwerpunkt gewählt und die Machbarkeit bestätigt ist. Prozentsätze im Pilot kalibrieren.</w:t>
      </w:r>
    </w:p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17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Gesamtstrategievarianten und getrennte Mengen-/Strukturwirkungen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Beispiel A · ARE-11-Agglomerationsgürtel (~6’000 EW). IST-Diagnosevektor: P3, ausgeglichener Wohnmarkt/geringe AP-Funktion, lokale Freizeitgrundversorgung, tagesgästeorientiert.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900"/>
        <w:gridCol w:w="2350"/>
        <w:gridCol w:w="2400"/>
        <w:gridCol w:w="3260"/>
      </w:tblGrid>
      <w:tr>
        <w:trPr>
          <w:tblHeader/>
        </w:trPr>
        <w:tc>
          <w:tcPr>
            <w:tcW w:type="dxa" w:w="19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Variante · DYN</w:t>
            </w:r>
          </w:p>
        </w:tc>
        <w:tc>
          <w:tcPr>
            <w:tcW w:type="dxa" w:w="23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Haupt / Grundmodus</w:t>
            </w:r>
          </w:p>
        </w:tc>
        <w:tc>
          <w:tcPr>
            <w:tcW w:type="dxa" w:w="2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Nebenschwerpunkte</w:t>
            </w:r>
          </w:p>
        </w:tc>
        <w:tc>
          <w:tcPr>
            <w:tcW w:type="dxa" w:w="32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Strategieprofil / Code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G1 · DYN2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G0 Profilkontinuität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F8 Sport (lokal)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Qualitätsvolle Wohngemeinde   ·   DYN2 + G0 + F8(1)</w:t>
            </w:r>
          </w:p>
        </w:tc>
      </w:tr>
      <w:tr>
        <w:trPr>
          <w:cantSplit/>
        </w:trPr>
        <w:tc>
          <w:tcPr>
            <w:tcW w:type="dxa" w:w="1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G2 · DYN3</w:t>
            </w:r>
          </w:p>
        </w:tc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F3 Familien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F6.1 Wirtschaft, F9 Vereine</w:t>
            </w:r>
          </w:p>
        </w:tc>
        <w:tc>
          <w:tcPr>
            <w:tcW w:type="dxa" w:w="3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Familien- und Gewerbegemeinde mit Gemeinschaftsprofil   ·   DYN3 + F3(3) + F6.1(2) + F9(1)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G3 · DYN4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F6.2 Wissen/Innovation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F5 Kleinhaushalte, F7 Kultur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Wachsende Arbeitsplatz- und Innovationsgemeinde   ·   DYN4 + F6.2(3) + F5(2) + F7(1)</w:t>
            </w:r>
          </w:p>
        </w:tc>
      </w:tr>
      <w:tr>
        <w:trPr>
          <w:cantSplit/>
        </w:trPr>
        <w:tc>
          <w:tcPr>
            <w:tcW w:type="dxa" w:w="1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G4 · DYN3</w:t>
            </w:r>
          </w:p>
        </w:tc>
        <w:tc>
          <w:tcPr>
            <w:tcW w:type="dxa" w:w="23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Preisgünstiger Wohnraum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F4 Senioren, F7 Kultur</w:t>
            </w:r>
          </w:p>
        </w:tc>
        <w:tc>
          <w:tcPr>
            <w:tcW w:type="dxa" w:w="3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Durchmischte, sorgende Wohngemeinde   ·   DYN3 + F1(3) + F4(2) + F7(1)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G5 · DYN2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F10.1 Tourismus (Tagesgäste)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F7 Kultur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Ausflugs- und Kulturgemeinde   ·   DYN2 + F10.1(3) + F7(2)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Referenzsystem G2 · Mengenkennzahlen (Beispiel, Platzhalter)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450"/>
        <w:gridCol w:w="1250"/>
        <w:gridCol w:w="1500"/>
        <w:gridCol w:w="1500"/>
        <w:gridCol w:w="3210"/>
      </w:tblGrid>
      <w:tr>
        <w:trPr>
          <w:tblHeader/>
        </w:trPr>
        <w:tc>
          <w:tcPr>
            <w:tcW w:type="dxa" w:w="24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Kennzahl</w:t>
            </w:r>
          </w:p>
        </w:tc>
        <w:tc>
          <w:tcPr>
            <w:tcW w:type="dxa" w:w="12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IST 2025</w:t>
            </w:r>
          </w:p>
        </w:tc>
        <w:tc>
          <w:tcPr>
            <w:tcW w:type="dxa" w:w="150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R-stat 2045</w:t>
            </w:r>
          </w:p>
        </w:tc>
        <w:tc>
          <w:tcPr>
            <w:tcW w:type="dxa" w:w="150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R-trend (Sens.)</w:t>
            </w:r>
          </w:p>
        </w:tc>
        <w:tc>
          <w:tcPr>
            <w:tcW w:type="dxa" w:w="321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R-plan-Korridor</w:t>
            </w:r>
          </w:p>
        </w:tc>
      </w:tr>
      <w:tr>
        <w:trPr>
          <w:cantSplit/>
        </w:trPr>
        <w:tc>
          <w:tcPr>
            <w:tcW w:type="dxa" w:w="2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Einwohner</w:t>
            </w:r>
          </w:p>
        </w:tc>
        <w:tc>
          <w:tcPr>
            <w:tcW w:type="dxa" w:w="12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6'000</w:t>
            </w:r>
          </w:p>
        </w:tc>
        <w:tc>
          <w:tcPr>
            <w:tcW w:type="dxa" w:w="15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6'800</w:t>
            </w:r>
          </w:p>
        </w:tc>
        <w:tc>
          <w:tcPr>
            <w:tcW w:type="dxa" w:w="15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7'200</w:t>
            </w:r>
          </w:p>
        </w:tc>
        <w:tc>
          <w:tcPr>
            <w:tcW w:type="dxa" w:w="32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P-A bis ~6'700; darüber P-B</w:t>
            </w:r>
          </w:p>
        </w:tc>
      </w:tr>
      <w:tr>
        <w:trPr>
          <w:cantSplit/>
        </w:trPr>
        <w:tc>
          <w:tcPr>
            <w:tcW w:type="dxa" w:w="2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Arbeitsplätze</w:t>
            </w:r>
          </w:p>
        </w:tc>
        <w:tc>
          <w:tcPr>
            <w:tcW w:type="dxa" w:w="12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1'500</w:t>
            </w:r>
          </w:p>
        </w:tc>
        <w:tc>
          <w:tcPr>
            <w:tcW w:type="dxa" w:w="15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1'700</w:t>
            </w:r>
          </w:p>
        </w:tc>
        <w:tc>
          <w:tcPr>
            <w:tcW w:type="dxa" w:w="15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1'800</w:t>
            </w:r>
          </w:p>
        </w:tc>
        <w:tc>
          <w:tcPr>
            <w:tcW w:type="dxa" w:w="321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Gewerbezone Ost aktivierbar (P-A/P-B)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G2 · Zielwerte und getrennte Wirkungszuordnung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450"/>
        <w:gridCol w:w="1500"/>
        <w:gridCol w:w="1650"/>
        <w:gridCol w:w="4310"/>
      </w:tblGrid>
      <w:tr>
        <w:trPr>
          <w:tblHeader/>
        </w:trPr>
        <w:tc>
          <w:tcPr>
            <w:tcW w:type="dxa" w:w="24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Kennzahl</w:t>
            </w:r>
          </w:p>
        </w:tc>
        <w:tc>
          <w:tcPr>
            <w:tcW w:type="dxa" w:w="150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G2-Ziel 2045</w:t>
            </w:r>
          </w:p>
        </w:tc>
        <w:tc>
          <w:tcPr>
            <w:tcW w:type="dxa" w:w="16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Mengenwirkung (DYN) ggü R-stat</w:t>
            </w:r>
          </w:p>
        </w:tc>
        <w:tc>
          <w:tcPr>
            <w:tcW w:type="dxa" w:w="431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Struktur- / Bedarfs- / C-Zuordnung</w:t>
            </w:r>
          </w:p>
        </w:tc>
      </w:tr>
      <w:tr>
        <w:tc>
          <w:tcPr>
            <w:gridSpan w:val="4"/>
            <w:shd w:fill="DCE1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pacing w:val="22"/>
                <w:sz w:val="14"/>
                <w:szCs w:val="14"/>
              </w:rPr>
              <w:t xml:space="preserve">M · MENGE</w:t>
            </w:r>
          </w:p>
        </w:tc>
      </w:tr>
      <w:tr>
        <w:trPr>
          <w:cantSplit/>
        </w:trPr>
        <w:tc>
          <w:tcPr>
            <w:tcW w:type="dxa" w:w="2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Einwohner</w:t>
            </w:r>
          </w:p>
        </w:tc>
        <w:tc>
          <w:tcPr>
            <w:tcW w:type="dxa" w:w="15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7'000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+200</w:t>
            </w:r>
          </w:p>
        </w:tc>
        <w:tc>
          <w:tcPr>
            <w:tcW w:type="dxa" w:w="43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Mengenwahl DYN3 (P-B-Etappe konditional)</w:t>
            </w:r>
          </w:p>
        </w:tc>
      </w:tr>
      <w:tr>
        <w:trPr>
          <w:cantSplit/>
        </w:trPr>
        <w:tc>
          <w:tcPr>
            <w:tcW w:type="dxa" w:w="2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Arbeitsplätze</w:t>
            </w:r>
          </w:p>
        </w:tc>
        <w:tc>
          <w:tcPr>
            <w:tcW w:type="dxa" w:w="15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2'300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+600</w:t>
            </w:r>
          </w:p>
        </w:tc>
        <w:tc>
          <w:tcPr>
            <w:tcW w:type="dxa" w:w="431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Modulwirkung F6.1 (Struktur A2), nicht DYN</w:t>
            </w:r>
          </w:p>
        </w:tc>
      </w:tr>
      <w:tr>
        <w:tc>
          <w:tcPr>
            <w:gridSpan w:val="4"/>
            <w:shd w:fill="DCE1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pacing w:val="22"/>
                <w:sz w:val="14"/>
                <w:szCs w:val="14"/>
              </w:rPr>
              <w:t xml:space="preserve">S · STRUKTUR (MODULE, KEINE DYN-MENGE)</w:t>
            </w:r>
          </w:p>
        </w:tc>
      </w:tr>
      <w:tr>
        <w:trPr>
          <w:cantSplit/>
        </w:trPr>
        <w:tc>
          <w:tcPr>
            <w:tcW w:type="dxa" w:w="2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Anteil Familienwohnungen</w:t>
            </w:r>
          </w:p>
        </w:tc>
        <w:tc>
          <w:tcPr>
            <w:tcW w:type="dxa" w:w="15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≥ 45 %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43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Lead F3 (Merkmalsmatrix mit F1/F4)</w:t>
            </w:r>
          </w:p>
        </w:tc>
      </w:tr>
      <w:tr>
        <w:trPr>
          <w:cantSplit/>
        </w:trPr>
        <w:tc>
          <w:tcPr>
            <w:tcW w:type="dxa" w:w="2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Vereine je 1'000 EW</w:t>
            </w:r>
          </w:p>
        </w:tc>
        <w:tc>
          <w:tcPr>
            <w:tcW w:type="dxa" w:w="15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431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Lead F9; Zusatzbedarf aus F3 = induziert</w:t>
            </w:r>
          </w:p>
        </w:tc>
      </w:tr>
      <w:tr>
        <w:tc>
          <w:tcPr>
            <w:gridSpan w:val="4"/>
            <w:shd w:fill="DCE1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pacing w:val="22"/>
                <w:sz w:val="14"/>
                <w:szCs w:val="14"/>
              </w:rPr>
              <w:t xml:space="preserve">L · LEISTUNG / INDUZIERTER BEDARF (B)</w:t>
            </w:r>
          </w:p>
        </w:tc>
      </w:tr>
      <w:tr>
        <w:trPr>
          <w:cantSplit/>
        </w:trPr>
        <w:tc>
          <w:tcPr>
            <w:tcW w:type="dxa" w:w="2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Schulplätze</w:t>
            </w:r>
          </w:p>
        </w:tc>
        <w:tc>
          <w:tcPr>
            <w:tcW w:type="dxa" w:w="15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+6 Klassen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43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induziert aus F3/DYN (kein A-Nutzen)</w:t>
            </w:r>
          </w:p>
        </w:tc>
      </w:tr>
      <w:tr>
        <w:trPr>
          <w:cantSplit/>
        </w:trPr>
        <w:tc>
          <w:tcPr>
            <w:tcW w:type="dxa" w:w="2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Sportfläche (m²/EW)</w:t>
            </w:r>
          </w:p>
        </w:tc>
        <w:tc>
          <w:tcPr>
            <w:tcW w:type="dxa" w:w="15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4.0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431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Versorgungsstandard (nicht DYN-Menge)</w:t>
            </w:r>
          </w:p>
        </w:tc>
      </w:tr>
      <w:tr>
        <w:tc>
          <w:tcPr>
            <w:gridSpan w:val="4"/>
            <w:shd w:fill="DCE1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pacing w:val="22"/>
                <w:sz w:val="14"/>
                <w:szCs w:val="14"/>
              </w:rPr>
              <w:t xml:space="preserve">C · INSTITUTIONELL (MEHRPERIODISCH)</w:t>
            </w:r>
          </w:p>
        </w:tc>
      </w:tr>
      <w:tr>
        <w:trPr>
          <w:cantSplit/>
        </w:trPr>
        <w:tc>
          <w:tcPr>
            <w:tcW w:type="dxa" w:w="24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Investitionen kumuliert, CHF Mio</w:t>
            </w:r>
          </w:p>
        </w:tc>
        <w:tc>
          <w:tcPr>
            <w:tcW w:type="dxa" w:w="15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55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431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C1; Gate-Prüfung je Periode (Kap. 18)</w:t>
            </w:r>
          </w:p>
        </w:tc>
      </w:tr>
      <w:tr>
        <w:trPr>
          <w:cantSplit/>
        </w:trPr>
        <w:tc>
          <w:tcPr>
            <w:tcW w:type="dxa" w:w="24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Betriebskosten p. a., CHF Mio</w:t>
            </w:r>
          </w:p>
        </w:tc>
        <w:tc>
          <w:tcPr>
            <w:tcW w:type="dxa" w:w="15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+0.9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–</w:t>
            </w:r>
          </w:p>
        </w:tc>
        <w:tc>
          <w:tcPr>
            <w:tcW w:type="dxa" w:w="431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C1 Folgewirkung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GETRENNTE LESART VON G2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Die Mengenwirkung «+200 Einwohner ggü R-stat» ist ausschliesslich Folge der DYN-Wahl. Das überdurchschnittliche Arbeitsplatzwachstum ist Struktur­wirkung des Moduls F6.1, nicht der Mengendynamik. Schulraum und Sportfläche sind induzierter Bedarf bzw. Leistungsstandard – keine zweiten A-Nutzen. Bandbreiten werden aus einem dokumentierten Tief-/Basis-/Hoch-Szenario abgeleitet (Referenz, Trendfehler, Realisierungsquote, Marktaufnahme, Belegung, Kosten, Zeitverzug), nicht um einen Punktwert gelegt.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18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Räumliche Übersetzung und mehrperiodische institutionelle Wirkung (Beispiel G2)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Jede B-Massnahme verweist auf einen Befund aus Teil II: B-IST → strategischer Bedarf → Standortwahl → Massnahme → Kapazitätswirkung → Restlücke. C wird über mehrere Perioden geprüft.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900"/>
        <w:gridCol w:w="7010"/>
      </w:tblGrid>
      <w:tr>
        <w:trPr>
          <w:tblHeader/>
        </w:trPr>
        <w:tc>
          <w:tcPr>
            <w:tcW w:type="dxa" w:w="29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0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B-IST-Befund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Mobilisierbares Innenentwicklungspotenzial ~700 EW (Kap. 10.3); Schulkapazität +400 EW; ÖV-Güteklasse C.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Strategische Anforderung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DYN3 (Mengenkorridor); Haupt F3, Neben F6.1/F9; Struktur- und Leistungsziele Kap. 17.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Planungsstatus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1. Etappe P-A (Innenentwicklung/Reserven); 2. Etappe P-B (Nutzungsplanrevision, konditional, erneuter 15-Jahres-Bedarfsnachweis).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Standortentscheid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Feld West (Familienwohnen), Gewerbezone Ost (F6.1), Schulareal/Mehrzweckhalle (F3/F9) – begründet über Erschliessung und Eigentum.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Kapazitätsbilanz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realisierbares Potenzial + konditionale Transformation = Zielmenge; Realisierungsquote 0.9, Belegung 2.2 (M7).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Q-Prüfung (Vorrang)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Q1 Innen vor Einzonung; Q2 kein FFF-Verlust; Q5 Gestaltungsplan Feld West; Q6 Areale als integrierte Gesamtlösung mit klarer Trägerschaft (nicht fragmentiert) – Schwelle vor B-Ausgestaltung.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Restlücke / Risiko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Realisierungsrisiko konditionale Etappe; Timing Schulausbau vor 2. Etappe.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Mehrperiodische C1-Tragfähigkeit (Gate je Periode)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700"/>
        <w:gridCol w:w="1650"/>
        <w:gridCol w:w="1650"/>
        <w:gridCol w:w="1650"/>
        <w:gridCol w:w="3260"/>
      </w:tblGrid>
      <w:tr>
        <w:trPr>
          <w:tblHeader/>
        </w:trPr>
        <w:tc>
          <w:tcPr>
            <w:tcW w:type="dxa" w:w="170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Periode</w:t>
            </w:r>
          </w:p>
        </w:tc>
        <w:tc>
          <w:tcPr>
            <w:tcW w:type="dxa" w:w="16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Nettoinvest. Mio</w:t>
            </w:r>
          </w:p>
        </w:tc>
        <w:tc>
          <w:tcPr>
            <w:tcW w:type="dxa" w:w="16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Selbstfin.-grad</w:t>
            </w:r>
          </w:p>
        </w:tc>
        <w:tc>
          <w:tcPr>
            <w:tcW w:type="dxa" w:w="165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Nettoversch./EW</w:t>
            </w:r>
          </w:p>
        </w:tc>
        <w:tc>
          <w:tcPr>
            <w:tcW w:type="dxa" w:w="3260"/>
            <w:shd w:fill="2E30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Gate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2030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≥ 60 %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steigend</w:t>
            </w:r>
          </w:p>
        </w:tc>
        <w:tc>
          <w:tcPr>
            <w:tcW w:type="dxa" w:w="32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erfüllt (Erwerbs-/Planungsphase)</w:t>
            </w:r>
          </w:p>
        </w:tc>
      </w:tr>
      <w:tr>
        <w:trPr>
          <w:cantSplit/>
        </w:trPr>
        <w:tc>
          <w:tcPr>
            <w:tcW w:type="dxa" w:w="17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2035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22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≥ 55 %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Spitze</w:t>
            </w:r>
          </w:p>
        </w:tc>
        <w:tc>
          <w:tcPr>
            <w:tcW w:type="dxa" w:w="32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kritisch – Etappierung/Vorfinanzierung prüfen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2040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≥ 70 %</w:t>
            </w:r>
          </w:p>
        </w:tc>
        <w:tc>
          <w:tcPr>
            <w:tcW w:type="dxa" w:w="165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sinkend</w:t>
            </w:r>
          </w:p>
        </w:tc>
        <w:tc>
          <w:tcPr>
            <w:tcW w:type="dxa" w:w="3260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erfüllt</w:t>
            </w:r>
          </w:p>
        </w:tc>
      </w:tr>
      <w:tr>
        <w:trPr>
          <w:cantSplit/>
        </w:trPr>
        <w:tc>
          <w:tcPr>
            <w:tcW w:type="dxa" w:w="170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2045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≥ 80 %</w:t>
            </w:r>
          </w:p>
        </w:tc>
        <w:tc>
          <w:tcPr>
            <w:tcW w:type="dxa" w:w="165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konsolidiert</w:t>
            </w:r>
          </w:p>
        </w:tc>
        <w:tc>
          <w:tcPr>
            <w:tcW w:type="dxa" w:w="3260"/>
            <w:shd w:fill="F3F4F6" w:color="auto" w:val="clear"/>
            <w:tcMar>
              <w:top w:type="dxa" w:w="46"/>
              <w:left w:type="dxa" w:w="90"/>
              <w:bottom w:type="dxa" w:w="46"/>
              <w:right w:type="dxa" w:w="90"/>
            </w:tcMar>
            <w:vAlign w:val="center"/>
          </w:tcPr>
          <w:p>
            <w:pPr>
              <w:spacing w:after="0" w:line="22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erfüllt</w:t>
            </w:r>
          </w:p>
        </w:tc>
      </w:tr>
    </w:tbl>
    <w:p>
      <w:pPr>
        <w:keepNext w:val="false"/>
        <w:spacing w:after="80" w:before="0" w:line="264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5"/>
          <w:szCs w:val="15"/>
        </w:rPr>
        <w:t xml:space="preserve">Die Investitionsspitze 2035 ist der bindende Engpass, nicht der gute Endwert 2045 – die Gate-Regel erzwingt hier Etappierung oder Vorfinanzierung. Modell-/Platzhalterwerte.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B-BENCHMARK ≠ STANDORTANALYSE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Der Peer-Benchmark liefert Kontext (relative Dichte, Reserven), entscheidet aber nicht, WO entwickelt wird. Dafür sind parzellenscharfe Potenziale, Mobilisierbarkeit, Eigentum, Erschliessung, Schutz-/Risikolage, Infrastrukturkapazität und Q-Prüfung massgeblich (lokale GIS-Analyse, Folge-LP).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19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Entscheidungsgrundlagen, Monitoring und Revisionspunkte</w:t>
      </w:r>
    </w:p>
    <w:p>
      <w:pPr>
        <w:keepNext/>
        <w:spacing w:after="120" w:line="248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8"/>
          <w:szCs w:val="18"/>
        </w:rPr>
        <w:t xml:space="preserve">Luucy-Szenen beruhen auf denselben Mengen- und Flächenannahmen wie die Tabellen. Platzhalter.</w:t>
      </w:r>
    </w:p>
    <w:p>
      <w:pPr>
        <w:spacing w:after="4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55"/>
        <w:gridCol w:w="200"/>
        <w:gridCol w:w="4855"/>
      </w:tblGrid>
      <w:tr>
        <w:tc>
          <w:tcPr>
            <w:tcW w:type="dxa" w:w="4855"/>
            <w:tcBorders>
              <w:top w:val="dashed" w:color="9AA3AD" w:sz="6"/>
              <w:left w:val="dashed" w:color="9AA3AD" w:sz="6"/>
              <w:bottom w:val="dashed" w:color="9AA3AD" w:sz="6"/>
              <w:right w:val="dashed" w:color="9AA3AD" w:sz="6"/>
            </w:tcBorders>
            <w:shd w:fill="E9ECE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1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F66"/>
                <w:spacing w:val="20"/>
                <w:sz w:val="13"/>
                <w:szCs w:val="13"/>
              </w:rPr>
              <w:t xml:space="preserve">LUUCY · PLATZHALTER</w:t>
            </w:r>
          </w:p>
          <w:p>
            <w:pPr>
              <w:spacing w:after="3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9"/>
                <w:sz w:val="48"/>
                <w:szCs w:val="48"/>
              </w:rPr>
              <w:t xml:space="preserve">⬚</w:t>
            </w:r>
          </w:p>
          <w:p>
            <w:pPr>
              <w:spacing w:after="13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D"/>
                <w:sz w:val="14"/>
                <w:szCs w:val="14"/>
              </w:rPr>
              <w:t xml:space="preserve">3D-Szene folgt</w:t>
            </w:r>
          </w:p>
          <w:p>
            <w:pPr>
              <w:spacing w:after="26" w:line="23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6"/>
                <w:szCs w:val="16"/>
              </w:rPr>
              <w:t xml:space="preserve">G1 · DYN2 · G0+F8</w:t>
            </w:r>
          </w:p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4"/>
                <w:szCs w:val="14"/>
              </w:rPr>
              <w:t xml:space="preserve">Bestand, Bachraum, Sporthalle am Schulareal.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55"/>
            <w:tcBorders>
              <w:top w:val="dashed" w:color="9AA3AD" w:sz="6"/>
              <w:left w:val="dashed" w:color="9AA3AD" w:sz="6"/>
              <w:bottom w:val="dashed" w:color="9AA3AD" w:sz="6"/>
              <w:right w:val="dashed" w:color="9AA3AD" w:sz="6"/>
            </w:tcBorders>
            <w:shd w:fill="E9ECE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1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F66"/>
                <w:spacing w:val="20"/>
                <w:sz w:val="13"/>
                <w:szCs w:val="13"/>
              </w:rPr>
              <w:t xml:space="preserve">LUUCY · PLATZHALTER</w:t>
            </w:r>
          </w:p>
          <w:p>
            <w:pPr>
              <w:spacing w:after="3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9"/>
                <w:sz w:val="48"/>
                <w:szCs w:val="48"/>
              </w:rPr>
              <w:t xml:space="preserve">⬚</w:t>
            </w:r>
          </w:p>
          <w:p>
            <w:pPr>
              <w:spacing w:after="13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D"/>
                <w:sz w:val="14"/>
                <w:szCs w:val="14"/>
              </w:rPr>
              <w:t xml:space="preserve">3D-Szene folgt</w:t>
            </w:r>
          </w:p>
          <w:p>
            <w:pPr>
              <w:spacing w:after="26" w:line="23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6"/>
                <w:szCs w:val="16"/>
              </w:rPr>
              <w:t xml:space="preserve">G2 · DYN3 · F3+F6.1+F9</w:t>
            </w:r>
          </w:p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4"/>
                <w:szCs w:val="14"/>
              </w:rPr>
              <w:t xml:space="preserve">Feld West (Familien), Gewerbezone Ost, Mehrzweckhalle.</w:t>
            </w:r>
          </w:p>
        </w:tc>
      </w:tr>
    </w:tbl>
    <w:p>
      <w:pPr>
        <w:spacing w:after="12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55"/>
        <w:gridCol w:w="200"/>
        <w:gridCol w:w="4855"/>
      </w:tblGrid>
      <w:tr>
        <w:tc>
          <w:tcPr>
            <w:tcW w:type="dxa" w:w="4855"/>
            <w:tcBorders>
              <w:top w:val="dashed" w:color="9AA3AD" w:sz="6"/>
              <w:left w:val="dashed" w:color="9AA3AD" w:sz="6"/>
              <w:bottom w:val="dashed" w:color="9AA3AD" w:sz="6"/>
              <w:right w:val="dashed" w:color="9AA3AD" w:sz="6"/>
            </w:tcBorders>
            <w:shd w:fill="E9ECE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1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F66"/>
                <w:spacing w:val="20"/>
                <w:sz w:val="13"/>
                <w:szCs w:val="13"/>
              </w:rPr>
              <w:t xml:space="preserve">LUUCY · PLATZHALTER</w:t>
            </w:r>
          </w:p>
          <w:p>
            <w:pPr>
              <w:spacing w:after="3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9"/>
                <w:sz w:val="48"/>
                <w:szCs w:val="48"/>
              </w:rPr>
              <w:t xml:space="preserve">⬚</w:t>
            </w:r>
          </w:p>
          <w:p>
            <w:pPr>
              <w:spacing w:after="13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D"/>
                <w:sz w:val="14"/>
                <w:szCs w:val="14"/>
              </w:rPr>
              <w:t xml:space="preserve">3D-Szene folgt</w:t>
            </w:r>
          </w:p>
          <w:p>
            <w:pPr>
              <w:spacing w:after="26" w:line="23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6"/>
                <w:szCs w:val="16"/>
              </w:rPr>
              <w:t xml:space="preserve">G3 · DYN4 · F6.2+F5+F7</w:t>
            </w:r>
          </w:p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4"/>
                <w:szCs w:val="14"/>
              </w:rPr>
              <w:t xml:space="preserve">Innovationscluster, urbane Kleinwohnungen, Kulturhaus.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855"/>
            <w:tcBorders>
              <w:top w:val="dashed" w:color="9AA3AD" w:sz="6"/>
              <w:left w:val="dashed" w:color="9AA3AD" w:sz="6"/>
              <w:bottom w:val="dashed" w:color="9AA3AD" w:sz="6"/>
              <w:right w:val="dashed" w:color="9AA3AD" w:sz="6"/>
            </w:tcBorders>
            <w:shd w:fill="E9ECEF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11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F66"/>
                <w:spacing w:val="20"/>
                <w:sz w:val="13"/>
                <w:szCs w:val="13"/>
              </w:rPr>
              <w:t xml:space="preserve">LUUCY · PLATZHALTER</w:t>
            </w:r>
          </w:p>
          <w:p>
            <w:pPr>
              <w:spacing w:after="3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8C0C9"/>
                <w:sz w:val="48"/>
                <w:szCs w:val="48"/>
              </w:rPr>
              <w:t xml:space="preserve">⬚</w:t>
            </w:r>
          </w:p>
          <w:p>
            <w:pPr>
              <w:spacing w:after="13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9AA3AD"/>
                <w:sz w:val="14"/>
                <w:szCs w:val="14"/>
              </w:rPr>
              <w:t xml:space="preserve">3D-Szene folgt</w:t>
            </w:r>
          </w:p>
          <w:p>
            <w:pPr>
              <w:spacing w:after="26" w:line="23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6"/>
                <w:szCs w:val="16"/>
              </w:rPr>
              <w:t xml:space="preserve">G5 · DYN2 · F10.1+F7</w:t>
            </w:r>
          </w:p>
          <w:p>
            <w:pPr>
              <w:spacing w:after="0" w:line="2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4"/>
                <w:szCs w:val="14"/>
              </w:rPr>
              <w:t xml:space="preserve">Altstadt/Attraktion, Besucherlenkung, Kulturangebot.</w:t>
            </w:r>
          </w:p>
        </w:tc>
      </w:tr>
    </w:tbl>
    <w:p>
      <w:pPr>
        <w:spacing w:after="120"/>
      </w:pP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Entscheidungsblatt je Gesamtstrategievariante (Vorlage)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900"/>
        <w:gridCol w:w="7010"/>
      </w:tblGrid>
      <w:tr>
        <w:trPr>
          <w:tblHeader/>
        </w:trPr>
        <w:tc>
          <w:tcPr>
            <w:tcW w:type="dxa" w:w="29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0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 · Haupt · Neben · Reichweite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Kurzcode mit Gewichten (z. B. DYN3 + F3(3) + F6.1(2) + F9(1))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Mengen- / Struktur- / Leistungsziele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getrennt ausgewiesen (M/S/L), Bandbreiten aus Tief-/Basis-/Hoch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Mengenwirkung ggü R-stat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DYN-Anteil, getrennt von Struktur-/Bedarfswirkung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Planungsstatus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P-A / P-B / P-C je Etappe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C-Gate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Tragfähigkeit je Periode 2030–2045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Q-Vorrangprüfung (inkl. Q6)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Ergebnis- und Prozessschwellen erfüllt / Umgestaltung nötig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Chancen / Risiken / Restlücken</w:t>
            </w:r>
          </w:p>
        </w:tc>
        <w:tc>
          <w:tcPr>
            <w:tcW w:type="dxa" w:w="70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inkl. Etappierung und Entscheidungspunkten</w:t>
            </w:r>
          </w:p>
        </w:tc>
      </w:tr>
      <w:tr>
        <w:trPr>
          <w:cantSplit/>
        </w:trPr>
        <w:tc>
          <w:tcPr>
            <w:tcW w:type="dxa" w:w="29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Monitoring / Revisionspunkte</w:t>
            </w:r>
          </w:p>
        </w:tc>
        <w:tc>
          <w:tcPr>
            <w:tcW w:type="dxa" w:w="70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Soll-Ist-Prüfung, definierte Kurskorrekturen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Umsetzungs- und Übergabefeld (macht LP01 zum Portfoliosteuerer)</w:t>
      </w:r>
    </w:p>
    <w:p>
      <w:pPr>
        <w:keepNext w:val="false"/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Damit LP01 nicht bei einer sehr guten Studie endet, erhält jede Variante ein Übergabefeld, das den Auftrag an die Folgepakete konkretisiert.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600"/>
        <w:gridCol w:w="7310"/>
      </w:tblGrid>
      <w:tr>
        <w:trPr>
          <w:tblHeader/>
        </w:trPr>
        <w:tc>
          <w:tcPr>
            <w:tcW w:type="dxa" w:w="26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Folgepaket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Welches LP wird ausgelöst?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Auslöser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Welcher Befund, welches Modul oder welche Restlücke?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Eintrittskriterium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Was muss vor Paketstart beschlossen oder vorhanden sein?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Ergebnis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Welches konkrete Artefakt liefert das Folgepaket?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Federführung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Politik, Verwaltung, Fachstelle, Region oder Partner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Zeitpunkt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sofort · erste Etappe · spätere Etappe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Gate</w:t>
            </w:r>
          </w:p>
        </w:tc>
        <w:tc>
          <w:tcPr>
            <w:tcW w:type="dxa" w:w="73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Welcher Entscheid beendet bzw. startet die nächste Phase?</w:t>
            </w:r>
          </w:p>
        </w:tc>
      </w:tr>
      <w:tr>
        <w:trPr>
          <w:cantSplit/>
        </w:trPr>
        <w:tc>
          <w:tcPr>
            <w:tcW w:type="dxa" w:w="26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Abhängigkeiten</w:t>
            </w:r>
          </w:p>
        </w:tc>
        <w:tc>
          <w:tcPr>
            <w:tcW w:type="dxa" w:w="73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Welche anderen LP müssen vorher oder parallel laufen?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Auslösung der Folgepakete – Modul→Leistungspaket-Crosswalk</w:t>
      </w:r>
    </w:p>
    <w:p>
      <w:pPr>
        <w:keepNext w:val="false"/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LP01 erzeugt kein lineares LP01→LP09, sondern ein variantenabhängiges Umsetzungsportfolio: Je nach gewähltem Schwerpunkt werden unterschiedliche Folgepakete ausgelöst. Die Nummern sind Kennungen, keine Reihenfolge.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300"/>
        <w:gridCol w:w="6610"/>
      </w:tblGrid>
      <w:tr>
        <w:trPr>
          <w:tblHeader/>
        </w:trPr>
        <w:tc>
          <w:tcPr>
            <w:tcW w:type="dxa" w:w="33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LP01-Ergebnis / Schwerpunkt</w:t>
            </w:r>
          </w:p>
        </w:tc>
        <w:tc>
          <w:tcPr>
            <w:tcW w:type="dxa" w:w="66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Primäre Folgepakete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Planungsstatus P-B / P-C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LP02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preisgünstiger Wohnraum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LP03, LP07, ggf. LP02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F2 hochwertiges Wohnprofil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LP03, LP05, LP07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F3 Familien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LP03, LP04A, ggf. LP02/LP05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F4 Senioren und Sorge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LP03, LP04A, LP05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F5 Kleinhaushalte / junge Erwachsene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LP03, LP02, LP05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F6.1–F6.4 Wirtschaft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LP10A + LP02/LP04/LP05/LP06/LP07 (je Ausprägung)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F7 Kultur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LP04A, LP05, LP06, ggf. LP08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F8 Sport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LP04A, LP05, LP06, LP08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F9 Vereine / Gemeinschaft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LP04A, ggf. LP06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F10.1–F10.3 Tourismus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LP10B + LP04B/LP05/LP06/LP07/LP08 (je Ausprägung)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C2-Bodenlücke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LP07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Q6- / C4-Bestelllücke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LP08</w:t>
            </w:r>
          </w:p>
        </w:tc>
      </w:tr>
      <w:tr>
        <w:trPr>
          <w:cantSplit/>
        </w:trPr>
        <w:tc>
          <w:tcPr>
            <w:tcW w:type="dxa" w:w="33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C4-Verfahrenslücke</w:t>
            </w:r>
          </w:p>
        </w:tc>
        <w:tc>
          <w:tcPr>
            <w:tcW w:type="dxa" w:w="6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LP09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laufende Steuerung und Revision</w:t>
            </w:r>
          </w:p>
        </w:tc>
        <w:tc>
          <w:tcPr>
            <w:tcW w:type="dxa" w:w="6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LP01-M</w:t>
            </w:r>
          </w:p>
        </w:tc>
      </w:tr>
    </w:tbl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F6 UND F10 BRAUCHEN EINEN GESICHERTEN UMSETZUNGSPFAD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Die operative Wirtschafts- (F6) und Destinationsentwicklung (F10) wird nicht durch die räumlichen Pakete allein abgedeckt. Sie erfolgt über LP10 (Standort-, Wirtschafts- und Destinationsentwicklung) – intern oder über einen ausgewiesenen Fachpartner. F6/F10 sollten politisch nur als gleichwertige Optionen angeboten werden, wenn dieser Pfad gesichert ist.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Standardisierter politischer Entscheidungsprozess</w:t>
      </w:r>
    </w:p>
    <w:p>
      <w:pPr>
        <w:keepNext w:val="false"/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Die Methodik prüft datenbasiert, was möglich ist; der Entscheid bleibt politisch. Als verbindlicher Standard gehören dazu: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3000"/>
        <w:gridCol w:w="6910"/>
      </w:tblGrid>
      <w:tr>
        <w:trPr>
          <w:tblHeader/>
        </w:trPr>
        <w:tc>
          <w:tcPr>
            <w:tcW w:type="dxa" w:w="30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W w:type="dxa" w:w="69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Exekutivworkshops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Zielbild und Variantenverständnis in Gemeinderat/Exekutive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Öffentliche Mitwirkung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Zeitpunkt und Funktion früh festlegen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Ausgeschlossene Varianten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transparenter Umgang mit politisch verworfenen Optionen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Formeller Variantenentscheid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dokumentierte Auswahl einer Gesamtstrategievariante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Beschluss Zielkorridore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verbindliche Menge-/Struktur-/Leistungsbänder</w:t>
            </w:r>
          </w:p>
        </w:tc>
      </w:tr>
      <w:tr>
        <w:trPr>
          <w:cantSplit/>
        </w:trPr>
        <w:tc>
          <w:tcPr>
            <w:tcW w:type="dxa" w:w="30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Umsetzungsauftrag</w:t>
            </w:r>
          </w:p>
        </w:tc>
        <w:tc>
          <w:tcPr>
            <w:tcW w:type="dxa" w:w="69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Federführung und Verantwortlichkeiten je Folgepaket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Kommunikation von Zielkonflikten</w:t>
            </w:r>
          </w:p>
        </w:tc>
        <w:tc>
          <w:tcPr>
            <w:tcW w:type="dxa" w:w="6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offene Darstellung der Abwägungen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LP01-M · Strategieportfolio, Monitoring und Revision</w:t>
      </w:r>
    </w:p>
    <w:p>
      <w:pPr>
        <w:keepNext w:val="false"/>
        <w:spacing w:after="6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Für die «Eigenführung» der Gemeinde reicht ein einmaliger Strategiebericht nicht. LP01-M ist ein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wiederkehrendes Zusatzmodul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(jährlich/zweijährlich), kein neues Hauptpaket: laufende Soll-Ist-Prüfung, Fortschritts-/Wirkungskontrolle, Aktivierung der Folgepakete, Überprüfung der DYN- und Zielkorridore sowie periodische Strategierevision. Es hält die Gesamtstrategie über die Zeit steuerbar.</w:t>
      </w:r>
    </w:p>
    <w:p>
      <w:pPr>
        <w:spacing w:after="20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038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EB8C4"/>
                <w:spacing w:val="40"/>
                <w:sz w:val="16"/>
                <w:szCs w:val="16"/>
              </w:rPr>
              <w:t xml:space="preserve">METHODENANHANG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M1–M8</w:t>
            </w:r>
          </w:p>
        </w:tc>
      </w:tr>
    </w:tbl>
    <w:p>
      <w:pPr>
        <w:spacing w:after="120"/>
      </w:pP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650"/>
        <w:gridCol w:w="8260"/>
      </w:tblGrid>
      <w:tr>
        <w:trPr>
          <w:tblHeader/>
        </w:trPr>
        <w:tc>
          <w:tcPr>
            <w:tcW w:type="dxa" w:w="16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826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M1</w:t>
            </w:r>
          </w:p>
        </w:tc>
        <w:tc>
          <w:tcPr>
            <w:tcW w:type="dxa" w:w="8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Pflicht-, Erweiterungs- und Modulindikatoren; Indikatorenhandbuch (unten).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M2</w:t>
            </w:r>
          </w:p>
        </w:tc>
        <w:tc>
          <w:tcPr>
            <w:tcW w:type="dxa" w:w="8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Benchmark- und Vergleichsgruppenregeln (ARE-11 × BFS-2020 × Grösse; hierarchischer Rückfall).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M3</w:t>
            </w:r>
          </w:p>
        </w:tc>
        <w:tc>
          <w:tcPr>
            <w:tcW w:type="dxa" w:w="8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IST→Modul-Crosswalk und P/Plan/B/C→DYN-Korridor.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M4</w:t>
            </w:r>
          </w:p>
        </w:tc>
        <w:tc>
          <w:tcPr>
            <w:tcW w:type="dxa" w:w="8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Referenzkorridor (R-stat/R-trend/R-plan) und DYN-Kalibrierung.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M5</w:t>
            </w:r>
          </w:p>
        </w:tc>
        <w:tc>
          <w:tcPr>
            <w:tcW w:type="dxa" w:w="8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Modulinteraktionen und Indikatorverantwortung (Lead/induziert/Co-Benefit/Restriktion).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M6</w:t>
            </w:r>
          </w:p>
        </w:tc>
        <w:tc>
          <w:tcPr>
            <w:tcW w:type="dxa" w:w="8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Zielwerte (Menge/Struktur/Leistung) und Unsicherheitsfortpflanzung (Tief/Basis/Hoch).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M7</w:t>
            </w:r>
          </w:p>
        </w:tc>
        <w:tc>
          <w:tcPr>
            <w:tcW w:type="dxa" w:w="82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Räumliche Kapazitäts- und mehrperiodische C-Rechnung.</w:t>
            </w:r>
          </w:p>
        </w:tc>
      </w:tr>
      <w:tr>
        <w:trPr>
          <w:cantSplit/>
        </w:trPr>
        <w:tc>
          <w:tcPr>
            <w:tcW w:type="dxa" w:w="165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M8</w:t>
            </w:r>
          </w:p>
        </w:tc>
        <w:tc>
          <w:tcPr>
            <w:tcW w:type="dxa" w:w="826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Datenqualität, Pilotkalibrierung und Versionierung.</w:t>
            </w:r>
          </w:p>
        </w:tc>
      </w:tr>
    </w:tbl>
    <w:p>
      <w:pPr>
        <w:keepNext/>
        <w:pBdr>
          <w:bottom w:val="single" w:color="4C6079" w:sz="12" w:space="6"/>
        </w:pBdr>
        <w:spacing w:after="120" w:before="300" w:lin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4C6079"/>
          <w:sz w:val="26"/>
          <w:szCs w:val="26"/>
        </w:rPr>
        <w:t xml:space="preserve">M1 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6"/>
          <w:szCs w:val="26"/>
        </w:rPr>
        <w:t xml:space="preserve">Indikatoren- und Datenhandbuch</w:t>
      </w:r>
    </w:p>
    <w:p>
      <w:pPr>
        <w:keepNext w:val="false"/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Je Indikator: deskriptiver Vektor (Messwert, Zeittrend, Perzentilrang, Datenqualität, Unsicherheit) und Rolle (Pflicht P / erweitert E / modulbezogen M / Proxy / n. v.) sowie Zielrolle (Lead Outcome / induziert / Co-Benefit / Restriktion). Keine normative Richtung auf Ebene 1.</w:t>
      </w:r>
    </w:p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M1.1 Indikatorenkatalog (Auszug, mit Rolle)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2400"/>
        <w:gridCol w:w="1610"/>
      </w:tblGrid>
      <w:tr>
        <w:trPr>
          <w:tblHeader/>
        </w:trPr>
        <w:tc>
          <w:tcPr>
            <w:tcW w:type="dxa" w:w="25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Indikator</w:t>
            </w:r>
          </w:p>
        </w:tc>
        <w:tc>
          <w:tcPr>
            <w:tcW w:type="dxa" w:w="3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Definition / Quelle</w:t>
            </w:r>
          </w:p>
        </w:tc>
        <w:tc>
          <w:tcPr>
            <w:tcW w:type="dxa" w:w="240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Klasse</w:t>
            </w:r>
          </w:p>
        </w:tc>
        <w:tc>
          <w:tcPr>
            <w:tcW w:type="dxa" w:w="161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Rolle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Bevölkerungsstand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STATPOP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 Menge</w:t>
            </w:r>
          </w:p>
        </w:tc>
        <w:tc>
          <w:tcPr>
            <w:tcW w:type="dxa" w:w="1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Altersanteile 0–19/65+/80+</w:t>
            </w:r>
          </w:p>
        </w:tc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STATPOP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 Struktur</w:t>
            </w:r>
          </w:p>
        </w:tc>
        <w:tc>
          <w:tcPr>
            <w:tcW w:type="dxa" w:w="1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Arbeitsplatzdichte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STATENT+STATPOP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S/M</w:t>
            </w:r>
          </w:p>
        </w:tc>
        <w:tc>
          <w:tcPr>
            <w:tcW w:type="dxa" w:w="1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Leerwohnungsziffer (3-J.-Mittel)</w:t>
            </w:r>
          </w:p>
        </w:tc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Leerwohnungszählung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Diagnose</w:t>
            </w:r>
          </w:p>
        </w:tc>
        <w:tc>
          <w:tcPr>
            <w:tcW w:type="dxa" w:w="1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Wohnkostenbelastung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Erhebung/Proxy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Diagnose</w:t>
            </w:r>
          </w:p>
        </w:tc>
        <w:tc>
          <w:tcPr>
            <w:tcW w:type="dxa" w:w="1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 (F1)</w:t>
            </w:r>
          </w:p>
        </w:tc>
      </w:tr>
      <w:tr>
        <w:trPr>
          <w:cantSplit/>
        </w:trPr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Realisierbares Potenzial</w:t>
            </w:r>
          </w:p>
        </w:tc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GIS/Analyse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 Kapazität</w:t>
            </w:r>
          </w:p>
        </w:tc>
        <w:tc>
          <w:tcPr>
            <w:tcW w:type="dxa" w:w="1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Selbstfinanzierungsgrad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Finanzstatistik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16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25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Logiernächte/Tagesgäste</w:t>
            </w:r>
          </w:p>
        </w:tc>
        <w:tc>
          <w:tcPr>
            <w:tcW w:type="dxa" w:w="3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HESTA/kommunal</w:t>
            </w:r>
          </w:p>
        </w:tc>
        <w:tc>
          <w:tcPr>
            <w:tcW w:type="dxa" w:w="240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1610"/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 (F10)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M1.2 Normierung, Status und Reifegrad</w:t>
      </w:r>
    </w:p>
    <w:p>
      <w:pPr>
        <w:keepNext w:val="false"/>
        <w:spacing w:after="8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Perzentilbasierte Normierung auf 0–100 (robust), gefolgt von diagnostischem Status über feste zweiseitige Regeln; strategiebezogene Relevanz erst nach Modulwahl. Datenqualitätsstufen Q-A/Q-B/Q-C; Formeln, Bezugsjahre, Schwellen, Gewichte und Normierung versioniert.</w:t>
      </w: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single" w:color="4C6079" w:sz="24"/>
              <w:bottom w:val="none" w:color="FFFFFF" w:sz="0"/>
              <w:right w:val="none" w:color="FFFFFF" w:sz="0"/>
            </w:tcBorders>
            <w:shd w:fill="EAEEF2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pacing w:val="20"/>
                <w:sz w:val="16"/>
                <w:szCs w:val="16"/>
              </w:rPr>
              <w:t xml:space="preserve">METHODISCHER REIFEGRAD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B2F35"/>
                <w:sz w:val="18"/>
                <w:szCs w:val="18"/>
              </w:rPr>
              <w:t xml:space="preserve">Architektur und Berechnungsregeln sind reproduzierbar angelegt. Schwellenwerte, Effektannahmen und Unsicherheitsparameter sind vor operativer Anwendung im Pilot zu kalibrieren und zu validieren. Die Beispielzahlen sind Modell-/Platzhalterwerte und noch nicht statistisch hergeleitet.</w:t>
            </w:r>
          </w:p>
        </w:tc>
      </w:tr>
    </w:tbl>
    <w:p>
      <w:pPr>
        <w:spacing w:after="200"/>
      </w:pPr>
    </w:p>
    <w:tbl>
      <w:tblPr>
        <w:tblW w:type="dxa" w:w="99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10"/>
      </w:tblGrid>
      <w:tr>
        <w:tc>
          <w:tcPr>
            <w:tcW w:type="dxa" w:w="9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038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3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EB8C4"/>
                <w:spacing w:val="40"/>
                <w:sz w:val="16"/>
                <w:szCs w:val="16"/>
              </w:rPr>
              <w:t xml:space="preserve">ANHANG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Modul–B-Anschlussprofile (G0, F1–F10) und DYN</w:t>
            </w:r>
          </w:p>
        </w:tc>
      </w:tr>
    </w:tbl>
    <w:p>
      <w:pPr>
        <w:spacing w:after="120"/>
      </w:pPr>
    </w:p>
    <w:p>
      <w:pPr>
        <w:keepNext w:val="false"/>
        <w:spacing w:after="12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Standardisiertes Modul–B-Anschlussprofil (7 Felder) je Modul, in fünf Spalten. F6 und F10 werden über ihre Ausprägungen (F6.1–F6.4 bzw. F10.1–F10.3) konkretisiert; die räumlichen Bedarfe unterscheiden sich je Ausprägung. Nach Konfiguration einer Variante werden die betroffenen Profile zum räumlichen Gesamtprogramm zusammengeführt (Kap. 18).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550"/>
        <w:gridCol w:w="1150"/>
        <w:gridCol w:w="2570"/>
        <w:gridCol w:w="2620"/>
        <w:gridCol w:w="2020"/>
      </w:tblGrid>
      <w:tr>
        <w:trPr>
          <w:tblHeader/>
        </w:trPr>
        <w:tc>
          <w:tcPr>
            <w:tcW w:type="dxa" w:w="15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1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B-Dim.</w:t>
            </w:r>
          </w:p>
        </w:tc>
        <w:tc>
          <w:tcPr>
            <w:tcW w:type="dxa" w:w="257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Räuml. Bedarf / Logik</w:t>
            </w:r>
          </w:p>
        </w:tc>
        <w:tc>
          <w:tcPr>
            <w:tcW w:type="dxa" w:w="26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Quant. Übersetzung / Standort</w:t>
            </w:r>
          </w:p>
        </w:tc>
        <w:tc>
          <w:tcPr>
            <w:tcW w:type="dxa" w:w="20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Zielkonflikte / Leitplanken Q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G0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Profilkontinuität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Bestand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bestehende Qualitäten sichern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Bestandserhalt, gezielte Aufwertung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stabile Kernkennzahlen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bestehende Schwerpunkte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unbemerktem Erosionsdruck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Q1, Q5</w:t>
            </w:r>
          </w:p>
        </w:tc>
      </w:tr>
      <w:tr>
        <w:trPr>
          <w:cantSplit/>
        </w:trPr>
        <w:tc>
          <w:tcPr>
            <w:tcW w:type="dxa" w:w="15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F1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Preisgünstiger Wohnraum</w:t>
            </w:r>
          </w:p>
        </w:tc>
        <w:tc>
          <w:tcPr>
            <w:tcW w:type="dxa" w:w="11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B1·B4</w:t>
            </w:r>
          </w:p>
        </w:tc>
        <w:tc>
          <w:tcPr>
            <w:tcW w:type="dxa" w:w="257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preisgünstiger Wohnraum, Durchmischung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Wohnraumstrategie, quartiersbezogen</w:t>
            </w:r>
          </w:p>
        </w:tc>
        <w:tc>
          <w:tcPr>
            <w:tcW w:type="dxa" w:w="26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Anteil gemeinnütziger Whg, Preissegmente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verteilte, angebundene Lagen</w:t>
            </w:r>
          </w:p>
        </w:tc>
        <w:tc>
          <w:tcPr>
            <w:tcW w:type="dxa" w:w="20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F2; Verdrängung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Q1; Verteilungsprüfung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F2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Hochwertiges Wohnprofil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B6·B2·B1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hochwertige Wohnlagen, Lagequalität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qualitätsvolle, massvolle Entwicklung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hochwertige Whg, Freiraumanteil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Aussichts-/Ruhelagen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F1, Verdichtung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Q2, Q5 (streng)</w:t>
            </w:r>
          </w:p>
        </w:tc>
      </w:tr>
      <w:tr>
        <w:trPr>
          <w:cantSplit/>
        </w:trPr>
        <w:tc>
          <w:tcPr>
            <w:tcW w:type="dxa" w:w="15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F3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Familien und Nachwuchs</w:t>
            </w:r>
          </w:p>
        </w:tc>
        <w:tc>
          <w:tcPr>
            <w:tcW w:type="dxa" w:w="11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B1·B4·B3</w:t>
            </w:r>
          </w:p>
        </w:tc>
        <w:tc>
          <w:tcPr>
            <w:tcW w:type="dxa" w:w="257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Familienwohnungen, Schul-/Spielraum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familiengerechte Innenentwicklung</w:t>
            </w:r>
          </w:p>
        </w:tc>
        <w:tc>
          <w:tcPr>
            <w:tcW w:type="dxa" w:w="26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Wohnungen 3.5–4.5 Zi, Schulplätze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nahe Schule/ÖV</w:t>
            </w:r>
          </w:p>
        </w:tc>
        <w:tc>
          <w:tcPr>
            <w:tcW w:type="dxa" w:w="20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Premium-/Gewerbedruck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Q2 Freiraum, Q4 Hitze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F4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Senioren / Sorge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B4·B3·B1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altersgerechter Wohnraum, Pflege, kurze Wege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Innenentwicklung nah an Versorgung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Alterswohnungen, Pflegeplätze, ÖV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zentrums-/versorgungsnah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dichter Wachstumslogik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Q4 Hitze, Q1</w:t>
            </w:r>
          </w:p>
        </w:tc>
      </w:tr>
      <w:tr>
        <w:trPr>
          <w:cantSplit/>
        </w:trPr>
        <w:tc>
          <w:tcPr>
            <w:tcW w:type="dxa" w:w="15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F5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Kleinhaushalte / junge Erw.</w:t>
            </w:r>
          </w:p>
        </w:tc>
        <w:tc>
          <w:tcPr>
            <w:tcW w:type="dxa" w:w="11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B1·B3·B2</w:t>
            </w:r>
          </w:p>
        </w:tc>
        <w:tc>
          <w:tcPr>
            <w:tcW w:type="dxa" w:w="257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dichtes urbanes Wohnen, kleine Whg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hohe Innenverdichtung, ÖV-orientiert</w:t>
            </w:r>
          </w:p>
        </w:tc>
        <w:tc>
          <w:tcPr>
            <w:tcW w:type="dxa" w:w="26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hohe AZ, Wohnungsdichte, Modal-Split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ÖV-Knoten, Zentrumslagen</w:t>
            </w:r>
          </w:p>
        </w:tc>
        <w:tc>
          <w:tcPr>
            <w:tcW w:type="dxa" w:w="20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Ortsbild, Freiraum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Q5 Baukultur, Q2, Q4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F6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Arbeitsplätze / Wertschöpfung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B1·B3·(B5)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Flächen je Ausprägung (F6.1–F6.4)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Aktivierung/Entwicklung AP-Gebiete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Arbeitsplätze, Gewerbe-GF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je Ausprägung (KMU/Wissen/Prod./regional)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Verkehr, Emissionen vs. Wohnen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Q3, Q1</w:t>
            </w:r>
          </w:p>
        </w:tc>
      </w:tr>
      <w:tr>
        <w:trPr>
          <w:cantSplit/>
        </w:trPr>
        <w:tc>
          <w:tcPr>
            <w:tcW w:type="dxa" w:w="15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F7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Kultur und Begegnung</w:t>
            </w:r>
          </w:p>
        </w:tc>
        <w:tc>
          <w:tcPr>
            <w:tcW w:type="dxa" w:w="11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B6·B4·B3</w:t>
            </w:r>
          </w:p>
        </w:tc>
        <w:tc>
          <w:tcPr>
            <w:tcW w:type="dxa" w:w="257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Kultur-/Veranstaltungsräume, belebter Kern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Umnutzung/Aufwertung Kern</w:t>
            </w:r>
          </w:p>
        </w:tc>
        <w:tc>
          <w:tcPr>
            <w:tcW w:type="dxa" w:w="26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Kulturflächen, Besucher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Ortskern/Zentrum</w:t>
            </w:r>
          </w:p>
        </w:tc>
        <w:tc>
          <w:tcPr>
            <w:tcW w:type="dxa" w:w="20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Lärm/Verkehr vs. Wohnen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Q5, Q1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F8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Sport und Bewegung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B4·B2·B3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Sportanlagen/Hallen (je Reichweite grösser)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Ausbau/Bündelung; regional → Verkehr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Sportflächen m²/EW, Einzugsgebiet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siedlungsnah bis regional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regional: Verkehr, C1/C3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Q2, Q4</w:t>
            </w:r>
          </w:p>
        </w:tc>
      </w:tr>
      <w:tr>
        <w:trPr>
          <w:cantSplit/>
        </w:trPr>
        <w:tc>
          <w:tcPr>
            <w:tcW w:type="dxa" w:w="15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F9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Vereine und Gemeinschaft</w:t>
            </w:r>
          </w:p>
        </w:tc>
        <w:tc>
          <w:tcPr>
            <w:tcW w:type="dxa" w:w="11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B4·B6</w:t>
            </w:r>
          </w:p>
        </w:tc>
        <w:tc>
          <w:tcPr>
            <w:tcW w:type="dxa" w:w="257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Vereins-/Mehrzweckräume, Begegnung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Mehrfachnutzung, Bestandsaktivierung</w:t>
            </w:r>
          </w:p>
        </w:tc>
        <w:tc>
          <w:tcPr>
            <w:tcW w:type="dxa" w:w="26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Mehrzweckflächen, Vereinsplätze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Kern/Quartierzentren</w:t>
            </w:r>
          </w:p>
        </w:tc>
        <w:tc>
          <w:tcPr>
            <w:tcW w:type="dxa" w:w="20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gering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Q5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F10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Tourismus und Gästewirtschaft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B6·B4·B3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je Ausprägung (F10.1–F10.3)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Aufwertung/Lenkung; Beherbergung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Tagesgäste/Logiernächte, Kapazität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Attraktions-/Beherbergungslagen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Verkehr/Überlastung; C1/C3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Q5, Q2, Q4</w:t>
            </w:r>
          </w:p>
        </w:tc>
      </w:tr>
    </w:tbl>
    <w:p>
      <w:pPr>
        <w:keepNext/>
        <w:spacing w:after="90" w:before="180" w:line="2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3440"/>
          <w:sz w:val="22"/>
          <w:szCs w:val="22"/>
        </w:rPr>
        <w:t xml:space="preserve">DYN – Anschlussprofil (Menge und Tempo)</w:t>
      </w:r>
    </w:p>
    <w:tbl>
      <w:tblPr>
        <w:tblW w:type="dxa" w:w="9910"/>
        <w:tblBorders>
          <w:top w:val="single" w:color="C7CBD1" w:sz="4"/>
          <w:left w:val="single" w:color="C7CBD1" w:sz="4"/>
          <w:bottom w:val="single" w:color="C7CBD1" w:sz="4"/>
          <w:right w:val="single" w:color="C7CBD1" w:sz="4"/>
          <w:insideH w:val="single" w:color="auto" w:sz="4"/>
          <w:insideV w:val="single" w:color="auto" w:sz="4"/>
        </w:tblBorders>
      </w:tblPr>
      <w:tblGrid>
        <w:gridCol w:w="1550"/>
        <w:gridCol w:w="1150"/>
        <w:gridCol w:w="2570"/>
        <w:gridCol w:w="2620"/>
        <w:gridCol w:w="2020"/>
      </w:tblGrid>
      <w:tr>
        <w:trPr>
          <w:tblHeader/>
        </w:trPr>
        <w:tc>
          <w:tcPr>
            <w:tcW w:type="dxa" w:w="15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115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B-Dim.</w:t>
            </w:r>
          </w:p>
        </w:tc>
        <w:tc>
          <w:tcPr>
            <w:tcW w:type="dxa" w:w="257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Räuml. Bedarf / Logik</w:t>
            </w:r>
          </w:p>
        </w:tc>
        <w:tc>
          <w:tcPr>
            <w:tcW w:type="dxa" w:w="26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Quant. Übersetzung / Standort</w:t>
            </w:r>
          </w:p>
        </w:tc>
        <w:tc>
          <w:tcPr>
            <w:tcW w:type="dxa" w:w="2020"/>
            <w:shd w:fill="2E303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Zielkonflikte / Leitplanken Q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DYN1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Stabilisieren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B4·B1·B6</w:t>
            </w:r>
          </w:p>
        </w:tc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Grundversorgung sichern, Leerstand/Umnutzung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Bestandserhalt, Rückbau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Grundversorgungsschwellen, Leerstand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Kern/Zentrum sichern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Wachstumsannahmen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Q1, Q5</w:t>
            </w:r>
          </w:p>
        </w:tc>
      </w:tr>
      <w:tr>
        <w:trPr>
          <w:cantSplit/>
        </w:trPr>
        <w:tc>
          <w:tcPr>
            <w:tcW w:type="dxa" w:w="15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" w:lin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4"/>
                <w:szCs w:val="14"/>
              </w:rPr>
              <w:t xml:space="preserve">DYN4  </w:t>
            </w:r>
          </w:p>
          <w:p>
            <w:pPr>
              <w:spacing w:after="0" w:line="1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3"/>
                <w:szCs w:val="13"/>
              </w:rPr>
              <w:t xml:space="preserve">Skalieren</w:t>
            </w:r>
          </w:p>
        </w:tc>
        <w:tc>
          <w:tcPr>
            <w:tcW w:type="dxa" w:w="115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3440"/>
                <w:sz w:val="14"/>
                <w:szCs w:val="14"/>
              </w:rPr>
              <w:t xml:space="preserve">B1·B3·B4·B5</w:t>
            </w:r>
          </w:p>
        </w:tc>
        <w:tc>
          <w:tcPr>
            <w:tcW w:type="dxa" w:w="257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Bedarf: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Kapazität, Infrastruktur-Skalierung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Logik: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Innenentwicklung + etappierte Gebiete</w:t>
            </w:r>
          </w:p>
        </w:tc>
        <w:tc>
          <w:tcPr>
            <w:tcW w:type="dxa" w:w="26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Quant.: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Mengenkorridor, Schul-/Netzkapazität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Standort: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Entwicklungsschwerpunkte (Planungsstatus prüfen)</w:t>
            </w:r>
          </w:p>
        </w:tc>
        <w:tc>
          <w:tcPr>
            <w:tcW w:type="dxa" w:w="202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2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Konflikte: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mit Ortsbild, Landschaft, C-Tragbarkeit</w:t>
            </w:r>
          </w:p>
          <w:p>
            <w:pPr>
              <w:spacing w:after="0" w:line="20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4C6079"/>
                <w:sz w:val="13"/>
                <w:szCs w:val="13"/>
              </w:rPr>
              <w:t xml:space="preserve">Q: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4"/>
                <w:szCs w:val="14"/>
              </w:rPr>
              <w:t xml:space="preserve">Q1 (Innen vor Einzonung), Q2, Q3</w:t>
            </w:r>
          </w:p>
        </w:tc>
      </w:tr>
    </w:tbl>
    <w:p>
      <w:pPr>
        <w:keepNext w:val="false"/>
        <w:spacing w:after="60" w:before="100" w:line="264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A5F66"/>
          <w:sz w:val="15"/>
          <w:szCs w:val="15"/>
        </w:rPr>
        <w:t xml:space="preserve">DYN2 und DYN3 liegen zwischen diesen Polen. DYN bestimmt Menge und Tempo, die Module die Zusammensetzung; die von DYN gesetzte Gesamtmenge wird strukturell aufgeteilt, nicht addiert. Modell-/Arbeitsstände.</w:t>
      </w:r>
    </w:p>
    <w:p>
      <w:pPr>
        <w:pBdr>
          <w:top w:val="single" w:color="C7CBD1" w:sz="8" w:space="6"/>
        </w:pBdr>
        <w:spacing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F66"/>
          <w:sz w:val="15"/>
          <w:szCs w:val="15"/>
        </w:rPr>
        <w:t xml:space="preserve">Raumgleiter AG · Zürcherstrasse 39 · 8952 Schlieren · raumgleiter.com    ·    Grundlagendokument · Dimensionsraster &amp; RAG · Version 8 · Leistungspaket 01 · Entwurf August 2026 · vertraulich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2026-08-28T12:15:15.625Z</dcterms:created>
  <dcterms:modified xsi:type="dcterms:W3CDTF">2026-08-28T12:15:15.637Z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