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166"/>
      </w:tblGrid>
      <w:tr>
        <w:tc>
          <w:tcPr>
            <w:tcW w:type="dxa" w:w="10152"/>
            <w:shd w:fill="122033"/>
          </w:tcPr>
          <w:p>
            <w:pPr>
              <w:spacing w:before="360" w:after="360"/>
            </w:pPr>
            <w:r>
              <w:rPr>
                <w:rFonts w:ascii="Aptos Display" w:hAnsi="Aptos Display"/>
                <w:b/>
                <w:color w:val="18A7B5"/>
                <w:sz w:val="28"/>
              </w:rPr>
              <w:t>VIBECAD</w:t>
              <w:br/>
              <w:t>THE ACTIVE PUBLIC ROADMAP</w:t>
              <w:br/>
              <w:t>and the preserved engineering record</w:t>
            </w:r>
          </w:p>
        </w:tc>
      </w:tr>
    </w:tbl>
    <w:p>
      <w:pPr>
        <w:pStyle w:val="Subtitle"/>
      </w:pPr>
      <w:r>
        <w:t>A repository-grounded account of the active public boundary, current evidence, and the bounded roadmap to completion</w:t>
      </w:r>
    </w:p>
    <w:tbl>
      <w:tblPr>
        <w:tblW w:type="auto" w:w="0"/>
        <w:jc w:val="center"/>
        <w:tblLayout w:type="fixed"/>
        <w:tblLook w:firstColumn="1" w:firstRow="1" w:lastColumn="0" w:lastRow="0" w:noHBand="0" w:noVBand="1" w:val="04A0"/>
      </w:tblPr>
      <w:tblGrid>
        <w:gridCol w:w="1699"/>
        <w:gridCol w:w="8381"/>
      </w:tblGrid>
      <w:tr>
        <w:tc>
          <w:tcPr>
            <w:tcW w:type="dxa" w:w="5083"/>
            <w:vAlign w:val="center"/>
            <w:tcMar>
              <w:top w:w="90" w:type="dxa"/>
              <w:start w:w="110" w:type="dxa"/>
              <w:bottom w:w="90" w:type="dxa"/>
              <w:end w:w="110" w:type="dxa"/>
            </w:tcMar>
            <w:shd w:fill="176B87"/>
          </w:tcPr>
          <w:p>
            <w:pPr>
              <w:spacing w:after="0" w:line="252" w:lineRule="auto"/>
            </w:pPr>
            <w:r>
              <w:t>EVIDENCE BASIS</w:t>
            </w:r>
          </w:p>
        </w:tc>
        <w:tc>
          <w:tcPr>
            <w:tcW w:type="dxa" w:w="5083"/>
            <w:vAlign w:val="center"/>
            <w:tcMar>
              <w:top w:w="90" w:type="dxa"/>
              <w:start w:w="110" w:type="dxa"/>
              <w:bottom w:w="90" w:type="dxa"/>
              <w:end w:w="110" w:type="dxa"/>
            </w:tcMar>
            <w:shd w:fill="EAF4F6"/>
          </w:tcPr>
          <w:p>
            <w:pPr>
              <w:spacing w:after="0" w:line="252" w:lineRule="auto"/>
            </w:pPr>
            <w:r>
              <w:t>Canonical repository checkpoint 75917cf6; public roadmaps reconciled 29 August 2026; current working changes remain evidence-bounded until committed and reverified.</w:t>
            </w:r>
          </w:p>
        </w:tc>
      </w:tr>
    </w:tbl>
    <w:p>
      <w:pPr>
        <w:spacing w:after="0"/>
      </w:pPr>
    </w:p>
    <w:tbl>
      <w:tblPr>
        <w:tblW w:type="auto" w:w="0"/>
        <w:jc w:val="center"/>
        <w:tblLayout w:type="fixed"/>
        <w:tblLook w:firstColumn="1" w:firstRow="1" w:lastColumn="0" w:lastRow="0" w:noHBand="0" w:noVBand="1" w:val="04A0"/>
      </w:tblPr>
      <w:tblGrid>
        <w:gridCol w:w="1699"/>
        <w:gridCol w:w="8381"/>
      </w:tblGrid>
      <w:tr>
        <w:tc>
          <w:tcPr>
            <w:tcW w:type="dxa" w:w="5083"/>
            <w:vAlign w:val="center"/>
            <w:tcMar>
              <w:top w:w="90" w:type="dxa"/>
              <w:start w:w="110" w:type="dxa"/>
              <w:bottom w:w="90" w:type="dxa"/>
              <w:end w:w="110" w:type="dxa"/>
            </w:tcMar>
            <w:shd w:fill="18A7B5"/>
          </w:tcPr>
          <w:p>
            <w:pPr>
              <w:spacing w:after="0" w:line="252" w:lineRule="auto"/>
            </w:pPr>
            <w:r>
              <w:t>PUBLIC BOUNDARY</w:t>
            </w:r>
          </w:p>
        </w:tc>
        <w:tc>
          <w:tcPr>
            <w:tcW w:type="dxa" w:w="5083"/>
            <w:vAlign w:val="center"/>
            <w:tcMar>
              <w:top w:w="90" w:type="dxa"/>
              <w:start w:w="110" w:type="dxa"/>
              <w:bottom w:w="90" w:type="dxa"/>
              <w:end w:w="110" w:type="dxa"/>
            </w:tcMar>
            <w:shd w:fill="EAF4F6"/>
          </w:tcPr>
          <w:p>
            <w:pPr>
              <w:spacing w:after="0" w:line="252" w:lineRule="auto"/>
            </w:pPr>
            <w:r>
              <w:t>Active: exact visible development, current Native/FEM/Analysis dependencies, completion and retention of the current McMasterInsert slice, low-order Aero Steps 0-11, X1/X2/X4, and the bounded VC-DG-0 through VC-DG-6 exception. Retained and historical lanes remain supported or preserved without becoming release blockers.</w:t>
            </w:r>
          </w:p>
        </w:tc>
      </w:tr>
    </w:tbl>
    <w:p>
      <w:pPr>
        <w:spacing w:after="0"/>
      </w:pPr>
    </w:p>
    <w:p>
      <w:pPr>
        <w:spacing w:before="320"/>
      </w:pPr>
      <w:r>
        <w:rPr>
          <w:rFonts w:ascii="Aptos" w:hAnsi="Aptos"/>
          <w:b/>
          <w:color w:val="5C6B76"/>
          <w:sz w:val="20"/>
        </w:rPr>
        <w:t>Prepared 29 August 2026</w:t>
      </w:r>
    </w:p>
    <w:p>
      <w:r>
        <w:rPr>
          <w:i/>
        </w:rPr>
        <w:t>Canonical output: docs/reports/VibeCAD_Remaining_Roadmap_and_User_Experience.docx</w:t>
      </w:r>
    </w:p>
    <w:p>
      <w:r>
        <w:br w:type="page"/>
      </w:r>
    </w:p>
    <w:p>
      <w:pPr>
        <w:pStyle w:val="Heading1"/>
        <w:keepNext/>
      </w:pPr>
      <w:r>
        <w:t>Executive summary</w:t>
      </w:r>
    </w:p>
    <w:p>
      <w:pPr>
        <w:pStyle w:val="BodyText"/>
      </w:pPr>
      <w:r>
        <w:t>The reconciled roadmap separates three things that were previously conflated: active public completion work, current capabilities that must remain supported, and advanced design records preserved for possible later authorization. VibeCAD already contains governed Native CAD mutation, held AI sessions, preview/apply/reject controls, durable Analysis foundations, multi-solver FEM execution, retained low-order Aero, owner-backed engineering presentation, exact-checkout development tooling, packaging, recovery, and extensive tests. The active public boundary is the visible exact-checkout gate, current Native compatibility, package-contained current FEM/CalculiX durability and publication, low-order Aero Steps 0-11, X1/X2/X4 presentation, completion and retention of the current McMasterInsert slice, and the VC-DG structural/thermal core. VC-DG-0 through VC-DG-6 form an explicit bounded VibeCAD lane. This classification removes no current code, compatibility seam, test, document, or user data.</w:t>
      </w:r>
    </w:p>
    <w:p>
      <w:pPr>
        <w:pStyle w:val="BodyText"/>
      </w:pPr>
      <w:r>
        <w:t>The remaining work is to close that bounded installed product truthfully. A user must be able to request a model change, inspect a revision-bound preview, apply or reject it, run current FEM or retained low-order Aero against the exact source, execute supported structural and thermal direct-geometry cases without managing a body-fitted mesh, cancel safely, save and reopen files, understand currentness and evidence, and publish exactly once. The current McMaster catalog/import/cache and placement workflow also finishes its already-started package and acceptance work without expanding into procurement intelligence. Production remote compute, broad CFD, advanced optimization, expanded lifecycle automation, historical Aero Steps 12-20, and optional VC-DG-7 remain preserved but do not block this public completion boundary.</w:t>
      </w:r>
    </w:p>
    <w:tbl>
      <w:tblPr>
        <w:tblW w:type="auto" w:w="0"/>
        <w:jc w:val="center"/>
        <w:tblLayout w:type="fixed"/>
        <w:tblLook w:firstColumn="1" w:firstRow="1" w:lastColumn="0" w:lastRow="0" w:noHBand="0" w:noVBand="1" w:val="04A0"/>
      </w:tblPr>
      <w:tblGrid>
        <w:gridCol w:w="3389"/>
        <w:gridCol w:w="3389"/>
        <w:gridCol w:w="3389"/>
      </w:tblGrid>
      <w:tr>
        <w:tc>
          <w:tcPr>
            <w:tcW w:type="dxa" w:w="1656"/>
            <w:vAlign w:val="center"/>
            <w:tcMar>
              <w:top w:w="90" w:type="dxa"/>
              <w:start w:w="110" w:type="dxa"/>
              <w:bottom w:w="90" w:type="dxa"/>
              <w:end w:w="110" w:type="dxa"/>
            </w:tcMar>
            <w:shd w:fill="122033"/>
          </w:tcPr>
          <w:p>
            <w:pPr>
              <w:spacing w:after="0" w:line="252" w:lineRule="auto"/>
            </w:pPr>
            <w:r/>
            <w:r>
              <w:rPr>
                <w:rFonts w:ascii="Aptos" w:hAnsi="Aptos"/>
                <w:b/>
                <w:color w:val="FFFFFF"/>
                <w:sz w:val="16"/>
              </w:rPr>
              <w:t>Promise</w:t>
            </w:r>
          </w:p>
        </w:tc>
        <w:tc>
          <w:tcPr>
            <w:tcW w:type="dxa" w:w="4003"/>
            <w:vAlign w:val="center"/>
            <w:tcMar>
              <w:top w:w="90" w:type="dxa"/>
              <w:start w:w="110" w:type="dxa"/>
              <w:bottom w:w="90" w:type="dxa"/>
              <w:end w:w="110" w:type="dxa"/>
            </w:tcMar>
            <w:shd w:fill="122033"/>
          </w:tcPr>
          <w:p>
            <w:pPr>
              <w:spacing w:after="0" w:line="252" w:lineRule="auto"/>
            </w:pPr>
            <w:r/>
            <w:r>
              <w:rPr>
                <w:rFonts w:ascii="Aptos" w:hAnsi="Aptos"/>
                <w:b/>
                <w:color w:val="FFFFFF"/>
                <w:sz w:val="16"/>
              </w:rPr>
              <w:t>What already exists</w:t>
            </w:r>
          </w:p>
        </w:tc>
        <w:tc>
          <w:tcPr>
            <w:tcW w:type="dxa" w:w="4536"/>
            <w:vAlign w:val="center"/>
            <w:tcMar>
              <w:top w:w="90" w:type="dxa"/>
              <w:start w:w="110" w:type="dxa"/>
              <w:bottom w:w="90" w:type="dxa"/>
              <w:end w:w="110" w:type="dxa"/>
            </w:tcMar>
            <w:shd w:fill="122033"/>
          </w:tcPr>
          <w:p>
            <w:pPr>
              <w:spacing w:after="0" w:line="252" w:lineRule="auto"/>
            </w:pPr>
            <w:r/>
            <w:r>
              <w:rPr>
                <w:rFonts w:ascii="Aptos" w:hAnsi="Aptos"/>
                <w:b/>
                <w:color w:val="FFFFFF"/>
                <w:sz w:val="16"/>
              </w:rPr>
              <w:t>What users still need</w:t>
            </w:r>
          </w:p>
        </w:tc>
      </w:tr>
      <w:tr>
        <w:tc>
          <w:tcPr>
            <w:tcW w:type="dxa" w:w="1656"/>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Creative control</w:t>
            </w:r>
          </w:p>
        </w:tc>
        <w:tc>
          <w:tcPr>
            <w:tcW w:type="dxa" w:w="4003"/>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Native modeling families, shared dispatcher, held sessions, previews, Apply/Reject surfaces</w:t>
            </w:r>
          </w:p>
        </w:tc>
        <w:tc>
          <w:tcPr>
            <w:tcW w:type="dxa" w:w="4536"/>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Finish remaining family-specific evidence, preview controls, installed acceptance, and reachability</w:t>
            </w:r>
          </w:p>
        </w:tc>
      </w:tr>
      <w:tr>
        <w:tc>
          <w:tcPr>
            <w:tcW w:type="dxa" w:w="1656"/>
            <w:vAlign w:val="center"/>
            <w:tcMar>
              <w:top w:w="90" w:type="dxa"/>
              <w:start w:w="110" w:type="dxa"/>
              <w:bottom w:w="90" w:type="dxa"/>
              <w:end w:w="110" w:type="dxa"/>
            </w:tcMar>
            <w:shd w:fill="F4F7F9"/>
          </w:tcPr>
          <w:p>
            <w:pPr>
              <w:spacing w:after="0" w:line="252" w:lineRule="auto"/>
            </w:pPr>
            <w:r/>
            <w:r>
              <w:rPr>
                <w:rFonts w:ascii="Aptos" w:hAnsi="Aptos"/>
                <w:b w:val="0"/>
                <w:color w:val="1F2933"/>
                <w:sz w:val="16"/>
              </w:rPr>
              <w:t>Engineering continuity</w:t>
            </w:r>
          </w:p>
        </w:tc>
        <w:tc>
          <w:tcPr>
            <w:tcW w:type="dxa" w:w="4003"/>
            <w:vAlign w:val="center"/>
            <w:tcMar>
              <w:top w:w="90" w:type="dxa"/>
              <w:start w:w="110" w:type="dxa"/>
              <w:bottom w:w="90" w:type="dxa"/>
              <w:end w:w="110" w:type="dxa"/>
            </w:tcMar>
            <w:shd w:fill="F4F7F9"/>
          </w:tcPr>
          <w:p>
            <w:pPr>
              <w:spacing w:after="0" w:line="252" w:lineRule="auto"/>
            </w:pPr>
            <w:r/>
            <w:r>
              <w:rPr>
                <w:rFonts w:ascii="Aptos" w:hAnsi="Aptos"/>
                <w:b w:val="0"/>
                <w:color w:val="1F2933"/>
                <w:sz w:val="16"/>
              </w:rPr>
              <w:t>Analysis contracts, local providers, durable records, immutable artifacts, recovery and publication slices</w:t>
            </w:r>
          </w:p>
        </w:tc>
        <w:tc>
          <w:tcPr>
            <w:tcW w:type="dxa" w:w="4536"/>
            <w:vAlign w:val="center"/>
            <w:tcMar>
              <w:top w:w="90" w:type="dxa"/>
              <w:start w:w="110" w:type="dxa"/>
              <w:bottom w:w="90" w:type="dxa"/>
              <w:end w:w="110" w:type="dxa"/>
            </w:tcMar>
            <w:shd w:fill="F4F7F9"/>
          </w:tcPr>
          <w:p>
            <w:pPr>
              <w:spacing w:after="0" w:line="252" w:lineRule="auto"/>
            </w:pPr>
            <w:r/>
            <w:r>
              <w:rPr>
                <w:rFonts w:ascii="Aptos" w:hAnsi="Aptos"/>
                <w:b w:val="0"/>
                <w:color w:val="1F2933"/>
                <w:sz w:val="16"/>
              </w:rPr>
              <w:t>Package and repeat the real path; prove process-crash reconstruction and cross-platform behavior</w:t>
            </w:r>
          </w:p>
        </w:tc>
      </w:tr>
      <w:tr>
        <w:tc>
          <w:tcPr>
            <w:tcW w:type="dxa" w:w="1656"/>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Readable engineering</w:t>
            </w:r>
          </w:p>
        </w:tc>
        <w:tc>
          <w:tcPr>
            <w:tcW w:type="dxa" w:w="4003"/>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Analyze shell, result cards, real field adapters, owner-routed presentation, charts, activity, comparison</w:t>
            </w:r>
          </w:p>
        </w:tc>
        <w:tc>
          <w:tcPr>
            <w:tcW w:type="dxa" w:w="4536"/>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Complete G1 attachment, remaining view controls/presets, accessibility, and installed GUI proof</w:t>
            </w:r>
          </w:p>
        </w:tc>
      </w:tr>
      <w:tr>
        <w:tc>
          <w:tcPr>
            <w:tcW w:type="dxa" w:w="1656"/>
            <w:vAlign w:val="center"/>
            <w:tcMar>
              <w:top w:w="90" w:type="dxa"/>
              <w:start w:w="110" w:type="dxa"/>
              <w:bottom w:w="90" w:type="dxa"/>
              <w:end w:w="110" w:type="dxa"/>
            </w:tcMar>
            <w:shd w:fill="F4F7F9"/>
          </w:tcPr>
          <w:p>
            <w:pPr>
              <w:spacing w:after="0" w:line="252" w:lineRule="auto"/>
            </w:pPr>
            <w:r>
              <w:t>Bounded product breadth</w:t>
            </w:r>
          </w:p>
        </w:tc>
        <w:tc>
          <w:tcPr>
            <w:tcW w:type="dxa" w:w="4003"/>
            <w:vAlign w:val="center"/>
            <w:tcMar>
              <w:top w:w="90" w:type="dxa"/>
              <w:start w:w="110" w:type="dxa"/>
              <w:bottom w:w="90" w:type="dxa"/>
              <w:end w:w="110" w:type="dxa"/>
            </w:tcMar>
            <w:shd w:fill="F4F7F9"/>
          </w:tcPr>
          <w:p>
            <w:pPr>
              <w:spacing w:after="0" w:line="252" w:lineRule="auto"/>
            </w:pPr>
            <w:r>
              <w:t>Current Native, four-solver FEM compatibility, retained low-order Aero, owner-backed presentation, and direct-geometry foundations</w:t>
            </w:r>
          </w:p>
        </w:tc>
        <w:tc>
          <w:tcPr>
            <w:tcW w:type="dxa" w:w="4536"/>
            <w:vAlign w:val="center"/>
            <w:tcMar>
              <w:top w:w="90" w:type="dxa"/>
              <w:start w:w="110" w:type="dxa"/>
              <w:bottom w:w="90" w:type="dxa"/>
              <w:end w:w="110" w:type="dxa"/>
            </w:tcMar>
            <w:shd w:fill="F4F7F9"/>
          </w:tcPr>
          <w:p>
            <w:pPr>
              <w:spacing w:after="0" w:line="252" w:lineRule="auto"/>
            </w:pPr>
            <w:r>
              <w:t>Close the current installed lanes and VC-DG core; preserve advanced CFD, remote, optimization, lifecycle, and optional flow records without treating them as blockers</w:t>
            </w:r>
          </w:p>
        </w:tc>
      </w:tr>
      <w:tr>
        <w:tc>
          <w:tcPr>
            <w:tcW w:type="dxa" w:w="1656"/>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Trust</w:t>
            </w:r>
          </w:p>
        </w:tc>
        <w:tc>
          <w:tcPr>
            <w:tcW w:type="dxa" w:w="4003"/>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Receipts, claim ceilings, currentness, exact identity, bounded authorization</w:t>
            </w:r>
          </w:p>
        </w:tc>
        <w:tc>
          <w:tcPr>
            <w:tcW w:type="dxa" w:w="4536"/>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Close the remaining end-to-end release gates so the installed product—not only source tests—carries the promise</w:t>
            </w:r>
          </w:p>
        </w:tc>
      </w:tr>
    </w:tbl>
    <w:p>
      <w:pPr>
        <w:spacing w:after="0"/>
      </w:pPr>
    </w:p>
    <w:p>
      <w:pPr>
        <w:pStyle w:val="Heading2"/>
        <w:keepNext/>
      </w:pPr>
      <w:r>
        <w:t>The central conclusion</w:t>
      </w:r>
    </w:p>
    <w:p>
      <w:pPr>
        <w:pStyle w:val="Callout"/>
      </w:pPr>
      <w:r>
        <w:t>The fastest route to a better user experience is to close the installed, durable, visible path through the bounded public capabilities already built—and to keep preserved advanced records from masquerading as current release work.</w:t>
      </w:r>
    </w:p>
    <w:p>
      <w:pPr>
        <w:pStyle w:val="Heading2"/>
        <w:keepNext/>
      </w:pPr>
      <w:r>
        <w:t>How to read status in this paper</w:t>
      </w:r>
    </w:p>
    <w:p>
      <w:pPr>
        <w:pStyle w:val="ListBullet"/>
      </w:pPr>
      <w:r>
        <w:t>Implemented means real product code and focused tests exist. It does not automatically mean the exact installed release gate is closed.</w:t>
      </w:r>
    </w:p>
    <w:p>
      <w:pPr>
        <w:pStyle w:val="ListBullet"/>
      </w:pPr>
      <w:r>
        <w:t>Partial means a bounded, useful slice exists and this paper names the remaining acceptance boundary without granting credit to later work.</w:t>
      </w:r>
    </w:p>
    <w:p>
      <w:pPr>
        <w:pStyle w:val="ListBullet"/>
      </w:pPr>
      <w:r>
        <w:t>Historical/non-normative means the design and any landed foundation remain preserved and regression-protected, but future expansion is not a current public completion obligation.</w:t>
      </w:r>
    </w:p>
    <w:p>
      <w:pPr>
        <w:pStyle w:val="ListBullet"/>
      </w:pPr>
      <w:r>
        <w:t>Evidence-backed completion requires the exact installed checkout, real owners, durable identities, failure and restart behavior, visible file operations, and applicable platform coverage—not prose, screenshots, mocks, or a solver exit code alone.</w:t>
      </w:r>
    </w:p>
    <w:p>
      <w:r>
        <w:br w:type="page"/>
      </w:r>
    </w:p>
    <w:p>
      <w:pPr>
        <w:pStyle w:val="Heading1"/>
        <w:keepNext/>
      </w:pPr>
      <w:r>
        <w:t>1. What this codebase has actually delivered</w:t>
      </w:r>
    </w:p>
    <w:p>
      <w:pPr>
        <w:pStyle w:val="BodyText"/>
      </w:pPr>
      <w:r>
        <w:t>At the audited state, repository history from base 60b8f3fd through checkpoint 75917cf6 contains 339 subsequent commits. Commit count is not a quality score, and merge commits inflate it, but the history establishes scale and direction: this is a real product line, not a loose collection of local edits.</w:t>
      </w:r>
    </w:p>
    <w:tbl>
      <w:tblPr>
        <w:tblW w:type="auto" w:w="0"/>
        <w:jc w:val="center"/>
        <w:tblLayout w:type="fixed"/>
        <w:tblLook w:firstColumn="1" w:firstRow="1" w:lastColumn="0" w:lastRow="0" w:noHBand="0" w:noVBand="1" w:val="04A0"/>
      </w:tblPr>
      <w:tblGrid>
        <w:gridCol w:w="3389"/>
        <w:gridCol w:w="3389"/>
        <w:gridCol w:w="3389"/>
      </w:tblGrid>
      <w:tr>
        <w:tc>
          <w:tcPr>
            <w:tcW w:type="dxa" w:w="1829"/>
            <w:vAlign w:val="center"/>
            <w:tcMar>
              <w:top w:w="90" w:type="dxa"/>
              <w:start w:w="110" w:type="dxa"/>
              <w:bottom w:w="90" w:type="dxa"/>
              <w:end w:w="110" w:type="dxa"/>
            </w:tcMar>
            <w:shd w:fill="122033"/>
          </w:tcPr>
          <w:p>
            <w:pPr>
              <w:spacing w:after="0" w:line="252" w:lineRule="auto"/>
            </w:pPr>
            <w:r>
              <w:t>Delivery program</w:t>
            </w:r>
          </w:p>
        </w:tc>
        <w:tc>
          <w:tcPr>
            <w:tcW w:type="dxa" w:w="4320"/>
            <w:vAlign w:val="center"/>
            <w:tcMar>
              <w:top w:w="90" w:type="dxa"/>
              <w:start w:w="110" w:type="dxa"/>
              <w:bottom w:w="90" w:type="dxa"/>
              <w:end w:w="110" w:type="dxa"/>
            </w:tcMar>
            <w:shd w:fill="122033"/>
          </w:tcPr>
          <w:p>
            <w:pPr>
              <w:spacing w:after="0" w:line="252" w:lineRule="auto"/>
            </w:pPr>
            <w:r/>
            <w:r>
              <w:rPr>
                <w:rFonts w:ascii="Aptos" w:hAnsi="Aptos"/>
                <w:b/>
                <w:color w:val="FFFFFF"/>
                <w:sz w:val="16"/>
              </w:rPr>
              <w:t>Delivered foundation</w:t>
            </w:r>
          </w:p>
        </w:tc>
        <w:tc>
          <w:tcPr>
            <w:tcW w:type="dxa" w:w="4061"/>
            <w:vAlign w:val="center"/>
            <w:tcMar>
              <w:top w:w="90" w:type="dxa"/>
              <w:start w:w="110" w:type="dxa"/>
              <w:bottom w:w="90" w:type="dxa"/>
              <w:end w:w="110" w:type="dxa"/>
            </w:tcMar>
            <w:shd w:fill="122033"/>
          </w:tcPr>
          <w:p>
            <w:pPr>
              <w:spacing w:after="0" w:line="252" w:lineRule="auto"/>
            </w:pPr>
            <w:r/>
            <w:r>
              <w:rPr>
                <w:rFonts w:ascii="Aptos" w:hAnsi="Aptos"/>
                <w:b/>
                <w:color w:val="FFFFFF"/>
                <w:sz w:val="16"/>
              </w:rPr>
              <w:t>User-visible meaning</w:t>
            </w:r>
          </w:p>
        </w:tc>
      </w:tr>
      <w:tr>
        <w:tc>
          <w:tcPr>
            <w:tcW w:type="dxa" w:w="1829"/>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AI-to-Native CAD</w:t>
            </w:r>
          </w:p>
        </w:tc>
        <w:tc>
          <w:tcPr>
            <w:tcW w:type="dxa" w:w="4320"/>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Same Native dispatcher for in-app assistant and Grok Bot; held sessions; frozen catalog; structural revisions; receipts</w:t>
            </w:r>
          </w:p>
        </w:tc>
        <w:tc>
          <w:tcPr>
            <w:tcW w:type="dxa" w:w="4061"/>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Requests made through different surfaces behave like one product and remain attached to the same document truth</w:t>
            </w:r>
          </w:p>
        </w:tc>
      </w:tr>
      <w:tr>
        <w:tc>
          <w:tcPr>
            <w:tcW w:type="dxa" w:w="1829"/>
            <w:vAlign w:val="center"/>
            <w:tcMar>
              <w:top w:w="90" w:type="dxa"/>
              <w:start w:w="110" w:type="dxa"/>
              <w:bottom w:w="90" w:type="dxa"/>
              <w:end w:w="110" w:type="dxa"/>
            </w:tcMar>
            <w:shd w:fill="F4F7F9"/>
          </w:tcPr>
          <w:p>
            <w:pPr>
              <w:spacing w:after="0" w:line="252" w:lineRule="auto"/>
            </w:pPr>
            <w:r/>
            <w:r>
              <w:rPr>
                <w:rFonts w:ascii="Aptos" w:hAnsi="Aptos"/>
                <w:b w:val="0"/>
                <w:color w:val="1F2933"/>
                <w:sz w:val="16"/>
              </w:rPr>
              <w:t>Preview/apply control</w:t>
            </w:r>
          </w:p>
        </w:tc>
        <w:tc>
          <w:tcPr>
            <w:tcW w:type="dxa" w:w="4320"/>
            <w:vAlign w:val="center"/>
            <w:tcMar>
              <w:top w:w="90" w:type="dxa"/>
              <w:start w:w="110" w:type="dxa"/>
              <w:bottom w:w="90" w:type="dxa"/>
              <w:end w:w="110" w:type="dxa"/>
            </w:tcMar>
            <w:shd w:fill="F4F7F9"/>
          </w:tcPr>
          <w:p>
            <w:pPr>
              <w:spacing w:after="0" w:line="252" w:lineRule="auto"/>
            </w:pPr>
            <w:r/>
            <w:r>
              <w:rPr>
                <w:rFonts w:ascii="Aptos" w:hAnsi="Aptos"/>
                <w:b w:val="0"/>
                <w:color w:val="1F2933"/>
                <w:sz w:val="16"/>
              </w:rPr>
              <w:t>Extrude, revolve, helix, loft, sweep, fillet, chamfer, booleans, scale, patterns, mirror, thickness, draft, hole, delete; list/apply/reject/auto-apply; ribbon controls</w:t>
            </w:r>
          </w:p>
        </w:tc>
        <w:tc>
          <w:tcPr>
            <w:tcW w:type="dxa" w:w="4061"/>
            <w:vAlign w:val="center"/>
            <w:tcMar>
              <w:top w:w="90" w:type="dxa"/>
              <w:start w:w="110" w:type="dxa"/>
              <w:bottom w:w="90" w:type="dxa"/>
              <w:end w:w="110" w:type="dxa"/>
            </w:tcMar>
            <w:shd w:fill="F4F7F9"/>
          </w:tcPr>
          <w:p>
            <w:pPr>
              <w:spacing w:after="0" w:line="252" w:lineRule="auto"/>
            </w:pPr>
            <w:r/>
            <w:r>
              <w:rPr>
                <w:rFonts w:ascii="Aptos" w:hAnsi="Aptos"/>
                <w:b w:val="0"/>
                <w:color w:val="1F2933"/>
                <w:sz w:val="16"/>
              </w:rPr>
              <w:t>Users can inspect consequential changes and reject them without accepting half-applied model history</w:t>
            </w:r>
          </w:p>
        </w:tc>
      </w:tr>
      <w:tr>
        <w:tc>
          <w:tcPr>
            <w:tcW w:type="dxa" w:w="1829"/>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CAD honesty</w:t>
            </w:r>
          </w:p>
        </w:tc>
        <w:tc>
          <w:tcPr>
            <w:tcW w:type="dxa" w:w="4320"/>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Measured/derived/artifact claim classes; screenshots excluded from measurement evidence; FEM/CAM ceilings; mutation refusal on unsafe generic routes</w:t>
            </w:r>
          </w:p>
        </w:tc>
        <w:tc>
          <w:tcPr>
            <w:tcW w:type="dxa" w:w="4061"/>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The product distinguishes what it created, measured, simulated, derived, or has not proven</w:t>
            </w:r>
          </w:p>
        </w:tc>
      </w:tr>
      <w:tr>
        <w:tc>
          <w:tcPr>
            <w:tcW w:type="dxa" w:w="1829"/>
            <w:vAlign w:val="center"/>
            <w:tcMar>
              <w:top w:w="90" w:type="dxa"/>
              <w:start w:w="110" w:type="dxa"/>
              <w:bottom w:w="90" w:type="dxa"/>
              <w:end w:w="110" w:type="dxa"/>
            </w:tcMar>
            <w:shd w:fill="F4F7F9"/>
          </w:tcPr>
          <w:p>
            <w:pPr>
              <w:spacing w:after="0" w:line="252" w:lineRule="auto"/>
            </w:pPr>
            <w:r/>
            <w:r>
              <w:rPr>
                <w:rFonts w:ascii="Aptos" w:hAnsi="Aptos"/>
                <w:b w:val="0"/>
                <w:color w:val="1F2933"/>
                <w:sz w:val="16"/>
              </w:rPr>
              <w:t>Analysis runtime</w:t>
            </w:r>
          </w:p>
        </w:tc>
        <w:tc>
          <w:tcPr>
            <w:tcW w:type="dxa" w:w="4320"/>
            <w:vAlign w:val="center"/>
            <w:tcMar>
              <w:top w:w="90" w:type="dxa"/>
              <w:start w:w="110" w:type="dxa"/>
              <w:bottom w:w="90" w:type="dxa"/>
              <w:end w:w="110" w:type="dxa"/>
            </w:tcMar>
            <w:shd w:fill="F4F7F9"/>
          </w:tcPr>
          <w:p>
            <w:pPr>
              <w:spacing w:after="0" w:line="252" w:lineRule="auto"/>
            </w:pPr>
            <w:r/>
            <w:r>
              <w:rPr>
                <w:rFonts w:ascii="Aptos" w:hAnsi="Aptos"/>
                <w:b w:val="0"/>
                <w:color w:val="1F2933"/>
                <w:sz w:val="16"/>
              </w:rPr>
              <w:t>Domain-neutral contracts, provider port, local process provider, FEM adapters, background lifecycle, atomic commit gate</w:t>
            </w:r>
          </w:p>
        </w:tc>
        <w:tc>
          <w:tcPr>
            <w:tcW w:type="dxa" w:w="4061"/>
            <w:vAlign w:val="center"/>
            <w:tcMar>
              <w:top w:w="90" w:type="dxa"/>
              <w:start w:w="110" w:type="dxa"/>
              <w:bottom w:w="90" w:type="dxa"/>
              <w:end w:w="110" w:type="dxa"/>
            </w:tcMar>
            <w:shd w:fill="F4F7F9"/>
          </w:tcPr>
          <w:p>
            <w:pPr>
              <w:spacing w:after="0" w:line="252" w:lineRule="auto"/>
            </w:pPr>
            <w:r/>
            <w:r>
              <w:rPr>
                <w:rFonts w:ascii="Aptos" w:hAnsi="Aptos"/>
                <w:b w:val="0"/>
                <w:color w:val="1F2933"/>
                <w:sz w:val="16"/>
              </w:rPr>
              <w:t>Long work has a coherent lifecycle and domain solvers keep their meaning</w:t>
            </w:r>
          </w:p>
        </w:tc>
      </w:tr>
      <w:tr>
        <w:tc>
          <w:tcPr>
            <w:tcW w:type="dxa" w:w="1829"/>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Durability and publication</w:t>
            </w:r>
          </w:p>
        </w:tc>
        <w:tc>
          <w:tcPr>
            <w:tcW w:type="dxa" w:w="4320"/>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Atomic metadata, immutable artifacts, migrations, recovery, collection, verification, authorization and receipt-backed publication slices</w:t>
            </w:r>
          </w:p>
        </w:tc>
        <w:tc>
          <w:tcPr>
            <w:tcW w:type="dxa" w:w="4061"/>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Results can survive restarts and cannot silently publish against the wrong document</w:t>
            </w:r>
          </w:p>
        </w:tc>
      </w:tr>
      <w:tr>
        <w:tc>
          <w:tcPr>
            <w:tcW w:type="dxa" w:w="1829"/>
            <w:vAlign w:val="center"/>
            <w:tcMar>
              <w:top w:w="90" w:type="dxa"/>
              <w:start w:w="110" w:type="dxa"/>
              <w:bottom w:w="90" w:type="dxa"/>
              <w:end w:w="110" w:type="dxa"/>
            </w:tcMar>
            <w:shd w:fill="F4F7F9"/>
          </w:tcPr>
          <w:p>
            <w:pPr>
              <w:spacing w:after="0" w:line="252" w:lineRule="auto"/>
            </w:pPr>
            <w:r/>
            <w:r>
              <w:rPr>
                <w:rFonts w:ascii="Aptos" w:hAnsi="Aptos"/>
                <w:b w:val="0"/>
                <w:color w:val="1F2933"/>
                <w:sz w:val="16"/>
              </w:rPr>
              <w:t>FEM</w:t>
            </w:r>
          </w:p>
        </w:tc>
        <w:tc>
          <w:tcPr>
            <w:tcW w:type="dxa" w:w="4320"/>
            <w:vAlign w:val="center"/>
            <w:tcMar>
              <w:top w:w="90" w:type="dxa"/>
              <w:start w:w="110" w:type="dxa"/>
              <w:bottom w:w="90" w:type="dxa"/>
              <w:end w:w="110" w:type="dxa"/>
            </w:tcMar>
            <w:shd w:fill="F4F7F9"/>
          </w:tcPr>
          <w:p>
            <w:pPr>
              <w:spacing w:after="0" w:line="252" w:lineRule="auto"/>
            </w:pPr>
            <w:r/>
            <w:r>
              <w:rPr>
                <w:rFonts w:ascii="Aptos" w:hAnsi="Aptos"/>
                <w:b w:val="0"/>
                <w:color w:val="1F2933"/>
                <w:sz w:val="16"/>
              </w:rPr>
              <w:t>CalculiX, Elmer, Z88 and Mystran migrated; parity and installed test programs; physical CalculiX evidence</w:t>
            </w:r>
          </w:p>
        </w:tc>
        <w:tc>
          <w:tcPr>
            <w:tcW w:type="dxa" w:w="4061"/>
            <w:vAlign w:val="center"/>
            <w:tcMar>
              <w:top w:w="90" w:type="dxa"/>
              <w:start w:w="110" w:type="dxa"/>
              <w:bottom w:w="90" w:type="dxa"/>
              <w:end w:w="110" w:type="dxa"/>
            </w:tcMar>
            <w:shd w:fill="F4F7F9"/>
          </w:tcPr>
          <w:p>
            <w:pPr>
              <w:spacing w:after="0" w:line="252" w:lineRule="auto"/>
            </w:pPr>
            <w:r/>
            <w:r>
              <w:rPr>
                <w:rFonts w:ascii="Aptos" w:hAnsi="Aptos"/>
                <w:b w:val="0"/>
                <w:color w:val="1F2933"/>
                <w:sz w:val="16"/>
              </w:rPr>
              <w:t>Structural analysis is moving from a fragile process launch toward a repeatable, source-bound product workflow</w:t>
            </w:r>
          </w:p>
        </w:tc>
      </w:tr>
      <w:tr>
        <w:tc>
          <w:tcPr>
            <w:tcW w:type="dxa" w:w="1829"/>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Aero</w:t>
            </w:r>
          </w:p>
        </w:tc>
        <w:tc>
          <w:tcPr>
            <w:tcW w:type="dxa" w:w="4320"/>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Low-order NeuralFoil/VLM/hover work, Native background integration, stale-ticket checks, flight-card/report/JSBSim output boundaries</w:t>
            </w:r>
          </w:p>
        </w:tc>
        <w:tc>
          <w:tcPr>
            <w:tcW w:type="dxa" w:w="4061"/>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Users can explore aircraft behavior now while the UI remains honest about fidelity and qualification</w:t>
            </w:r>
          </w:p>
        </w:tc>
      </w:tr>
      <w:tr>
        <w:tc>
          <w:tcPr>
            <w:tcW w:type="dxa" w:w="1829"/>
            <w:vAlign w:val="center"/>
            <w:tcMar>
              <w:top w:w="90" w:type="dxa"/>
              <w:start w:w="110" w:type="dxa"/>
              <w:bottom w:w="90" w:type="dxa"/>
              <w:end w:w="110" w:type="dxa"/>
            </w:tcMar>
            <w:shd w:fill="F4F7F9"/>
          </w:tcPr>
          <w:p>
            <w:pPr>
              <w:spacing w:after="0" w:line="252" w:lineRule="auto"/>
            </w:pPr>
            <w:r>
              <w:t>Engineering Experience UI</w:t>
            </w:r>
          </w:p>
        </w:tc>
        <w:tc>
          <w:tcPr>
            <w:tcW w:type="dxa" w:w="4320"/>
            <w:vAlign w:val="center"/>
            <w:tcMar>
              <w:top w:w="90" w:type="dxa"/>
              <w:start w:w="110" w:type="dxa"/>
              <w:bottom w:w="90" w:type="dxa"/>
              <w:end w:w="110" w:type="dxa"/>
            </w:tcMar>
            <w:shd w:fill="F4F7F9"/>
          </w:tcPr>
          <w:p>
            <w:pPr>
              <w:spacing w:after="0" w:line="252" w:lineRule="auto"/>
            </w:pPr>
            <w:r>
              <w:t>Common projection, Analyze shell, owner-backed fields/views, activity, exact comparison, and landed bounded projections</w:t>
            </w:r>
          </w:p>
        </w:tc>
        <w:tc>
          <w:tcPr>
            <w:tcW w:type="dxa" w:w="4061"/>
            <w:vAlign w:val="center"/>
            <w:tcMar>
              <w:top w:w="90" w:type="dxa"/>
              <w:start w:w="110" w:type="dxa"/>
              <w:bottom w:w="90" w:type="dxa"/>
              <w:end w:w="110" w:type="dxa"/>
            </w:tcMar>
            <w:shd w:fill="F4F7F9"/>
          </w:tcPr>
          <w:p>
            <w:pPr>
              <w:spacing w:after="0" w:line="252" w:lineRule="auto"/>
            </w:pPr>
            <w:r>
              <w:t>Finish X1/X2/X4 against real owners; retain other landed projections without granting the UI authority or requiring generalized expansion</w:t>
            </w:r>
          </w:p>
        </w:tc>
      </w:tr>
      <w:tr>
        <w:tc>
          <w:tcPr>
            <w:tcW w:type="dxa" w:w="1829"/>
            <w:vAlign w:val="center"/>
            <w:tcMar>
              <w:top w:w="90" w:type="dxa"/>
              <w:start w:w="110" w:type="dxa"/>
              <w:bottom w:w="90" w:type="dxa"/>
              <w:end w:w="110" w:type="dxa"/>
            </w:tcMar>
            <w:shd w:fill="FFFFFF"/>
          </w:tcPr>
          <w:p>
            <w:pPr>
              <w:spacing w:after="0" w:line="252" w:lineRule="auto"/>
            </w:pPr>
            <w:r>
              <w:t>Manufacture</w:t>
            </w:r>
          </w:p>
        </w:tc>
        <w:tc>
          <w:tcPr>
            <w:tcW w:type="dxa" w:w="4320"/>
            <w:vAlign w:val="center"/>
            <w:tcMar>
              <w:top w:w="90" w:type="dxa"/>
              <w:start w:w="110" w:type="dxa"/>
              <w:bottom w:w="90" w:type="dxa"/>
              <w:end w:w="110" w:type="dxa"/>
            </w:tcMar>
            <w:shd w:fill="FFFFFF"/>
          </w:tcPr>
          <w:p>
            <w:pPr>
              <w:spacing w:after="0" w:line="252" w:lineRule="auto"/>
            </w:pPr>
            <w:r>
              <w:t>Post and simulation evidence linked into governed records with conservative claim ceilings</w:t>
            </w:r>
          </w:p>
        </w:tc>
        <w:tc>
          <w:tcPr>
            <w:tcW w:type="dxa" w:w="4061"/>
            <w:vAlign w:val="center"/>
            <w:tcMar>
              <w:top w:w="90" w:type="dxa"/>
              <w:start w:w="110" w:type="dxa"/>
              <w:bottom w:w="90" w:type="dxa"/>
              <w:end w:w="110" w:type="dxa"/>
            </w:tcMar>
            <w:shd w:fill="FFFFFF"/>
          </w:tcPr>
          <w:p>
            <w:pPr>
              <w:spacing w:after="0" w:line="252" w:lineRule="auto"/>
            </w:pPr>
            <w:r>
              <w:t>Current behavior remains supported; broader detached-task and installed-page expansion is non-blocking</w:t>
            </w:r>
          </w:p>
        </w:tc>
      </w:tr>
      <w:tr>
        <w:tc>
          <w:tcPr>
            <w:tcW w:type="dxa" w:w="1829"/>
            <w:vAlign w:val="center"/>
            <w:tcMar>
              <w:top w:w="90" w:type="dxa"/>
              <w:start w:w="110" w:type="dxa"/>
              <w:bottom w:w="90" w:type="dxa"/>
              <w:end w:w="110" w:type="dxa"/>
            </w:tcMar>
            <w:shd w:fill="F4F7F9"/>
          </w:tcPr>
          <w:p>
            <w:pPr>
              <w:spacing w:after="0" w:line="252" w:lineRule="auto"/>
            </w:pPr>
            <w:r>
              <w:t>Assembly</w:t>
            </w:r>
          </w:p>
        </w:tc>
        <w:tc>
          <w:tcPr>
            <w:tcW w:type="dxa" w:w="4320"/>
            <w:vAlign w:val="center"/>
            <w:tcMar>
              <w:top w:w="90" w:type="dxa"/>
              <w:start w:w="110" w:type="dxa"/>
              <w:bottom w:w="90" w:type="dxa"/>
              <w:end w:w="110" w:type="dxa"/>
            </w:tcMar>
            <w:shd w:fill="F4F7F9"/>
          </w:tcPr>
          <w:p>
            <w:pPr>
              <w:spacing w:after="0" w:line="252" w:lineRule="auto"/>
            </w:pPr>
            <w:r>
              <w:t>Stable identities, interfaces, fit/compatibility, semantic geometry, scenarios, and bounded proposals</w:t>
            </w:r>
          </w:p>
        </w:tc>
        <w:tc>
          <w:tcPr>
            <w:tcW w:type="dxa" w:w="4061"/>
            <w:vAlign w:val="center"/>
            <w:tcMar>
              <w:top w:w="90" w:type="dxa"/>
              <w:start w:w="110" w:type="dxa"/>
              <w:bottom w:w="90" w:type="dxa"/>
              <w:end w:w="110" w:type="dxa"/>
            </w:tcMar>
            <w:shd w:fill="F4F7F9"/>
          </w:tcPr>
          <w:p>
            <w:pPr>
              <w:spacing w:after="0" w:line="252" w:lineRule="auto"/>
            </w:pPr>
            <w:r>
              <w:t>Current behavior remains supported; broader migration, topology, sequencing, service, and Robot projection are preserved non-blocking records</w:t>
            </w:r>
          </w:p>
        </w:tc>
      </w:tr>
      <w:tr>
        <w:tc>
          <w:tcPr>
            <w:tcW w:type="dxa" w:w="1829"/>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Developer/release experience</w:t>
            </w:r>
          </w:p>
        </w:tc>
        <w:tc>
          <w:tcPr>
            <w:tcW w:type="dxa" w:w="4320"/>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Exact-checkout Windows launcher, visible identity, isolated component runner, CI/package stabilization, recovery and branch hygiene</w:t>
            </w:r>
          </w:p>
        </w:tc>
        <w:tc>
          <w:tcPr>
            <w:tcW w:type="dxa" w:w="4061"/>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What developers see and test can be tied to the exact source being shipped</w:t>
            </w:r>
          </w:p>
        </w:tc>
      </w:tr>
    </w:tbl>
    <w:p>
      <w:pPr>
        <w:spacing w:after="0"/>
      </w:pPr>
    </w:p>
    <w:p>
      <w:pPr>
        <w:pStyle w:val="Heading2"/>
        <w:keepNext/>
      </w:pPr>
      <w:r>
        <w:t>What the delivery is not</w:t>
      </w:r>
    </w:p>
    <w:p>
      <w:pPr>
        <w:pStyle w:val="BodyText"/>
      </w:pPr>
      <w:r>
        <w:t>It is not a parallel CAD kernel, a replacement solver, a second Assembly graph, or a UI that invents engineering facts. The recurring design choice is to keep existing owners authoritative and add bounded coordination, evidence, recovery, and presentation around them. That constraint is why apparently ‘infrastructure’ work directly improves the product: it prevents the assistant, the interface, and background workers from disagreeing about what is current or accepted.</w:t>
      </w:r>
    </w:p>
    <w:p>
      <w:pPr>
        <w:pStyle w:val="Heading2"/>
        <w:keepNext/>
      </w:pPr>
      <w:r>
        <w:t>Delivery timeline in product terms</w:t>
      </w:r>
    </w:p>
    <w:tbl>
      <w:tblPr>
        <w:tblW w:type="auto" w:w="0"/>
        <w:jc w:val="center"/>
        <w:tblLayout w:type="fixed"/>
        <w:tblLook w:firstColumn="1" w:firstRow="1" w:lastColumn="0" w:lastRow="0" w:noHBand="0" w:noVBand="1" w:val="04A0"/>
      </w:tblPr>
      <w:tblGrid>
        <w:gridCol w:w="5083"/>
        <w:gridCol w:w="5083"/>
      </w:tblGrid>
      <w:tr>
        <w:tc>
          <w:tcPr>
            <w:tcW w:type="dxa" w:w="1872"/>
            <w:vAlign w:val="center"/>
            <w:tcMar>
              <w:top w:w="90" w:type="dxa"/>
              <w:start w:w="110" w:type="dxa"/>
              <w:bottom w:w="90" w:type="dxa"/>
              <w:end w:w="110" w:type="dxa"/>
            </w:tcMar>
            <w:shd w:fill="122033"/>
          </w:tcPr>
          <w:p>
            <w:pPr>
              <w:spacing w:after="0" w:line="252" w:lineRule="auto"/>
            </w:pPr>
            <w:r/>
            <w:r>
              <w:rPr>
                <w:rFonts w:ascii="Aptos" w:hAnsi="Aptos"/>
                <w:b/>
                <w:color w:val="FFFFFF"/>
                <w:sz w:val="16"/>
              </w:rPr>
              <w:t>Phase</w:t>
            </w:r>
          </w:p>
        </w:tc>
        <w:tc>
          <w:tcPr>
            <w:tcW w:type="dxa" w:w="8323"/>
            <w:vAlign w:val="center"/>
            <w:tcMar>
              <w:top w:w="90" w:type="dxa"/>
              <w:start w:w="110" w:type="dxa"/>
              <w:bottom w:w="90" w:type="dxa"/>
              <w:end w:w="110" w:type="dxa"/>
            </w:tcMar>
            <w:shd w:fill="122033"/>
          </w:tcPr>
          <w:p>
            <w:pPr>
              <w:spacing w:after="0" w:line="252" w:lineRule="auto"/>
            </w:pPr>
            <w:r/>
            <w:r>
              <w:rPr>
                <w:rFonts w:ascii="Aptos" w:hAnsi="Aptos"/>
                <w:b/>
                <w:color w:val="FFFFFF"/>
                <w:sz w:val="16"/>
              </w:rPr>
              <w:t>Product shift</w:t>
            </w:r>
          </w:p>
        </w:tc>
      </w:tr>
      <w:tr>
        <w:tc>
          <w:tcPr>
            <w:tcW w:type="dxa" w:w="1872"/>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18–20 Aug</w:t>
            </w:r>
          </w:p>
        </w:tc>
        <w:tc>
          <w:tcPr>
            <w:tcW w:type="dxa" w:w="8323"/>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Unified assistant and bot access; expanded Native preview families; made CAD claims and Apply/Reject behavior explicit</w:t>
            </w:r>
          </w:p>
        </w:tc>
      </w:tr>
      <w:tr>
        <w:tc>
          <w:tcPr>
            <w:tcW w:type="dxa" w:w="1872"/>
            <w:vAlign w:val="center"/>
            <w:tcMar>
              <w:top w:w="90" w:type="dxa"/>
              <w:start w:w="110" w:type="dxa"/>
              <w:bottom w:w="90" w:type="dxa"/>
              <w:end w:w="110" w:type="dxa"/>
            </w:tcMar>
            <w:shd w:fill="F4F7F9"/>
          </w:tcPr>
          <w:p>
            <w:pPr>
              <w:spacing w:after="0" w:line="252" w:lineRule="auto"/>
            </w:pPr>
            <w:r/>
            <w:r>
              <w:rPr>
                <w:rFonts w:ascii="Aptos" w:hAnsi="Aptos"/>
                <w:b w:val="0"/>
                <w:color w:val="1F2933"/>
                <w:sz w:val="16"/>
              </w:rPr>
              <w:t>23–25 Aug</w:t>
            </w:r>
          </w:p>
        </w:tc>
        <w:tc>
          <w:tcPr>
            <w:tcW w:type="dxa" w:w="8323"/>
            <w:vAlign w:val="center"/>
            <w:tcMar>
              <w:top w:w="90" w:type="dxa"/>
              <w:start w:w="110" w:type="dxa"/>
              <w:bottom w:w="90" w:type="dxa"/>
              <w:end w:w="110" w:type="dxa"/>
            </w:tcMar>
            <w:shd w:fill="F4F7F9"/>
          </w:tcPr>
          <w:p>
            <w:pPr>
              <w:spacing w:after="0" w:line="252" w:lineRule="auto"/>
            </w:pPr>
            <w:r/>
            <w:r>
              <w:rPr>
                <w:rFonts w:ascii="Aptos" w:hAnsi="Aptos"/>
                <w:b w:val="0"/>
                <w:color w:val="1F2933"/>
                <w:sz w:val="16"/>
              </w:rPr>
              <w:t>Extracted shared process and Analysis foundations; migrated four FEM solvers; integrated Aero as a runtime client; stabilized branch lifecycle</w:t>
            </w:r>
          </w:p>
        </w:tc>
      </w:tr>
      <w:tr>
        <w:tc>
          <w:tcPr>
            <w:tcW w:type="dxa" w:w="1872"/>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26 Aug</w:t>
            </w:r>
          </w:p>
        </w:tc>
        <w:tc>
          <w:tcPr>
            <w:tcW w:type="dxa" w:w="8323"/>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Added durable contracts, artifacts, metadata, workflow, optimization, Manufacture and Assembly projections; established exact-checkout development</w:t>
            </w:r>
          </w:p>
        </w:tc>
      </w:tr>
      <w:tr>
        <w:tc>
          <w:tcPr>
            <w:tcW w:type="dxa" w:w="1872"/>
            <w:vAlign w:val="center"/>
            <w:tcMar>
              <w:top w:w="90" w:type="dxa"/>
              <w:start w:w="110" w:type="dxa"/>
              <w:bottom w:w="90" w:type="dxa"/>
              <w:end w:w="110" w:type="dxa"/>
            </w:tcMar>
            <w:shd w:fill="F4F7F9"/>
          </w:tcPr>
          <w:p>
            <w:pPr>
              <w:spacing w:after="0" w:line="252" w:lineRule="auto"/>
            </w:pPr>
            <w:r/>
            <w:r>
              <w:rPr>
                <w:rFonts w:ascii="Aptos" w:hAnsi="Aptos"/>
                <w:b w:val="0"/>
                <w:color w:val="1F2933"/>
                <w:sz w:val="16"/>
              </w:rPr>
              <w:t>27 Aug</w:t>
            </w:r>
          </w:p>
        </w:tc>
        <w:tc>
          <w:tcPr>
            <w:tcW w:type="dxa" w:w="8323"/>
            <w:vAlign w:val="center"/>
            <w:tcMar>
              <w:top w:w="90" w:type="dxa"/>
              <w:start w:w="110" w:type="dxa"/>
              <w:bottom w:w="90" w:type="dxa"/>
              <w:end w:w="110" w:type="dxa"/>
            </w:tcMar>
            <w:shd w:fill="F4F7F9"/>
          </w:tcPr>
          <w:p>
            <w:pPr>
              <w:spacing w:after="0" w:line="252" w:lineRule="auto"/>
            </w:pPr>
            <w:r/>
            <w:r>
              <w:rPr>
                <w:rFonts w:ascii="Aptos" w:hAnsi="Aptos"/>
                <w:b w:val="0"/>
                <w:color w:val="1F2933"/>
                <w:sz w:val="16"/>
              </w:rPr>
              <w:t>Delivered the Engineering Experience UI stack; strengthened Assembly planning; added multi-platform and installed FEM evidence; added recovery, verification and publication slices</w:t>
            </w:r>
          </w:p>
        </w:tc>
      </w:tr>
      <w:tr>
        <w:tc>
          <w:tcPr>
            <w:tcW w:type="dxa" w:w="1872"/>
            <w:vAlign w:val="center"/>
            <w:tcMar>
              <w:top w:w="90" w:type="dxa"/>
              <w:start w:w="110" w:type="dxa"/>
              <w:bottom w:w="90" w:type="dxa"/>
              <w:end w:w="110" w:type="dxa"/>
            </w:tcMar>
            <w:shd w:fill="FFFFFF"/>
          </w:tcPr>
          <w:p>
            <w:pPr>
              <w:spacing w:after="0" w:line="252" w:lineRule="auto"/>
            </w:pPr>
            <w:r>
              <w:t>28–29 Aug roadmap reconciliation</w:t>
            </w:r>
          </w:p>
        </w:tc>
        <w:tc>
          <w:tcPr>
            <w:tcW w:type="dxa" w:w="8323"/>
            <w:vAlign w:val="center"/>
            <w:tcMar>
              <w:top w:w="90" w:type="dxa"/>
              <w:start w:w="110" w:type="dxa"/>
              <w:bottom w:w="90" w:type="dxa"/>
              <w:end w:w="110" w:type="dxa"/>
            </w:tcMar>
            <w:shd w:fill="FFFFFF"/>
          </w:tcPr>
          <w:p>
            <w:pPr>
              <w:spacing w:after="0" w:line="252" w:lineRule="auto"/>
            </w:pPr>
            <w:r>
              <w:t>Preserves physical CalculiX and visible GUI evidence, classifies the bounded public boundary, and adds the VC-DG structural/thermal lane plus optional gated flow record</w:t>
            </w:r>
          </w:p>
        </w:tc>
      </w:tr>
    </w:tbl>
    <w:p>
      <w:pPr>
        <w:spacing w:after="0"/>
      </w:pPr>
    </w:p>
    <w:p>
      <w:r>
        <w:br w:type="page"/>
      </w:r>
    </w:p>
    <w:p>
      <w:pPr>
        <w:pStyle w:val="Heading1"/>
        <w:keepNext/>
      </w:pPr>
      <w:r>
        <w:t>2. The user experience already present</w:t>
      </w:r>
    </w:p>
    <w:p>
      <w:pPr>
        <w:pStyle w:val="Heading2"/>
        <w:keepNext/>
      </w:pPr>
      <w:r>
        <w:t>A single controlled CAD conversation</w:t>
      </w:r>
    </w:p>
    <w:p>
      <w:pPr>
        <w:pStyle w:val="BodyText"/>
      </w:pPr>
      <w:r>
        <w:t>The current codebase already routes in-app and external-agent Native requests through the same family of contracts. Held sessions preserve preview context across calls. Structural revision checks keep a proposal bound to the state it was derived from. Apply and Reject exist in the application surface, and auto-apply is limited by revision matching. For users, this is the beginning of a dependable conversation: ‘show me’ and ‘do it’ are different actions, and a later document edit can invalidate an earlier proposal instead of letting it land silently.</w:t>
      </w:r>
    </w:p>
    <w:p>
      <w:pPr>
        <w:pStyle w:val="Heading2"/>
        <w:keepNext/>
      </w:pPr>
      <w:r>
        <w:t>The Analyze workspace was reworked—not skipped</w:t>
      </w:r>
    </w:p>
    <w:p>
      <w:pPr>
        <w:pStyle w:val="BodyText"/>
      </w:pPr>
      <w:r>
        <w:t>The Engineering Experience work is already present in the current codebase. Its active public boundary is X1 common presentation and X4 preview evidence, with X2 current activity surfaces retained and kept functional. The shared Analyze shell, engineering result cards, explicit unavailable states, owner-backed FEM/VTK/OpenFOAM discovery, presentation delegation, charts, activity, comparison, and landed projections remain protected. Advanced workflow, optimization, Manufacture, Assembly, service, and Robot screen expansion is preserved design provenance rather than an active release gate.</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950"/>
            <w:vAlign w:val="center"/>
            <w:tcMar>
              <w:top w:w="90" w:type="dxa"/>
              <w:start w:w="110" w:type="dxa"/>
              <w:bottom w:w="90" w:type="dxa"/>
              <w:end w:w="110" w:type="dxa"/>
            </w:tcMar>
            <w:shd w:fill="122033"/>
          </w:tcPr>
          <w:p>
            <w:pPr>
              <w:spacing w:after="0" w:line="252" w:lineRule="auto"/>
            </w:pPr>
            <w:r>
              <w:t>UI slice</w:t>
            </w:r>
          </w:p>
        </w:tc>
        <w:tc>
          <w:tcPr>
            <w:tcW w:type="dxa" w:w="1512"/>
            <w:vAlign w:val="center"/>
            <w:tcMar>
              <w:top w:w="90" w:type="dxa"/>
              <w:start w:w="110" w:type="dxa"/>
              <w:bottom w:w="90" w:type="dxa"/>
              <w:end w:w="110" w:type="dxa"/>
            </w:tcMar>
            <w:shd w:fill="122033"/>
          </w:tcPr>
          <w:p>
            <w:pPr>
              <w:spacing w:after="0" w:line="252" w:lineRule="auto"/>
            </w:pPr>
            <w:r>
              <w:t>Public classification</w:t>
            </w:r>
          </w:p>
        </w:tc>
        <w:tc>
          <w:tcPr>
            <w:tcW w:type="dxa" w:w="4320"/>
            <w:vAlign w:val="center"/>
            <w:tcMar>
              <w:top w:w="90" w:type="dxa"/>
              <w:start w:w="110" w:type="dxa"/>
              <w:bottom w:w="90" w:type="dxa"/>
              <w:end w:w="110" w:type="dxa"/>
            </w:tcMar>
            <w:shd w:fill="122033"/>
          </w:tcPr>
          <w:p>
            <w:pPr>
              <w:spacing w:after="0" w:line="252" w:lineRule="auto"/>
            </w:pPr>
            <w:r>
              <w:t>Current evidence</w:t>
            </w:r>
          </w:p>
        </w:tc>
        <w:tc>
          <w:tcPr>
            <w:tcW w:type="dxa" w:w="3413"/>
            <w:vAlign w:val="center"/>
            <w:tcMar>
              <w:top w:w="90" w:type="dxa"/>
              <w:start w:w="110" w:type="dxa"/>
              <w:bottom w:w="90" w:type="dxa"/>
              <w:end w:w="110" w:type="dxa"/>
            </w:tcMar>
            <w:shd w:fill="122033"/>
          </w:tcPr>
          <w:p>
            <w:pPr>
              <w:spacing w:after="0" w:line="252" w:lineRule="auto"/>
            </w:pPr>
            <w:r>
              <w:t>Remaining public obligation</w:t>
            </w:r>
          </w:p>
        </w:tc>
      </w:tr>
      <w:tr>
        <w:tc>
          <w:tcPr>
            <w:tcW w:type="dxa" w:w="950"/>
            <w:vAlign w:val="center"/>
            <w:tcMar>
              <w:top w:w="90" w:type="dxa"/>
              <w:start w:w="110" w:type="dxa"/>
              <w:bottom w:w="90" w:type="dxa"/>
              <w:end w:w="110" w:type="dxa"/>
            </w:tcMar>
            <w:shd w:fill="FFFFFF"/>
          </w:tcPr>
          <w:p>
            <w:pPr>
              <w:spacing w:after="0" w:line="252" w:lineRule="auto"/>
            </w:pPr>
            <w:r>
              <w:t>EVS-01</w:t>
            </w:r>
          </w:p>
        </w:tc>
        <w:tc>
          <w:tcPr>
            <w:tcW w:type="dxa" w:w="1512"/>
            <w:vAlign w:val="center"/>
            <w:tcMar>
              <w:top w:w="90" w:type="dxa"/>
              <w:start w:w="110" w:type="dxa"/>
              <w:bottom w:w="90" w:type="dxa"/>
              <w:end w:w="110" w:type="dxa"/>
            </w:tcMar>
            <w:shd w:fill="FFFFFF"/>
          </w:tcPr>
          <w:p>
            <w:pPr>
              <w:spacing w:after="0" w:line="252" w:lineRule="auto"/>
            </w:pPr>
            <w:r>
              <w:t>X1 active</w:t>
            </w:r>
          </w:p>
        </w:tc>
        <w:tc>
          <w:tcPr>
            <w:tcW w:type="dxa" w:w="4320"/>
            <w:vAlign w:val="center"/>
            <w:tcMar>
              <w:top w:w="90" w:type="dxa"/>
              <w:start w:w="110" w:type="dxa"/>
              <w:bottom w:w="90" w:type="dxa"/>
              <w:end w:w="110" w:type="dxa"/>
            </w:tcMar>
            <w:shd w:fill="FFFFFF"/>
          </w:tcPr>
          <w:p>
            <w:pPr>
              <w:spacing w:after="0" w:line="252" w:lineRule="auto"/>
            </w:pPr>
            <w:r>
              <w:t>Engineering shell and themed result cards</w:t>
            </w:r>
          </w:p>
        </w:tc>
        <w:tc>
          <w:tcPr>
            <w:tcW w:type="dxa" w:w="3413"/>
            <w:vAlign w:val="center"/>
            <w:tcMar>
              <w:top w:w="90" w:type="dxa"/>
              <w:start w:w="110" w:type="dxa"/>
              <w:bottom w:w="90" w:type="dxa"/>
              <w:end w:w="110" w:type="dxa"/>
            </w:tcMar>
            <w:shd w:fill="FFFFFF"/>
          </w:tcPr>
          <w:p>
            <w:pPr>
              <w:spacing w:after="0" w:line="252" w:lineRule="auto"/>
            </w:pPr>
            <w:r>
              <w:t>Installed accessibility and owner-data acceptance</w:t>
            </w:r>
          </w:p>
        </w:tc>
      </w:tr>
      <w:tr>
        <w:tc>
          <w:tcPr>
            <w:tcW w:type="dxa" w:w="950"/>
            <w:vAlign w:val="center"/>
            <w:tcMar>
              <w:top w:w="90" w:type="dxa"/>
              <w:start w:w="110" w:type="dxa"/>
              <w:bottom w:w="90" w:type="dxa"/>
              <w:end w:w="110" w:type="dxa"/>
            </w:tcMar>
            <w:shd w:fill="F4F7F9"/>
          </w:tcPr>
          <w:p>
            <w:pPr>
              <w:spacing w:after="0" w:line="252" w:lineRule="auto"/>
            </w:pPr>
            <w:r>
              <w:t>EVS-02</w:t>
            </w:r>
          </w:p>
        </w:tc>
        <w:tc>
          <w:tcPr>
            <w:tcW w:type="dxa" w:w="1512"/>
            <w:vAlign w:val="center"/>
            <w:tcMar>
              <w:top w:w="90" w:type="dxa"/>
              <w:start w:w="110" w:type="dxa"/>
              <w:bottom w:w="90" w:type="dxa"/>
              <w:end w:w="110" w:type="dxa"/>
            </w:tcMar>
            <w:shd w:fill="F4F7F9"/>
          </w:tcPr>
          <w:p>
            <w:pPr>
              <w:spacing w:after="0" w:line="252" w:lineRule="auto"/>
            </w:pPr>
            <w:r>
              <w:t>X1 active</w:t>
            </w:r>
          </w:p>
        </w:tc>
        <w:tc>
          <w:tcPr>
            <w:tcW w:type="dxa" w:w="4320"/>
            <w:vAlign w:val="center"/>
            <w:tcMar>
              <w:top w:w="90" w:type="dxa"/>
              <w:start w:w="110" w:type="dxa"/>
              <w:bottom w:w="90" w:type="dxa"/>
              <w:end w:w="110" w:type="dxa"/>
            </w:tcMar>
            <w:shd w:fill="F4F7F9"/>
          </w:tcPr>
          <w:p>
            <w:pPr>
              <w:spacing w:after="0" w:line="252" w:lineRule="auto"/>
            </w:pPr>
            <w:r>
              <w:t>Real FEM/VTK/OpenFOAM field descriptors</w:t>
            </w:r>
          </w:p>
        </w:tc>
        <w:tc>
          <w:tcPr>
            <w:tcW w:type="dxa" w:w="3413"/>
            <w:vAlign w:val="center"/>
            <w:tcMar>
              <w:top w:w="90" w:type="dxa"/>
              <w:start w:w="110" w:type="dxa"/>
              <w:bottom w:w="90" w:type="dxa"/>
              <w:end w:w="110" w:type="dxa"/>
            </w:tcMar>
            <w:shd w:fill="F4F7F9"/>
          </w:tcPr>
          <w:p>
            <w:pPr>
              <w:spacing w:after="0" w:line="252" w:lineRule="auto"/>
            </w:pPr>
            <w:r>
              <w:t>Configured build/install proof and VC-DG descriptors when implemented</w:t>
            </w:r>
          </w:p>
        </w:tc>
      </w:tr>
      <w:tr>
        <w:tc>
          <w:tcPr>
            <w:tcW w:type="dxa" w:w="950"/>
            <w:vAlign w:val="center"/>
            <w:tcMar>
              <w:top w:w="90" w:type="dxa"/>
              <w:start w:w="110" w:type="dxa"/>
              <w:bottom w:w="90" w:type="dxa"/>
              <w:end w:w="110" w:type="dxa"/>
            </w:tcMar>
            <w:shd w:fill="FFFFFF"/>
          </w:tcPr>
          <w:p>
            <w:pPr>
              <w:spacing w:after="0" w:line="252" w:lineRule="auto"/>
            </w:pPr>
            <w:r>
              <w:t>EVS-03</w:t>
            </w:r>
          </w:p>
        </w:tc>
        <w:tc>
          <w:tcPr>
            <w:tcW w:type="dxa" w:w="1512"/>
            <w:vAlign w:val="center"/>
            <w:tcMar>
              <w:top w:w="90" w:type="dxa"/>
              <w:start w:w="110" w:type="dxa"/>
              <w:bottom w:w="90" w:type="dxa"/>
              <w:end w:w="110" w:type="dxa"/>
            </w:tcMar>
            <w:shd w:fill="FFFFFF"/>
          </w:tcPr>
          <w:p>
            <w:pPr>
              <w:spacing w:after="0" w:line="252" w:lineRule="auto"/>
            </w:pPr>
            <w:r>
              <w:t>X1 active; X2 retained</w:t>
            </w:r>
          </w:p>
        </w:tc>
        <w:tc>
          <w:tcPr>
            <w:tcW w:type="dxa" w:w="4320"/>
            <w:vAlign w:val="center"/>
            <w:tcMar>
              <w:top w:w="90" w:type="dxa"/>
              <w:start w:w="110" w:type="dxa"/>
              <w:bottom w:w="90" w:type="dxa"/>
              <w:end w:w="110" w:type="dxa"/>
            </w:tcMar>
            <w:shd w:fill="FFFFFF"/>
          </w:tcPr>
          <w:p>
            <w:pPr>
              <w:spacing w:after="0" w:line="252" w:lineRule="auto"/>
            </w:pPr>
            <w:r>
              <w:t>Real result discovery and explicit unavailable state</w:t>
            </w:r>
          </w:p>
        </w:tc>
        <w:tc>
          <w:tcPr>
            <w:tcW w:type="dxa" w:w="3413"/>
            <w:vAlign w:val="center"/>
            <w:tcMar>
              <w:top w:w="90" w:type="dxa"/>
              <w:start w:w="110" w:type="dxa"/>
              <w:bottom w:w="90" w:type="dxa"/>
              <w:end w:w="110" w:type="dxa"/>
            </w:tcMar>
            <w:shd w:fill="FFFFFF"/>
          </w:tcPr>
          <w:p>
            <w:pPr>
              <w:spacing w:after="0" w:line="252" w:lineRule="auto"/>
            </w:pPr>
            <w:r>
              <w:t>Exact active status, metrics, provenance, and currentness</w:t>
            </w:r>
          </w:p>
        </w:tc>
      </w:tr>
      <w:tr>
        <w:tc>
          <w:tcPr>
            <w:tcW w:type="dxa" w:w="950"/>
            <w:vAlign w:val="center"/>
            <w:tcMar>
              <w:top w:w="90" w:type="dxa"/>
              <w:start w:w="110" w:type="dxa"/>
              <w:bottom w:w="90" w:type="dxa"/>
              <w:end w:w="110" w:type="dxa"/>
            </w:tcMar>
            <w:shd w:fill="F4F7F9"/>
          </w:tcPr>
          <w:p>
            <w:pPr>
              <w:spacing w:after="0" w:line="252" w:lineRule="auto"/>
            </w:pPr>
            <w:r>
              <w:t>EVS-04</w:t>
            </w:r>
          </w:p>
        </w:tc>
        <w:tc>
          <w:tcPr>
            <w:tcW w:type="dxa" w:w="1512"/>
            <w:vAlign w:val="center"/>
            <w:tcMar>
              <w:top w:w="90" w:type="dxa"/>
              <w:start w:w="110" w:type="dxa"/>
              <w:bottom w:w="90" w:type="dxa"/>
              <w:end w:w="110" w:type="dxa"/>
            </w:tcMar>
            <w:shd w:fill="F4F7F9"/>
          </w:tcPr>
          <w:p>
            <w:pPr>
              <w:spacing w:after="0" w:line="252" w:lineRule="auto"/>
            </w:pPr>
            <w:r>
              <w:t>X1/X4 active</w:t>
            </w:r>
          </w:p>
        </w:tc>
        <w:tc>
          <w:tcPr>
            <w:tcW w:type="dxa" w:w="4320"/>
            <w:vAlign w:val="center"/>
            <w:tcMar>
              <w:top w:w="90" w:type="dxa"/>
              <w:start w:w="110" w:type="dxa"/>
              <w:bottom w:w="90" w:type="dxa"/>
              <w:end w:w="110" w:type="dxa"/>
            </w:tcMar>
            <w:shd w:fill="F4F7F9"/>
          </w:tcPr>
          <w:p>
            <w:pPr>
              <w:spacing w:after="0" w:line="252" w:lineRule="auto"/>
            </w:pPr>
            <w:r>
              <w:t>Selections route through existing presenters with rollback/refusal</w:t>
            </w:r>
          </w:p>
        </w:tc>
        <w:tc>
          <w:tcPr>
            <w:tcW w:type="dxa" w:w="3413"/>
            <w:vAlign w:val="center"/>
            <w:tcMar>
              <w:top w:w="90" w:type="dxa"/>
              <w:start w:w="110" w:type="dxa"/>
              <w:bottom w:w="90" w:type="dxa"/>
              <w:end w:w="110" w:type="dxa"/>
            </w:tcMar>
            <w:shd w:fill="F4F7F9"/>
          </w:tcPr>
          <w:p>
            <w:pPr>
              <w:spacing w:after="0" w:line="252" w:lineRule="auto"/>
            </w:pPr>
            <w:r>
              <w:t>Installed ambiguous, stale, unsupported, and preview-evidence coverage</w:t>
            </w:r>
          </w:p>
        </w:tc>
      </w:tr>
      <w:tr>
        <w:tc>
          <w:tcPr>
            <w:tcW w:type="dxa" w:w="950"/>
            <w:vAlign w:val="center"/>
            <w:tcMar>
              <w:top w:w="90" w:type="dxa"/>
              <w:start w:w="110" w:type="dxa"/>
              <w:bottom w:w="90" w:type="dxa"/>
              <w:end w:w="110" w:type="dxa"/>
            </w:tcMar>
            <w:shd w:fill="FFFFFF"/>
          </w:tcPr>
          <w:p>
            <w:pPr>
              <w:spacing w:after="0" w:line="252" w:lineRule="auto"/>
            </w:pPr>
            <w:r>
              <w:t>EVS-05</w:t>
            </w:r>
          </w:p>
        </w:tc>
        <w:tc>
          <w:tcPr>
            <w:tcW w:type="dxa" w:w="1512"/>
            <w:vAlign w:val="center"/>
            <w:tcMar>
              <w:top w:w="90" w:type="dxa"/>
              <w:start w:w="110" w:type="dxa"/>
              <w:bottom w:w="90" w:type="dxa"/>
              <w:end w:w="110" w:type="dxa"/>
            </w:tcMar>
            <w:shd w:fill="FFFFFF"/>
          </w:tcPr>
          <w:p>
            <w:pPr>
              <w:spacing w:after="0" w:line="252" w:lineRule="auto"/>
            </w:pPr>
            <w:r>
              <w:t>X1 active where consumed</w:t>
            </w:r>
          </w:p>
        </w:tc>
        <w:tc>
          <w:tcPr>
            <w:tcW w:type="dxa" w:w="4320"/>
            <w:vAlign w:val="center"/>
            <w:tcMar>
              <w:top w:w="90" w:type="dxa"/>
              <w:start w:w="110" w:type="dxa"/>
              <w:bottom w:w="90" w:type="dxa"/>
              <w:end w:w="110" w:type="dxa"/>
            </w:tcMar>
            <w:shd w:fill="FFFFFF"/>
          </w:tcPr>
          <w:p>
            <w:pPr>
              <w:spacing w:after="0" w:line="252" w:lineRule="auto"/>
            </w:pPr>
            <w:r>
              <w:t>Palette/range/legend/view state is separate from engineering values</w:t>
            </w:r>
          </w:p>
        </w:tc>
        <w:tc>
          <w:tcPr>
            <w:tcW w:type="dxa" w:w="3413"/>
            <w:vAlign w:val="center"/>
            <w:tcMar>
              <w:top w:w="90" w:type="dxa"/>
              <w:start w:w="110" w:type="dxa"/>
              <w:bottom w:w="90" w:type="dxa"/>
              <w:end w:w="110" w:type="dxa"/>
            </w:tcMar>
            <w:shd w:fill="FFFFFF"/>
          </w:tcPr>
          <w:p>
            <w:pPr>
              <w:spacing w:after="0" w:line="252" w:lineRule="auto"/>
            </w:pPr>
            <w:r>
              <w:t>Owner capability/application and installed GUI proof</w:t>
            </w:r>
          </w:p>
        </w:tc>
      </w:tr>
      <w:tr>
        <w:tc>
          <w:tcPr>
            <w:tcW w:type="dxa" w:w="950"/>
            <w:vAlign w:val="center"/>
            <w:tcMar>
              <w:top w:w="90" w:type="dxa"/>
              <w:start w:w="110" w:type="dxa"/>
              <w:bottom w:w="90" w:type="dxa"/>
              <w:end w:w="110" w:type="dxa"/>
            </w:tcMar>
            <w:shd w:fill="F4F7F9"/>
          </w:tcPr>
          <w:p>
            <w:pPr>
              <w:spacing w:after="0" w:line="252" w:lineRule="auto"/>
            </w:pPr>
            <w:r>
              <w:t>EVS-06</w:t>
            </w:r>
          </w:p>
        </w:tc>
        <w:tc>
          <w:tcPr>
            <w:tcW w:type="dxa" w:w="1512"/>
            <w:vAlign w:val="center"/>
            <w:tcMar>
              <w:top w:w="90" w:type="dxa"/>
              <w:start w:w="110" w:type="dxa"/>
              <w:bottom w:w="90" w:type="dxa"/>
              <w:end w:w="110" w:type="dxa"/>
            </w:tcMar>
            <w:shd w:fill="F4F7F9"/>
          </w:tcPr>
          <w:p>
            <w:pPr>
              <w:spacing w:after="0" w:line="252" w:lineRule="auto"/>
            </w:pPr>
            <w:r>
              <w:t>X1/X4 active where consumed</w:t>
            </w:r>
          </w:p>
        </w:tc>
        <w:tc>
          <w:tcPr>
            <w:tcW w:type="dxa" w:w="4320"/>
            <w:vAlign w:val="center"/>
            <w:tcMar>
              <w:top w:w="90" w:type="dxa"/>
              <w:start w:w="110" w:type="dxa"/>
              <w:bottom w:w="90" w:type="dxa"/>
              <w:end w:w="110" w:type="dxa"/>
            </w:tcMar>
            <w:shd w:fill="F4F7F9"/>
          </w:tcPr>
          <w:p>
            <w:pPr>
              <w:spacing w:after="0" w:line="252" w:lineRule="auto"/>
            </w:pPr>
            <w:r>
              <w:t>Owner-backed deformation and view controls</w:t>
            </w:r>
          </w:p>
        </w:tc>
        <w:tc>
          <w:tcPr>
            <w:tcW w:type="dxa" w:w="3413"/>
            <w:vAlign w:val="center"/>
            <w:tcMar>
              <w:top w:w="90" w:type="dxa"/>
              <w:start w:w="110" w:type="dxa"/>
              <w:bottom w:w="90" w:type="dxa"/>
              <w:end w:w="110" w:type="dxa"/>
            </w:tcMar>
            <w:shd w:fill="F4F7F9"/>
          </w:tcPr>
          <w:p>
            <w:pPr>
              <w:spacing w:after="0" w:line="252" w:lineRule="auto"/>
            </w:pPr>
            <w:r>
              <w:t>Current-scope mesh/outline/preset behavior and installed proof</w:t>
            </w:r>
          </w:p>
        </w:tc>
      </w:tr>
      <w:tr>
        <w:tc>
          <w:tcPr>
            <w:tcW w:type="dxa" w:w="950"/>
            <w:vAlign w:val="center"/>
            <w:tcMar>
              <w:top w:w="90" w:type="dxa"/>
              <w:start w:w="110" w:type="dxa"/>
              <w:bottom w:w="90" w:type="dxa"/>
              <w:end w:w="110" w:type="dxa"/>
            </w:tcMar>
            <w:shd w:fill="FFFFFF"/>
          </w:tcPr>
          <w:p>
            <w:pPr>
              <w:spacing w:after="0" w:line="252" w:lineRule="auto"/>
            </w:pPr>
            <w:r>
              <w:t>EVS-07</w:t>
            </w:r>
          </w:p>
        </w:tc>
        <w:tc>
          <w:tcPr>
            <w:tcW w:type="dxa" w:w="1512"/>
            <w:vAlign w:val="center"/>
            <w:tcMar>
              <w:top w:w="90" w:type="dxa"/>
              <w:start w:w="110" w:type="dxa"/>
              <w:bottom w:w="90" w:type="dxa"/>
              <w:end w:w="110" w:type="dxa"/>
            </w:tcMar>
            <w:shd w:fill="FFFFFF"/>
          </w:tcPr>
          <w:p>
            <w:pPr>
              <w:spacing w:after="0" w:line="252" w:lineRule="auto"/>
            </w:pPr>
            <w:r>
              <w:t>X1 active where consumed</w:t>
            </w:r>
          </w:p>
        </w:tc>
        <w:tc>
          <w:tcPr>
            <w:tcW w:type="dxa" w:w="4320"/>
            <w:vAlign w:val="center"/>
            <w:tcMar>
              <w:top w:w="90" w:type="dxa"/>
              <w:start w:w="110" w:type="dxa"/>
              <w:bottom w:w="90" w:type="dxa"/>
              <w:end w:w="110" w:type="dxa"/>
            </w:tcMar>
            <w:shd w:fill="FFFFFF"/>
          </w:tcPr>
          <w:p>
            <w:pPr>
              <w:spacing w:after="0" w:line="252" w:lineRule="auto"/>
            </w:pPr>
            <w:r>
              <w:t>Owner-backed table/histogram/line-series discovery</w:t>
            </w:r>
          </w:p>
        </w:tc>
        <w:tc>
          <w:tcPr>
            <w:tcW w:type="dxa" w:w="3413"/>
            <w:vAlign w:val="center"/>
            <w:tcMar>
              <w:top w:w="90" w:type="dxa"/>
              <w:start w:w="110" w:type="dxa"/>
              <w:bottom w:w="90" w:type="dxa"/>
              <w:end w:w="110" w:type="dxa"/>
            </w:tcMar>
            <w:shd w:fill="FFFFFF"/>
          </w:tcPr>
          <w:p>
            <w:pPr>
              <w:spacing w:after="0" w:line="252" w:lineRule="auto"/>
            </w:pPr>
            <w:r>
              <w:t>Current-scope associations and installed acceptance</w:t>
            </w:r>
          </w:p>
        </w:tc>
      </w:tr>
      <w:tr>
        <w:tc>
          <w:tcPr>
            <w:tcW w:type="dxa" w:w="950"/>
            <w:vAlign w:val="center"/>
            <w:tcMar>
              <w:top w:w="90" w:type="dxa"/>
              <w:start w:w="110" w:type="dxa"/>
              <w:bottom w:w="90" w:type="dxa"/>
              <w:end w:w="110" w:type="dxa"/>
            </w:tcMar>
            <w:shd w:fill="F4F7F9"/>
          </w:tcPr>
          <w:p>
            <w:pPr>
              <w:spacing w:after="0" w:line="252" w:lineRule="auto"/>
            </w:pPr>
            <w:r>
              <w:t>EVS-08</w:t>
            </w:r>
          </w:p>
        </w:tc>
        <w:tc>
          <w:tcPr>
            <w:tcW w:type="dxa" w:w="1512"/>
            <w:vAlign w:val="center"/>
            <w:tcMar>
              <w:top w:w="90" w:type="dxa"/>
              <w:start w:w="110" w:type="dxa"/>
              <w:bottom w:w="90" w:type="dxa"/>
              <w:end w:w="110" w:type="dxa"/>
            </w:tcMar>
            <w:shd w:fill="F4F7F9"/>
          </w:tcPr>
          <w:p>
            <w:pPr>
              <w:spacing w:after="0" w:line="252" w:lineRule="auto"/>
            </w:pPr>
            <w:r>
              <w:t>X2 retained current capability</w:t>
            </w:r>
          </w:p>
        </w:tc>
        <w:tc>
          <w:tcPr>
            <w:tcW w:type="dxa" w:w="4320"/>
            <w:vAlign w:val="center"/>
            <w:tcMar>
              <w:top w:w="90" w:type="dxa"/>
              <w:start w:w="110" w:type="dxa"/>
              <w:bottom w:w="90" w:type="dxa"/>
              <w:end w:w="110" w:type="dxa"/>
            </w:tcMar>
            <w:shd w:fill="F4F7F9"/>
          </w:tcPr>
          <w:p>
            <w:pPr>
              <w:spacing w:after="0" w:line="252" w:lineRule="auto"/>
            </w:pPr>
            <w:r>
              <w:t>Durable attempts, artifacts, recovery, currentness, publication, and workflow detail</w:t>
            </w:r>
          </w:p>
        </w:tc>
        <w:tc>
          <w:tcPr>
            <w:tcW w:type="dxa" w:w="3413"/>
            <w:vAlign w:val="center"/>
            <w:tcMar>
              <w:top w:w="90" w:type="dxa"/>
              <w:start w:w="110" w:type="dxa"/>
              <w:bottom w:w="90" w:type="dxa"/>
              <w:end w:w="110" w:type="dxa"/>
            </w:tcMar>
            <w:shd w:fill="F4F7F9"/>
          </w:tcPr>
          <w:p>
            <w:pPr>
              <w:spacing w:after="0" w:line="252" w:lineRule="auto"/>
            </w:pPr>
            <w:r>
              <w:t>Keep current activity surfaces functional for active owners</w:t>
            </w:r>
          </w:p>
        </w:tc>
      </w:tr>
      <w:tr>
        <w:tc>
          <w:tcPr>
            <w:tcW w:type="dxa" w:w="950"/>
            <w:vAlign w:val="center"/>
            <w:tcMar>
              <w:top w:w="90" w:type="dxa"/>
              <w:start w:w="110" w:type="dxa"/>
              <w:bottom w:w="90" w:type="dxa"/>
              <w:end w:w="110" w:type="dxa"/>
            </w:tcMar>
            <w:shd w:fill="FFFFFF"/>
          </w:tcPr>
          <w:p>
            <w:pPr>
              <w:spacing w:after="0" w:line="252" w:lineRule="auto"/>
            </w:pPr>
            <w:r>
              <w:t>EVS-09</w:t>
            </w:r>
          </w:p>
        </w:tc>
        <w:tc>
          <w:tcPr>
            <w:tcW w:type="dxa" w:w="1512"/>
            <w:vAlign w:val="center"/>
            <w:tcMar>
              <w:top w:w="90" w:type="dxa"/>
              <w:start w:w="110" w:type="dxa"/>
              <w:bottom w:w="90" w:type="dxa"/>
              <w:end w:w="110" w:type="dxa"/>
            </w:tcMar>
            <w:shd w:fill="FFFFFF"/>
          </w:tcPr>
          <w:p>
            <w:pPr>
              <w:spacing w:after="0" w:line="252" w:lineRule="auto"/>
            </w:pPr>
            <w:r>
              <w:t>X1/X2 active or retained as consumed</w:t>
            </w:r>
          </w:p>
        </w:tc>
        <w:tc>
          <w:tcPr>
            <w:tcW w:type="dxa" w:w="4320"/>
            <w:vAlign w:val="center"/>
            <w:tcMar>
              <w:top w:w="90" w:type="dxa"/>
              <w:start w:w="110" w:type="dxa"/>
              <w:bottom w:w="90" w:type="dxa"/>
              <w:end w:w="110" w:type="dxa"/>
            </w:tcMar>
            <w:shd w:fill="FFFFFF"/>
          </w:tcPr>
          <w:p>
            <w:pPr>
              <w:spacing w:after="0" w:line="252" w:lineRule="auto"/>
            </w:pPr>
            <w:r>
              <w:t>Exact comparability and landed ranking presentation</w:t>
            </w:r>
          </w:p>
        </w:tc>
        <w:tc>
          <w:tcPr>
            <w:tcW w:type="dxa" w:w="3413"/>
            <w:vAlign w:val="center"/>
            <w:tcMar>
              <w:top w:w="90" w:type="dxa"/>
              <w:start w:w="110" w:type="dxa"/>
              <w:bottom w:w="90" w:type="dxa"/>
              <w:end w:w="110" w:type="dxa"/>
            </w:tcMar>
            <w:shd w:fill="FFFFFF"/>
          </w:tcPr>
          <w:p>
            <w:pPr>
              <w:spacing w:after="0" w:line="252" w:lineRule="auto"/>
            </w:pPr>
            <w:r>
              <w:t>Active-owner comparison, restart, staleness, and installed acceptance</w:t>
            </w:r>
          </w:p>
        </w:tc>
      </w:tr>
    </w:tbl>
    <w:p>
      <w:pPr>
        <w:spacing w:after="0"/>
      </w:pPr>
    </w:p>
    <w:tbl>
      <w:tblPr>
        <w:tblW w:type="auto" w:w="0"/>
        <w:jc w:val="center"/>
        <w:tblLayout w:type="fixed"/>
        <w:tblLook w:firstColumn="1" w:firstRow="1" w:lastColumn="0" w:lastRow="0" w:noHBand="0" w:noVBand="1" w:val="04A0"/>
      </w:tblPr>
      <w:tblGrid>
        <w:gridCol w:w="1699"/>
        <w:gridCol w:w="8381"/>
      </w:tblGrid>
      <w:tr>
        <w:tc>
          <w:tcPr>
            <w:tcW w:type="dxa" w:w="5083"/>
            <w:vAlign w:val="center"/>
            <w:tcMar>
              <w:top w:w="90" w:type="dxa"/>
              <w:start w:w="110" w:type="dxa"/>
              <w:bottom w:w="90" w:type="dxa"/>
              <w:end w:w="110" w:type="dxa"/>
            </w:tcMar>
            <w:shd w:fill="B56B16"/>
          </w:tcPr>
          <w:p>
            <w:pPr>
              <w:spacing w:after="0" w:line="252" w:lineRule="auto"/>
            </w:pPr>
            <w:r>
              <w:t>PRESERVED WIP</w:t>
            </w:r>
          </w:p>
        </w:tc>
        <w:tc>
          <w:tcPr>
            <w:tcW w:type="dxa" w:w="5083"/>
            <w:vAlign w:val="center"/>
            <w:tcMar>
              <w:top w:w="90" w:type="dxa"/>
              <w:start w:w="110" w:type="dxa"/>
              <w:bottom w:w="90" w:type="dxa"/>
              <w:end w:w="110" w:type="dxa"/>
            </w:tcMar>
            <w:shd w:fill="EAF4F6"/>
          </w:tcPr>
          <w:p>
            <w:pPr>
              <w:spacing w:after="0" w:line="252" w:lineRule="auto"/>
            </w:pPr>
            <w:r>
              <w:t>Recovered mesh-edge and preset work remains preserved. It earns no current status credit until its exact branch, package, GUI regression, and installed evidence are reverified.</w:t>
            </w:r>
          </w:p>
        </w:tc>
      </w:tr>
    </w:tbl>
    <w:p>
      <w:pPr>
        <w:spacing w:after="0"/>
      </w:pPr>
    </w:p>
    <w:p>
      <w:pPr>
        <w:pStyle w:val="Heading2"/>
        <w:keepNext/>
      </w:pPr>
      <w:r>
        <w:t>Honest engineering state</w:t>
      </w:r>
    </w:p>
    <w:p>
      <w:pPr>
        <w:pStyle w:val="BodyText"/>
      </w:pPr>
      <w:r>
        <w:t>VibeCAD increasingly treats state as multiple independent questions: execution, verification, currentness, publication, and claim ceiling. That matters because a job can finish without being verified, a verified result can become stale after geometry changes, and a current result can remain unpublished. The UI foundation is designed to show those differences instead of collapsing them into one reassuring badge.</w:t>
      </w:r>
    </w:p>
    <w:p>
      <w:pPr>
        <w:pStyle w:val="Heading2"/>
        <w:keepNext/>
      </w:pPr>
      <w:r>
        <w:t>Visible exact-checkout development</w:t>
      </w:r>
    </w:p>
    <w:p>
      <w:pPr>
        <w:pStyle w:val="BodyText"/>
      </w:pPr>
      <w:r>
        <w:t>The developer launcher, visible commit identity, authenticated checkout-scoped control route, screenshot and receipt loop, semantic target tours, and native file round trip reduce the risk of testing the wrong binary. The separate in-application pointer is plain cyan and does not control the user's physical mouse. This is a mandatory development and operability gate—not engineering qualification—and it makes GUI acceptance watchable and auditable.</w:t>
      </w:r>
    </w:p>
    <w:p>
      <w:r>
        <w:br w:type="page"/>
      </w:r>
    </w:p>
    <w:p>
      <w:pPr>
        <w:pStyle w:val="Heading1"/>
        <w:keepNext/>
      </w:pPr>
      <w:r>
        <w:t>3. The immediate product-completion roadmap</w:t>
      </w:r>
    </w:p>
    <w:p>
      <w:pPr>
        <w:pStyle w:val="BodyText"/>
      </w:pPr>
      <w:r>
        <w:t>The active roadmap is dependency-ordered and bounded. It closes exact visible development, current Native and Analysis dependencies, the current McMasterInsert slice, low-order Aero, retained generic presentation, and the VC-DG structural/thermal core before any optional or historical continuation.</w:t>
      </w:r>
    </w:p>
    <w:p>
      <w:pPr>
        <w:pStyle w:val="ListNumber"/>
      </w:pPr>
      <w:r>
        <w:t>Close the reusable visible-development gate and register VC-DG-0 as its consumer profile: exact frozen package, one-click launch, authenticated exact-process control, discovered semantic tours plus configured VibeCAD File/Tools/Macro/Aero/Model/McMaster surfaces, native save/load, collision-safe screenshots and receipts, and zero physical pointer or keyboard control. Generic tester success earns no direct-geometry physics credit.</w:t>
      </w:r>
    </w:p>
    <w:p>
      <w:pPr>
        <w:pStyle w:val="ListNumber"/>
      </w:pPr>
      <w:r>
        <w:t>Close current FEM/CalculiX lifecycle evidence: package the physically exercised verifier and publisher, repeat supported installed runs, prove cleanup and true process-crash reconstruction, and retain exact source identity through save, close, reopen, cancel, and refusal.</w:t>
      </w:r>
    </w:p>
    <w:p>
      <w:pPr>
        <w:pStyle w:val="ListNumber"/>
      </w:pPr>
      <w:r>
        <w:t>Close current G1/G2/G4 dependencies: compact document references, governed artifact cleanup, corruption and restore handling, currentness, Native transaction authority, write-once receipts, rollback, unknown-outcome refusal, and publish-once reconstruction.</w:t>
      </w:r>
    </w:p>
    <w:p>
      <w:pPr>
        <w:pStyle w:val="ListNumber"/>
      </w:pPr>
      <w:r>
        <w:t>Finish the current McMasterInsert catalog/import/cache, component-placement, platform-package, and visible acceptance slice without conflating it with bundled standard fasteners or expanding it into procurement intelligence. Then close low-order Aero Steps 0-11: converge Native repair authority, finish frames, units, readiness, source correspondence, evidence/currentness and claim ceilings, then carry the retained low-order client through the package-contained durable publication path.</w:t>
      </w:r>
    </w:p>
    <w:p>
      <w:pPr>
        <w:pStyle w:val="ListNumber"/>
      </w:pPr>
      <w:r>
        <w:t>Close X1/X2/X4 where the active product consumes them: exact result and preview evidence, current activity and artifact state, owner-routed presentation, accessibility, theme/DPI coverage, and installed GUI journeys without granting the shared UI new authority.</w:t>
      </w:r>
    </w:p>
    <w:p>
      <w:pPr>
        <w:pStyle w:val="ListNumber"/>
      </w:pPr>
      <w:r>
        <w:t>Implement VC-DG-1 through VC-DG-3: minimal versioned contracts, semantic selector lifecycle, representation identity, deterministic cache/replay behavior, and conforming-reference method registration before any production prototype.</w:t>
      </w:r>
    </w:p>
    <w:p>
      <w:pPr>
        <w:pStyle w:val="ListNumber"/>
      </w:pPr>
      <w:r>
        <w:t>Implement VC-DG-4 through VC-DG-6: bounded structural and steady thermal methods for simple closed solids, audited open-capable packaging, fields and quantities of interest, cancellation, save/reopen/currentness, resolution and balance evidence, and independent conforming comparison. VC-DG-7 remains optional, blocked by VC-DG-6, and earns no core or Aero completion credit.</w:t>
      </w:r>
    </w:p>
    <w:tbl>
      <w:tblPr>
        <w:tblW w:type="auto" w:w="0"/>
        <w:jc w:val="center"/>
        <w:tblLayout w:type="fixed"/>
        <w:tblLook w:firstColumn="1" w:firstRow="1" w:lastColumn="0" w:lastRow="0" w:noHBand="0" w:noVBand="1" w:val="04A0"/>
      </w:tblPr>
      <w:tblGrid>
        <w:gridCol w:w="3389"/>
        <w:gridCol w:w="3389"/>
        <w:gridCol w:w="3389"/>
      </w:tblGrid>
      <w:tr>
        <w:tc>
          <w:tcPr>
            <w:tcW w:type="dxa" w:w="2232"/>
            <w:vAlign w:val="center"/>
            <w:tcMar>
              <w:top w:w="90" w:type="dxa"/>
              <w:start w:w="110" w:type="dxa"/>
              <w:bottom w:w="90" w:type="dxa"/>
              <w:end w:w="110" w:type="dxa"/>
            </w:tcMar>
            <w:shd w:fill="122033"/>
          </w:tcPr>
          <w:p>
            <w:pPr>
              <w:spacing w:after="0" w:line="252" w:lineRule="auto"/>
            </w:pPr>
            <w:r/>
            <w:r>
              <w:rPr>
                <w:rFonts w:ascii="Aptos" w:hAnsi="Aptos"/>
                <w:b/>
                <w:color w:val="FFFFFF"/>
                <w:sz w:val="16"/>
              </w:rPr>
              <w:t>Near-term release outcome</w:t>
            </w:r>
          </w:p>
        </w:tc>
        <w:tc>
          <w:tcPr>
            <w:tcW w:type="dxa" w:w="3960"/>
            <w:vAlign w:val="center"/>
            <w:tcMar>
              <w:top w:w="90" w:type="dxa"/>
              <w:start w:w="110" w:type="dxa"/>
              <w:bottom w:w="90" w:type="dxa"/>
              <w:end w:w="110" w:type="dxa"/>
            </w:tcMar>
            <w:shd w:fill="122033"/>
          </w:tcPr>
          <w:p>
            <w:pPr>
              <w:spacing w:after="0" w:line="252" w:lineRule="auto"/>
            </w:pPr>
            <w:r/>
            <w:r>
              <w:rPr>
                <w:rFonts w:ascii="Aptos" w:hAnsi="Aptos"/>
                <w:b/>
                <w:color w:val="FFFFFF"/>
                <w:sz w:val="16"/>
              </w:rPr>
              <w:t>Why it comes now</w:t>
            </w:r>
          </w:p>
        </w:tc>
        <w:tc>
          <w:tcPr>
            <w:tcW w:type="dxa" w:w="4003"/>
            <w:vAlign w:val="center"/>
            <w:tcMar>
              <w:top w:w="90" w:type="dxa"/>
              <w:start w:w="110" w:type="dxa"/>
              <w:bottom w:w="90" w:type="dxa"/>
              <w:end w:w="110" w:type="dxa"/>
            </w:tcMar>
            <w:shd w:fill="122033"/>
          </w:tcPr>
          <w:p>
            <w:pPr>
              <w:spacing w:after="0" w:line="252" w:lineRule="auto"/>
            </w:pPr>
            <w:r/>
            <w:r>
              <w:rPr>
                <w:rFonts w:ascii="Aptos" w:hAnsi="Aptos"/>
                <w:b/>
                <w:color w:val="FFFFFF"/>
                <w:sz w:val="16"/>
              </w:rPr>
              <w:t>User payoff</w:t>
            </w:r>
          </w:p>
        </w:tc>
      </w:tr>
      <w:tr>
        <w:tc>
          <w:tcPr>
            <w:tcW w:type="dxa" w:w="2232"/>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Package-contained repeatable FEM</w:t>
            </w:r>
          </w:p>
        </w:tc>
        <w:tc>
          <w:tcPr>
            <w:tcW w:type="dxa" w:w="3960"/>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The core path exists; packaging and repetition are the remaining truth boundary</w:t>
            </w:r>
          </w:p>
        </w:tc>
        <w:tc>
          <w:tcPr>
            <w:tcW w:type="dxa" w:w="4003"/>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Analysis behaves the same in the shipped product as in development evidence</w:t>
            </w:r>
          </w:p>
        </w:tc>
      </w:tr>
      <w:tr>
        <w:tc>
          <w:tcPr>
            <w:tcW w:type="dxa" w:w="2232"/>
            <w:vAlign w:val="center"/>
            <w:tcMar>
              <w:top w:w="90" w:type="dxa"/>
              <w:start w:w="110" w:type="dxa"/>
              <w:bottom w:w="90" w:type="dxa"/>
              <w:end w:w="110" w:type="dxa"/>
            </w:tcMar>
            <w:shd w:fill="F4F7F9"/>
          </w:tcPr>
          <w:p>
            <w:pPr>
              <w:spacing w:after="0" w:line="252" w:lineRule="auto"/>
            </w:pPr>
            <w:r/>
            <w:r>
              <w:rPr>
                <w:rFonts w:ascii="Aptos" w:hAnsi="Aptos"/>
                <w:b w:val="0"/>
                <w:color w:val="1F2933"/>
                <w:sz w:val="16"/>
              </w:rPr>
              <w:t>Crash-safe exact publication</w:t>
            </w:r>
          </w:p>
        </w:tc>
        <w:tc>
          <w:tcPr>
            <w:tcW w:type="dxa" w:w="3960"/>
            <w:vAlign w:val="center"/>
            <w:tcMar>
              <w:top w:w="90" w:type="dxa"/>
              <w:start w:w="110" w:type="dxa"/>
              <w:bottom w:w="90" w:type="dxa"/>
              <w:end w:w="110" w:type="dxa"/>
            </w:tcMar>
            <w:shd w:fill="F4F7F9"/>
          </w:tcPr>
          <w:p>
            <w:pPr>
              <w:spacing w:after="0" w:line="252" w:lineRule="auto"/>
            </w:pPr>
            <w:r/>
            <w:r>
              <w:rPr>
                <w:rFonts w:ascii="Aptos" w:hAnsi="Aptos"/>
                <w:b w:val="0"/>
                <w:color w:val="1F2933"/>
                <w:sz w:val="16"/>
              </w:rPr>
              <w:t>All later domains depend on publish-once attachment to the right document</w:t>
            </w:r>
          </w:p>
        </w:tc>
        <w:tc>
          <w:tcPr>
            <w:tcW w:type="dxa" w:w="4003"/>
            <w:vAlign w:val="center"/>
            <w:tcMar>
              <w:top w:w="90" w:type="dxa"/>
              <w:start w:w="110" w:type="dxa"/>
              <w:bottom w:w="90" w:type="dxa"/>
              <w:end w:w="110" w:type="dxa"/>
            </w:tcMar>
            <w:shd w:fill="F4F7F9"/>
          </w:tcPr>
          <w:p>
            <w:pPr>
              <w:spacing w:after="0" w:line="252" w:lineRule="auto"/>
            </w:pPr>
            <w:r/>
            <w:r>
              <w:rPr>
                <w:rFonts w:ascii="Aptos" w:hAnsi="Aptos"/>
                <w:b w:val="0"/>
                <w:color w:val="1F2933"/>
                <w:sz w:val="16"/>
              </w:rPr>
              <w:t>No duplicated or misplaced result after restart, close, rename, or document replacement</w:t>
            </w:r>
          </w:p>
        </w:tc>
      </w:tr>
      <w:tr>
        <w:tc>
          <w:tcPr>
            <w:tcW w:type="dxa" w:w="2232"/>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Installed Engineering Experience</w:t>
            </w:r>
          </w:p>
        </w:tc>
        <w:tc>
          <w:tcPr>
            <w:tcW w:type="dxa" w:w="3960"/>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Most UI slices already exist and can now expose the durable state coherently</w:t>
            </w:r>
          </w:p>
        </w:tc>
        <w:tc>
          <w:tcPr>
            <w:tcW w:type="dxa" w:w="4003"/>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One understandable place to inspect results, evidence, activity, comparisons and recovery</w:t>
            </w:r>
          </w:p>
        </w:tc>
      </w:tr>
      <w:tr>
        <w:tc>
          <w:tcPr>
            <w:tcW w:type="dxa" w:w="2232"/>
            <w:vAlign w:val="center"/>
            <w:tcMar>
              <w:top w:w="90" w:type="dxa"/>
              <w:start w:w="110" w:type="dxa"/>
              <w:bottom w:w="90" w:type="dxa"/>
              <w:end w:w="110" w:type="dxa"/>
            </w:tcMar>
            <w:shd w:fill="F4F7F9"/>
          </w:tcPr>
          <w:p>
            <w:pPr>
              <w:spacing w:after="0" w:line="252" w:lineRule="auto"/>
            </w:pPr>
            <w:r>
              <w:t>VC-DG structural/thermal core</w:t>
            </w:r>
          </w:p>
        </w:tc>
        <w:tc>
          <w:tcPr>
            <w:tcW w:type="dxa" w:w="3960"/>
            <w:vAlign w:val="center"/>
            <w:tcMar>
              <w:top w:w="90" w:type="dxa"/>
              <w:start w:w="110" w:type="dxa"/>
              <w:bottom w:w="90" w:type="dxa"/>
              <w:end w:w="110" w:type="dxa"/>
            </w:tcMar>
            <w:shd w:fill="F4F7F9"/>
          </w:tcPr>
          <w:p>
            <w:pPr>
              <w:spacing w:after="0" w:line="252" w:lineRule="auto"/>
            </w:pPr>
            <w:r>
              <w:t>The host/FEM/tessellation/publication foundations exist, but no VC-DG package is complete</w:t>
            </w:r>
          </w:p>
        </w:tc>
        <w:tc>
          <w:tcPr>
            <w:tcW w:type="dxa" w:w="4003"/>
            <w:vAlign w:val="center"/>
            <w:tcMar>
              <w:top w:w="90" w:type="dxa"/>
              <w:start w:w="110" w:type="dxa"/>
              <w:bottom w:w="90" w:type="dxa"/>
              <w:end w:w="110" w:type="dxa"/>
            </w:tcMar>
            <w:shd w:fill="F4F7F9"/>
          </w:tcPr>
          <w:p>
            <w:pPr>
              <w:spacing w:after="0" w:line="252" w:lineRule="auto"/>
            </w:pPr>
            <w:r>
              <w:t>Users run bounded structural and thermal cases without creating or managing a body-fitted mesh, with explicit selectors, fields, currentness, resolution evidence, and conforming comparison</w:t>
            </w:r>
          </w:p>
        </w:tc>
      </w:tr>
    </w:tbl>
    <w:p>
      <w:pPr>
        <w:spacing w:after="0"/>
      </w:pPr>
    </w:p>
    <w:p>
      <w:pPr>
        <w:pStyle w:val="Heading2"/>
        <w:keepNext/>
      </w:pPr>
      <w:r>
        <w:t>What should not distract this sequence</w:t>
      </w:r>
    </w:p>
    <w:p>
      <w:pPr>
        <w:pStyle w:val="ListBullet"/>
      </w:pPr>
      <w:r>
        <w:t>Production remote-provider integration or broad remote routing; those records remain preserved and do not block the active local and package-contained product boundary.</w:t>
      </w:r>
    </w:p>
    <w:p>
      <w:pPr>
        <w:pStyle w:val="ListBullet"/>
      </w:pPr>
      <w:r>
        <w:t>Broad OpenFOAM/FluidX3D and high-fidelity viewer work; historical Aero Steps 12-20 remain searchable design records, not current public release gates.</w:t>
      </w:r>
    </w:p>
    <w:p>
      <w:pPr>
        <w:pStyle w:val="ListBullet"/>
      </w:pPr>
      <w:r>
        <w:t>Generalized workflow and optimization expansion beyond the landed bounded capabilities; preserve their contracts and tests without treating future breadth as current closure work.</w:t>
      </w:r>
    </w:p>
    <w:p>
      <w:pPr>
        <w:pStyle w:val="ListBullet"/>
      </w:pPr>
      <w:r>
        <w:t>Advanced Manufacture, Assembly, sequencing, service, and Robot expansion; retain current behavior and honest claim ceilings without making those future programs public blockers.</w:t>
      </w:r>
    </w:p>
    <w:p>
      <w:pPr>
        <w:pStyle w:val="ListBullet"/>
      </w:pPr>
      <w:r>
        <w:t>Optional VC-DG-7 or any claim that a background-grid method is universally meshless; the required core is VC-DG-0 through VC-DG-6 and its method identities must remain explicit.</w:t>
      </w:r>
    </w:p>
    <w:p>
      <w:r>
        <w:br w:type="page"/>
      </w:r>
    </w:p>
    <w:p>
      <w:pPr>
        <w:pStyle w:val="Heading1"/>
        <w:keepNext/>
      </w:pPr>
      <w:r>
        <w:t>4. Governed public boundary and the direct-geometry lane</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699"/>
            <w:vAlign w:val="center"/>
            <w:tcMar>
              <w:top w:w="90" w:type="dxa"/>
              <w:start w:w="110" w:type="dxa"/>
              <w:bottom w:w="90" w:type="dxa"/>
              <w:end w:w="110" w:type="dxa"/>
            </w:tcMar>
            <w:shd w:fill="122033"/>
          </w:tcPr>
          <w:p>
            <w:pPr>
              <w:spacing w:after="0" w:line="252" w:lineRule="auto"/>
            </w:pPr>
            <w:r>
              <w:t>Milestone</w:t>
            </w:r>
          </w:p>
        </w:tc>
        <w:tc>
          <w:tcPr>
            <w:tcW w:type="dxa" w:w="1843"/>
            <w:vAlign w:val="center"/>
            <w:tcMar>
              <w:top w:w="90" w:type="dxa"/>
              <w:start w:w="110" w:type="dxa"/>
              <w:bottom w:w="90" w:type="dxa"/>
              <w:end w:w="110" w:type="dxa"/>
            </w:tcMar>
            <w:shd w:fill="122033"/>
          </w:tcPr>
          <w:p>
            <w:pPr>
              <w:spacing w:after="0" w:line="252" w:lineRule="auto"/>
            </w:pPr>
            <w:r>
              <w:t>Public classification</w:t>
            </w:r>
          </w:p>
        </w:tc>
        <w:tc>
          <w:tcPr>
            <w:tcW w:type="dxa" w:w="3600"/>
            <w:vAlign w:val="center"/>
            <w:tcMar>
              <w:top w:w="90" w:type="dxa"/>
              <w:start w:w="110" w:type="dxa"/>
              <w:bottom w:w="90" w:type="dxa"/>
              <w:end w:w="110" w:type="dxa"/>
            </w:tcMar>
            <w:shd w:fill="122033"/>
          </w:tcPr>
          <w:p>
            <w:pPr>
              <w:spacing w:after="0" w:line="252" w:lineRule="auto"/>
            </w:pPr>
            <w:r>
              <w:t>Active remaining work</w:t>
            </w:r>
          </w:p>
        </w:tc>
        <w:tc>
          <w:tcPr>
            <w:tcW w:type="dxa" w:w="3528"/>
            <w:vAlign w:val="center"/>
            <w:tcMar>
              <w:top w:w="90" w:type="dxa"/>
              <w:start w:w="110" w:type="dxa"/>
              <w:bottom w:w="90" w:type="dxa"/>
              <w:end w:w="110" w:type="dxa"/>
            </w:tcMar>
            <w:shd w:fill="122033"/>
          </w:tcPr>
          <w:p>
            <w:pPr>
              <w:spacing w:after="0" w:line="252" w:lineRule="auto"/>
            </w:pPr>
            <w:r>
              <w:t>User outcome</w:t>
            </w:r>
          </w:p>
        </w:tc>
      </w:tr>
      <w:tr>
        <w:tc>
          <w:tcPr>
            <w:tcW w:type="dxa" w:w="1699"/>
            <w:vAlign w:val="center"/>
            <w:tcMar>
              <w:top w:w="90" w:type="dxa"/>
              <w:start w:w="110" w:type="dxa"/>
              <w:bottom w:w="90" w:type="dxa"/>
              <w:end w:w="110" w:type="dxa"/>
            </w:tcMar>
            <w:shd w:fill="FFFFFF"/>
          </w:tcPr>
          <w:p>
            <w:pPr>
              <w:spacing w:after="0" w:line="252" w:lineRule="auto"/>
            </w:pPr>
            <w:r>
              <w:t>G1 — common contracts</w:t>
            </w:r>
          </w:p>
        </w:tc>
        <w:tc>
          <w:tcPr>
            <w:tcW w:type="dxa" w:w="1843"/>
            <w:vAlign w:val="center"/>
            <w:tcMar>
              <w:top w:w="90" w:type="dxa"/>
              <w:start w:w="110" w:type="dxa"/>
              <w:bottom w:w="90" w:type="dxa"/>
              <w:end w:w="110" w:type="dxa"/>
            </w:tcMar>
            <w:shd w:fill="FFFFFF"/>
          </w:tcPr>
          <w:p>
            <w:pPr>
              <w:spacing w:after="0" w:line="252" w:lineRule="auto"/>
            </w:pPr>
            <w:r>
              <w:t>ACTIVE / SHARED LINEAGE</w:t>
            </w:r>
          </w:p>
        </w:tc>
        <w:tc>
          <w:tcPr>
            <w:tcW w:type="dxa" w:w="3600"/>
            <w:vAlign w:val="center"/>
            <w:tcMar>
              <w:top w:w="90" w:type="dxa"/>
              <w:start w:w="110" w:type="dxa"/>
              <w:bottom w:w="90" w:type="dxa"/>
              <w:end w:w="110" w:type="dxa"/>
            </w:tcMar>
            <w:shd w:fill="FFFFFF"/>
          </w:tcPr>
          <w:p>
            <w:pPr>
              <w:spacing w:after="0" w:line="252" w:lineRule="auto"/>
            </w:pPr>
            <w:r>
              <w:t>Complete only contracts consumed by current public behavior and VC-DG</w:t>
            </w:r>
          </w:p>
        </w:tc>
        <w:tc>
          <w:tcPr>
            <w:tcW w:type="dxa" w:w="3528"/>
            <w:vAlign w:val="center"/>
            <w:tcMar>
              <w:top w:w="90" w:type="dxa"/>
              <w:start w:w="110" w:type="dxa"/>
              <w:bottom w:w="90" w:type="dxa"/>
              <w:end w:w="110" w:type="dxa"/>
            </w:tcMar>
            <w:shd w:fill="FFFFFF"/>
          </w:tcPr>
          <w:p>
            <w:pPr>
              <w:spacing w:after="0" w:line="252" w:lineRule="auto"/>
            </w:pPr>
            <w:r>
              <w:t>Every active result exposes exact identity, status axes, provenance, and claim ceiling</w:t>
            </w:r>
          </w:p>
        </w:tc>
      </w:tr>
      <w:tr>
        <w:tc>
          <w:tcPr>
            <w:tcW w:type="dxa" w:w="1699"/>
            <w:vAlign w:val="center"/>
            <w:tcMar>
              <w:top w:w="90" w:type="dxa"/>
              <w:start w:w="110" w:type="dxa"/>
              <w:bottom w:w="90" w:type="dxa"/>
              <w:end w:w="110" w:type="dxa"/>
            </w:tcMar>
            <w:shd w:fill="F4F7F9"/>
          </w:tcPr>
          <w:p>
            <w:pPr>
              <w:spacing w:after="0" w:line="252" w:lineRule="auto"/>
            </w:pPr>
            <w:r>
              <w:t>G2 — durable Analysis</w:t>
            </w:r>
          </w:p>
        </w:tc>
        <w:tc>
          <w:tcPr>
            <w:tcW w:type="dxa" w:w="1843"/>
            <w:vAlign w:val="center"/>
            <w:tcMar>
              <w:top w:w="90" w:type="dxa"/>
              <w:start w:w="110" w:type="dxa"/>
              <w:bottom w:w="90" w:type="dxa"/>
              <w:end w:w="110" w:type="dxa"/>
            </w:tcMar>
            <w:shd w:fill="F4F7F9"/>
          </w:tcPr>
          <w:p>
            <w:pPr>
              <w:spacing w:after="0" w:line="252" w:lineRule="auto"/>
            </w:pPr>
            <w:r>
              <w:t>COMPLETE CURRENT PUBLIC DEPENDENCIES</w:t>
            </w:r>
          </w:p>
        </w:tc>
        <w:tc>
          <w:tcPr>
            <w:tcW w:type="dxa" w:w="3600"/>
            <w:vAlign w:val="center"/>
            <w:tcMar>
              <w:top w:w="90" w:type="dxa"/>
              <w:start w:w="110" w:type="dxa"/>
              <w:bottom w:w="90" w:type="dxa"/>
              <w:end w:w="110" w:type="dxa"/>
            </w:tcMar>
            <w:shd w:fill="F4F7F9"/>
          </w:tcPr>
          <w:p>
            <w:pPr>
              <w:spacing w:after="0" w:line="252" w:lineRule="auto"/>
            </w:pPr>
            <w:r>
              <w:t>Normal-route package verification/publication, crash reconstruction, cleanup, compact references, corruption/restore, and applicable platform proof</w:t>
            </w:r>
          </w:p>
        </w:tc>
        <w:tc>
          <w:tcPr>
            <w:tcW w:type="dxa" w:w="3528"/>
            <w:vAlign w:val="center"/>
            <w:tcMar>
              <w:top w:w="90" w:type="dxa"/>
              <w:start w:w="110" w:type="dxa"/>
              <w:bottom w:w="90" w:type="dxa"/>
              <w:end w:w="110" w:type="dxa"/>
            </w:tcMar>
            <w:shd w:fill="F4F7F9"/>
          </w:tcPr>
          <w:p>
            <w:pPr>
              <w:spacing w:after="0" w:line="252" w:lineRule="auto"/>
            </w:pPr>
            <w:r>
              <w:t>Current jobs and artifacts survive restart without identity loss or duplicate publication</w:t>
            </w:r>
          </w:p>
        </w:tc>
      </w:tr>
      <w:tr>
        <w:tc>
          <w:tcPr>
            <w:tcW w:type="dxa" w:w="1699"/>
            <w:vAlign w:val="center"/>
            <w:tcMar>
              <w:top w:w="90" w:type="dxa"/>
              <w:start w:w="110" w:type="dxa"/>
              <w:bottom w:w="90" w:type="dxa"/>
              <w:end w:w="110" w:type="dxa"/>
            </w:tcMar>
            <w:shd w:fill="FFFFFF"/>
          </w:tcPr>
          <w:p>
            <w:pPr>
              <w:spacing w:after="0" w:line="252" w:lineRule="auto"/>
            </w:pPr>
            <w:r>
              <w:t>G3 — remote provider</w:t>
            </w:r>
          </w:p>
        </w:tc>
        <w:tc>
          <w:tcPr>
            <w:tcW w:type="dxa" w:w="1843"/>
            <w:vAlign w:val="center"/>
            <w:tcMar>
              <w:top w:w="90" w:type="dxa"/>
              <w:start w:w="110" w:type="dxa"/>
              <w:bottom w:w="90" w:type="dxa"/>
              <w:end w:w="110" w:type="dxa"/>
            </w:tcMar>
            <w:shd w:fill="FFFFFF"/>
          </w:tcPr>
          <w:p>
            <w:pPr>
              <w:spacing w:after="0" w:line="252" w:lineRule="auto"/>
            </w:pPr>
            <w:r>
              <w:t>HISTORICAL / NON-NORMATIVE</w:t>
            </w:r>
          </w:p>
        </w:tc>
        <w:tc>
          <w:tcPr>
            <w:tcW w:type="dxa" w:w="3600"/>
            <w:vAlign w:val="center"/>
            <w:tcMar>
              <w:top w:w="90" w:type="dxa"/>
              <w:start w:w="110" w:type="dxa"/>
              <w:bottom w:w="90" w:type="dxa"/>
              <w:end w:w="110" w:type="dxa"/>
            </w:tcMar>
            <w:shd w:fill="FFFFFF"/>
          </w:tcPr>
          <w:p>
            <w:pPr>
              <w:spacing w:after="0" w:line="252" w:lineRule="auto"/>
            </w:pPr>
            <w:r>
              <w:t>None for current public closure; preserve the reconnect/auth/transport design record</w:t>
            </w:r>
          </w:p>
        </w:tc>
        <w:tc>
          <w:tcPr>
            <w:tcW w:type="dxa" w:w="3528"/>
            <w:vAlign w:val="center"/>
            <w:tcMar>
              <w:top w:w="90" w:type="dxa"/>
              <w:start w:w="110" w:type="dxa"/>
              <w:bottom w:w="90" w:type="dxa"/>
              <w:end w:w="110" w:type="dxa"/>
            </w:tcMar>
            <w:shd w:fill="FFFFFF"/>
          </w:tcPr>
          <w:p>
            <w:pPr>
              <w:spacing w:after="0" w:line="252" w:lineRule="auto"/>
            </w:pPr>
            <w:r>
              <w:t>No current release blocker</w:t>
            </w:r>
          </w:p>
        </w:tc>
      </w:tr>
      <w:tr>
        <w:tc>
          <w:tcPr>
            <w:tcW w:type="dxa" w:w="1699"/>
            <w:vAlign w:val="center"/>
            <w:tcMar>
              <w:top w:w="90" w:type="dxa"/>
              <w:start w:w="110" w:type="dxa"/>
              <w:bottom w:w="90" w:type="dxa"/>
              <w:end w:w="110" w:type="dxa"/>
            </w:tcMar>
            <w:shd w:fill="F4F7F9"/>
          </w:tcPr>
          <w:p>
            <w:pPr>
              <w:spacing w:after="0" w:line="252" w:lineRule="auto"/>
            </w:pPr>
            <w:r>
              <w:t>G4 — preview evidence</w:t>
            </w:r>
          </w:p>
        </w:tc>
        <w:tc>
          <w:tcPr>
            <w:tcW w:type="dxa" w:w="1843"/>
            <w:vAlign w:val="center"/>
            <w:tcMar>
              <w:top w:w="90" w:type="dxa"/>
              <w:start w:w="110" w:type="dxa"/>
              <w:bottom w:w="90" w:type="dxa"/>
              <w:end w:w="110" w:type="dxa"/>
            </w:tcMar>
            <w:shd w:fill="F4F7F9"/>
          </w:tcPr>
          <w:p>
            <w:pPr>
              <w:spacing w:after="0" w:line="252" w:lineRule="auto"/>
            </w:pPr>
            <w:r>
              <w:t>ACTIVE / SHARED LINEAGE</w:t>
            </w:r>
          </w:p>
        </w:tc>
        <w:tc>
          <w:tcPr>
            <w:tcW w:type="dxa" w:w="3600"/>
            <w:vAlign w:val="center"/>
            <w:tcMar>
              <w:top w:w="90" w:type="dxa"/>
              <w:start w:w="110" w:type="dxa"/>
              <w:bottom w:w="90" w:type="dxa"/>
              <w:end w:w="110" w:type="dxa"/>
            </w:tcMar>
            <w:shd w:fill="F4F7F9"/>
          </w:tcPr>
          <w:p>
            <w:pPr>
              <w:spacing w:after="0" w:line="252" w:lineRule="auto"/>
            </w:pPr>
            <w:r>
              <w:t>Close current authority/preview inconsistencies and support bounded VC-DG selector preview</w:t>
            </w:r>
          </w:p>
        </w:tc>
        <w:tc>
          <w:tcPr>
            <w:tcW w:type="dxa" w:w="3528"/>
            <w:vAlign w:val="center"/>
            <w:tcMar>
              <w:top w:w="90" w:type="dxa"/>
              <w:start w:w="110" w:type="dxa"/>
              <w:bottom w:w="90" w:type="dxa"/>
              <w:end w:w="110" w:type="dxa"/>
            </w:tcMar>
            <w:shd w:fill="F4F7F9"/>
          </w:tcPr>
          <w:p>
            <w:pPr>
              <w:spacing w:after="0" w:line="252" w:lineRule="auto"/>
            </w:pPr>
            <w:r>
              <w:t>Consequential actions show bounded impact and refuse stale application</w:t>
            </w:r>
          </w:p>
        </w:tc>
      </w:tr>
      <w:tr>
        <w:tc>
          <w:tcPr>
            <w:tcW w:type="dxa" w:w="1699"/>
            <w:vAlign w:val="center"/>
            <w:tcMar>
              <w:top w:w="90" w:type="dxa"/>
              <w:start w:w="110" w:type="dxa"/>
              <w:bottom w:w="90" w:type="dxa"/>
              <w:end w:w="110" w:type="dxa"/>
            </w:tcMar>
            <w:shd w:fill="FFFFFF"/>
          </w:tcPr>
          <w:p>
            <w:pPr>
              <w:spacing w:after="0" w:line="252" w:lineRule="auto"/>
            </w:pPr>
            <w:r>
              <w:t>G5 — workflow DAG</w:t>
            </w:r>
          </w:p>
        </w:tc>
        <w:tc>
          <w:tcPr>
            <w:tcW w:type="dxa" w:w="1843"/>
            <w:vAlign w:val="center"/>
            <w:tcMar>
              <w:top w:w="90" w:type="dxa"/>
              <w:start w:w="110" w:type="dxa"/>
              <w:bottom w:w="90" w:type="dxa"/>
              <w:end w:w="110" w:type="dxa"/>
            </w:tcMar>
            <w:shd w:fill="FFFFFF"/>
          </w:tcPr>
          <w:p>
            <w:pPr>
              <w:spacing w:after="0" w:line="252" w:lineRule="auto"/>
            </w:pPr>
            <w:r>
              <w:t>RETAIN CURRENT CAPABILITY</w:t>
            </w:r>
          </w:p>
        </w:tc>
        <w:tc>
          <w:tcPr>
            <w:tcW w:type="dxa" w:w="3600"/>
            <w:vAlign w:val="center"/>
            <w:tcMar>
              <w:top w:w="90" w:type="dxa"/>
              <w:start w:w="110" w:type="dxa"/>
              <w:bottom w:w="90" w:type="dxa"/>
              <w:end w:w="110" w:type="dxa"/>
            </w:tcMar>
            <w:shd w:fill="FFFFFF"/>
          </w:tcPr>
          <w:p>
            <w:pPr>
              <w:spacing w:after="0" w:line="252" w:lineRule="auto"/>
            </w:pPr>
            <w:r>
              <w:t>Preserve landed scheduler/restart/cancel/retry/publish-once behavior and tests</w:t>
            </w:r>
          </w:p>
        </w:tc>
        <w:tc>
          <w:tcPr>
            <w:tcW w:type="dxa" w:w="3528"/>
            <w:vAlign w:val="center"/>
            <w:tcMar>
              <w:top w:w="90" w:type="dxa"/>
              <w:start w:w="110" w:type="dxa"/>
              <w:bottom w:w="90" w:type="dxa"/>
              <w:end w:w="110" w:type="dxa"/>
            </w:tcMar>
            <w:shd w:fill="FFFFFF"/>
          </w:tcPr>
          <w:p>
            <w:pPr>
              <w:spacing w:after="0" w:line="252" w:lineRule="auto"/>
            </w:pPr>
            <w:r>
              <w:t>Current workflow behavior does not regress; generalized expansion is non-blocking</w:t>
            </w:r>
          </w:p>
        </w:tc>
      </w:tr>
      <w:tr>
        <w:tc>
          <w:tcPr>
            <w:tcW w:type="dxa" w:w="1699"/>
            <w:vAlign w:val="center"/>
            <w:tcMar>
              <w:top w:w="90" w:type="dxa"/>
              <w:start w:w="110" w:type="dxa"/>
              <w:bottom w:w="90" w:type="dxa"/>
              <w:end w:w="110" w:type="dxa"/>
            </w:tcMar>
            <w:shd w:fill="F4F7F9"/>
          </w:tcPr>
          <w:p>
            <w:pPr>
              <w:spacing w:after="0" w:line="252" w:lineRule="auto"/>
            </w:pPr>
            <w:r>
              <w:t>G6 — optimization</w:t>
            </w:r>
          </w:p>
        </w:tc>
        <w:tc>
          <w:tcPr>
            <w:tcW w:type="dxa" w:w="1843"/>
            <w:vAlign w:val="center"/>
            <w:tcMar>
              <w:top w:w="90" w:type="dxa"/>
              <w:start w:w="110" w:type="dxa"/>
              <w:bottom w:w="90" w:type="dxa"/>
              <w:end w:w="110" w:type="dxa"/>
            </w:tcMar>
            <w:shd w:fill="F4F7F9"/>
          </w:tcPr>
          <w:p>
            <w:pPr>
              <w:spacing w:after="0" w:line="252" w:lineRule="auto"/>
            </w:pPr>
            <w:r>
              <w:t>HISTORICAL / NON-NORMATIVE</w:t>
            </w:r>
          </w:p>
        </w:tc>
        <w:tc>
          <w:tcPr>
            <w:tcW w:type="dxa" w:w="3600"/>
            <w:vAlign w:val="center"/>
            <w:tcMar>
              <w:top w:w="90" w:type="dxa"/>
              <w:start w:w="110" w:type="dxa"/>
              <w:bottom w:w="90" w:type="dxa"/>
              <w:end w:w="110" w:type="dxa"/>
            </w:tcMar>
            <w:shd w:fill="F4F7F9"/>
          </w:tcPr>
          <w:p>
            <w:pPr>
              <w:spacing w:after="0" w:line="252" w:lineRule="auto"/>
            </w:pPr>
            <w:r>
              <w:t>Preserve landed contracts, ranking, selection, provenance, and truthful failure states</w:t>
            </w:r>
          </w:p>
        </w:tc>
        <w:tc>
          <w:tcPr>
            <w:tcW w:type="dxa" w:w="3528"/>
            <w:vAlign w:val="center"/>
            <w:tcMar>
              <w:top w:w="90" w:type="dxa"/>
              <w:start w:w="110" w:type="dxa"/>
              <w:bottom w:w="90" w:type="dxa"/>
              <w:end w:w="110" w:type="dxa"/>
            </w:tcMar>
            <w:shd w:fill="F4F7F9"/>
          </w:tcPr>
          <w:p>
            <w:pPr>
              <w:spacing w:after="0" w:line="252" w:lineRule="auto"/>
            </w:pPr>
            <w:r>
              <w:t>No current public optimization expansion obligation</w:t>
            </w:r>
          </w:p>
        </w:tc>
      </w:tr>
      <w:tr>
        <w:tc>
          <w:tcPr>
            <w:tcW w:type="dxa" w:w="1699"/>
            <w:vAlign w:val="center"/>
            <w:tcMar>
              <w:top w:w="90" w:type="dxa"/>
              <w:start w:w="110" w:type="dxa"/>
              <w:bottom w:w="90" w:type="dxa"/>
              <w:end w:w="110" w:type="dxa"/>
            </w:tcMar>
            <w:shd w:fill="FFFFFF"/>
          </w:tcPr>
          <w:p>
            <w:pPr>
              <w:spacing w:after="0" w:line="252" w:lineRule="auto"/>
            </w:pPr>
            <w:r>
              <w:t>G7 — Manufacture</w:t>
            </w:r>
          </w:p>
        </w:tc>
        <w:tc>
          <w:tcPr>
            <w:tcW w:type="dxa" w:w="1843"/>
            <w:vAlign w:val="center"/>
            <w:tcMar>
              <w:top w:w="90" w:type="dxa"/>
              <w:start w:w="110" w:type="dxa"/>
              <w:bottom w:w="90" w:type="dxa"/>
              <w:end w:w="110" w:type="dxa"/>
            </w:tcMar>
            <w:shd w:fill="FFFFFF"/>
          </w:tcPr>
          <w:p>
            <w:pPr>
              <w:spacing w:after="0" w:line="252" w:lineRule="auto"/>
            </w:pPr>
            <w:r>
              <w:t>RETAIN CURRENT CAPABILITY</w:t>
            </w:r>
          </w:p>
        </w:tc>
        <w:tc>
          <w:tcPr>
            <w:tcW w:type="dxa" w:w="3600"/>
            <w:vAlign w:val="center"/>
            <w:tcMar>
              <w:top w:w="90" w:type="dxa"/>
              <w:start w:w="110" w:type="dxa"/>
              <w:bottom w:w="90" w:type="dxa"/>
              <w:end w:w="110" w:type="dxa"/>
            </w:tcMar>
            <w:shd w:fill="FFFFFF"/>
          </w:tcPr>
          <w:p>
            <w:pPr>
              <w:spacing w:after="0" w:line="252" w:lineRule="auto"/>
            </w:pPr>
            <w:r>
              <w:t>Preserve current Post/CAMotics/simulation evidence and claim ceilings</w:t>
            </w:r>
          </w:p>
        </w:tc>
        <w:tc>
          <w:tcPr>
            <w:tcW w:type="dxa" w:w="3528"/>
            <w:vAlign w:val="center"/>
            <w:tcMar>
              <w:top w:w="90" w:type="dxa"/>
              <w:start w:w="110" w:type="dxa"/>
              <w:bottom w:w="90" w:type="dxa"/>
              <w:end w:w="110" w:type="dxa"/>
            </w:tcMar>
            <w:shd w:fill="FFFFFF"/>
          </w:tcPr>
          <w:p>
            <w:pPr>
              <w:spacing w:after="0" w:line="252" w:lineRule="auto"/>
            </w:pPr>
            <w:r>
              <w:t>Current manufacturing evidence stays owner-bound and honest</w:t>
            </w:r>
          </w:p>
        </w:tc>
      </w:tr>
      <w:tr>
        <w:tc>
          <w:tcPr>
            <w:tcW w:type="dxa" w:w="1699"/>
            <w:vAlign w:val="center"/>
            <w:tcMar>
              <w:top w:w="90" w:type="dxa"/>
              <w:start w:w="110" w:type="dxa"/>
              <w:bottom w:w="90" w:type="dxa"/>
              <w:end w:w="110" w:type="dxa"/>
            </w:tcMar>
            <w:shd w:fill="F4F7F9"/>
          </w:tcPr>
          <w:p>
            <w:pPr>
              <w:spacing w:after="0" w:line="252" w:lineRule="auto"/>
            </w:pPr>
            <w:r>
              <w:t>G8 — Assembly</w:t>
            </w:r>
          </w:p>
        </w:tc>
        <w:tc>
          <w:tcPr>
            <w:tcW w:type="dxa" w:w="1843"/>
            <w:vAlign w:val="center"/>
            <w:tcMar>
              <w:top w:w="90" w:type="dxa"/>
              <w:start w:w="110" w:type="dxa"/>
              <w:bottom w:w="90" w:type="dxa"/>
              <w:end w:w="110" w:type="dxa"/>
            </w:tcMar>
            <w:shd w:fill="F4F7F9"/>
          </w:tcPr>
          <w:p>
            <w:pPr>
              <w:spacing w:after="0" w:line="252" w:lineRule="auto"/>
            </w:pPr>
            <w:r>
              <w:t>RETAIN CURRENT CAPABILITY</w:t>
            </w:r>
          </w:p>
        </w:tc>
        <w:tc>
          <w:tcPr>
            <w:tcW w:type="dxa" w:w="3600"/>
            <w:vAlign w:val="center"/>
            <w:tcMar>
              <w:top w:w="90" w:type="dxa"/>
              <w:start w:w="110" w:type="dxa"/>
              <w:bottom w:w="90" w:type="dxa"/>
              <w:end w:w="110" w:type="dxa"/>
            </w:tcMar>
            <w:shd w:fill="F4F7F9"/>
          </w:tcPr>
          <w:p>
            <w:pPr>
              <w:spacing w:after="0" w:line="252" w:lineRule="auto"/>
            </w:pPr>
            <w:r>
              <w:t>Preserve current graph, interfaces, semantic geometry, mechanisms, fasteners, and evidence</w:t>
            </w:r>
          </w:p>
        </w:tc>
        <w:tc>
          <w:tcPr>
            <w:tcW w:type="dxa" w:w="3528"/>
            <w:vAlign w:val="center"/>
            <w:tcMar>
              <w:top w:w="90" w:type="dxa"/>
              <w:start w:w="110" w:type="dxa"/>
              <w:bottom w:w="90" w:type="dxa"/>
              <w:end w:w="110" w:type="dxa"/>
            </w:tcMar>
            <w:shd w:fill="F4F7F9"/>
          </w:tcPr>
          <w:p>
            <w:pPr>
              <w:spacing w:after="0" w:line="252" w:lineRule="auto"/>
            </w:pPr>
            <w:r>
              <w:t>Current assembly behavior stays traceable without requiring advanced consolidation</w:t>
            </w:r>
          </w:p>
        </w:tc>
      </w:tr>
      <w:tr>
        <w:tc>
          <w:tcPr>
            <w:tcW w:type="dxa" w:w="1699"/>
            <w:vAlign w:val="center"/>
            <w:tcMar>
              <w:top w:w="90" w:type="dxa"/>
              <w:start w:w="110" w:type="dxa"/>
              <w:bottom w:w="90" w:type="dxa"/>
              <w:end w:w="110" w:type="dxa"/>
            </w:tcMar>
            <w:shd w:fill="FFFFFF"/>
          </w:tcPr>
          <w:p>
            <w:pPr>
              <w:spacing w:after="0" w:line="252" w:lineRule="auto"/>
            </w:pPr>
            <w:r>
              <w:t>G9 — joint proposals</w:t>
            </w:r>
          </w:p>
        </w:tc>
        <w:tc>
          <w:tcPr>
            <w:tcW w:type="dxa" w:w="1843"/>
            <w:vAlign w:val="center"/>
            <w:tcMar>
              <w:top w:w="90" w:type="dxa"/>
              <w:start w:w="110" w:type="dxa"/>
              <w:bottom w:w="90" w:type="dxa"/>
              <w:end w:w="110" w:type="dxa"/>
            </w:tcMar>
            <w:shd w:fill="FFFFFF"/>
          </w:tcPr>
          <w:p>
            <w:pPr>
              <w:spacing w:after="0" w:line="252" w:lineRule="auto"/>
            </w:pPr>
            <w:r>
              <w:t>HISTORICAL / NON-NORMATIVE</w:t>
            </w:r>
          </w:p>
        </w:tc>
        <w:tc>
          <w:tcPr>
            <w:tcW w:type="dxa" w:w="3600"/>
            <w:vAlign w:val="center"/>
            <w:tcMar>
              <w:top w:w="90" w:type="dxa"/>
              <w:start w:w="110" w:type="dxa"/>
              <w:bottom w:w="90" w:type="dxa"/>
              <w:end w:w="110" w:type="dxa"/>
            </w:tcMar>
            <w:shd w:fill="FFFFFF"/>
          </w:tcPr>
          <w:p>
            <w:pPr>
              <w:spacing w:after="0" w:line="252" w:lineRule="auto"/>
            </w:pPr>
            <w:r>
              <w:t>Preserve landed propose-only foundations; future expansion requires separate authorization</w:t>
            </w:r>
          </w:p>
        </w:tc>
        <w:tc>
          <w:tcPr>
            <w:tcW w:type="dxa" w:w="3528"/>
            <w:vAlign w:val="center"/>
            <w:tcMar>
              <w:top w:w="90" w:type="dxa"/>
              <w:start w:w="110" w:type="dxa"/>
              <w:bottom w:w="90" w:type="dxa"/>
              <w:end w:w="110" w:type="dxa"/>
            </w:tcMar>
            <w:shd w:fill="FFFFFF"/>
          </w:tcPr>
          <w:p>
            <w:pPr>
              <w:spacing w:after="0" w:line="252" w:lineRule="auto"/>
            </w:pPr>
            <w:r>
              <w:t>No current release blocker</w:t>
            </w:r>
          </w:p>
        </w:tc>
      </w:tr>
      <w:tr>
        <w:tc>
          <w:tcPr>
            <w:tcW w:type="dxa" w:w="1699"/>
            <w:vAlign w:val="center"/>
            <w:tcMar>
              <w:top w:w="90" w:type="dxa"/>
              <w:start w:w="110" w:type="dxa"/>
              <w:bottom w:w="90" w:type="dxa"/>
              <w:end w:w="110" w:type="dxa"/>
            </w:tcMar>
            <w:shd w:fill="F4F7F9"/>
          </w:tcPr>
          <w:p>
            <w:pPr>
              <w:spacing w:after="0" w:line="252" w:lineRule="auto"/>
            </w:pPr>
            <w:r>
              <w:t>G10 — sequencing</w:t>
            </w:r>
          </w:p>
        </w:tc>
        <w:tc>
          <w:tcPr>
            <w:tcW w:type="dxa" w:w="1843"/>
            <w:vAlign w:val="center"/>
            <w:tcMar>
              <w:top w:w="90" w:type="dxa"/>
              <w:start w:w="110" w:type="dxa"/>
              <w:bottom w:w="90" w:type="dxa"/>
              <w:end w:w="110" w:type="dxa"/>
            </w:tcMar>
            <w:shd w:fill="F4F7F9"/>
          </w:tcPr>
          <w:p>
            <w:pPr>
              <w:spacing w:after="0" w:line="252" w:lineRule="auto"/>
            </w:pPr>
            <w:r>
              <w:t>HISTORICAL / NON-NORMATIVE</w:t>
            </w:r>
          </w:p>
        </w:tc>
        <w:tc>
          <w:tcPr>
            <w:tcW w:type="dxa" w:w="3600"/>
            <w:vAlign w:val="center"/>
            <w:tcMar>
              <w:top w:w="90" w:type="dxa"/>
              <w:start w:w="110" w:type="dxa"/>
              <w:bottom w:w="90" w:type="dxa"/>
              <w:end w:w="110" w:type="dxa"/>
            </w:tcMar>
            <w:shd w:fill="F4F7F9"/>
          </w:tcPr>
          <w:p>
            <w:pPr>
              <w:spacing w:after="0" w:line="252" w:lineRule="auto"/>
            </w:pPr>
            <w:r>
              <w:t>Preserve bounded planner contracts and uncertainty semantics</w:t>
            </w:r>
          </w:p>
        </w:tc>
        <w:tc>
          <w:tcPr>
            <w:tcW w:type="dxa" w:w="3528"/>
            <w:vAlign w:val="center"/>
            <w:tcMar>
              <w:top w:w="90" w:type="dxa"/>
              <w:start w:w="110" w:type="dxa"/>
              <w:bottom w:w="90" w:type="dxa"/>
              <w:end w:w="110" w:type="dxa"/>
            </w:tcMar>
            <w:shd w:fill="F4F7F9"/>
          </w:tcPr>
          <w:p>
            <w:pPr>
              <w:spacing w:after="0" w:line="252" w:lineRule="auto"/>
            </w:pPr>
            <w:r>
              <w:t>No current release blocker</w:t>
            </w:r>
          </w:p>
        </w:tc>
      </w:tr>
      <w:tr>
        <w:tc>
          <w:tcPr>
            <w:tcW w:type="dxa" w:w="1699"/>
            <w:vAlign w:val="center"/>
            <w:tcMar>
              <w:top w:w="90" w:type="dxa"/>
              <w:start w:w="110" w:type="dxa"/>
              <w:bottom w:w="90" w:type="dxa"/>
              <w:end w:w="110" w:type="dxa"/>
            </w:tcMar>
            <w:shd w:fill="FFFFFF"/>
          </w:tcPr>
          <w:p>
            <w:pPr>
              <w:spacing w:after="0" w:line="252" w:lineRule="auto"/>
            </w:pPr>
            <w:r>
              <w:t>G11 — service</w:t>
            </w:r>
          </w:p>
        </w:tc>
        <w:tc>
          <w:tcPr>
            <w:tcW w:type="dxa" w:w="1843"/>
            <w:vAlign w:val="center"/>
            <w:tcMar>
              <w:top w:w="90" w:type="dxa"/>
              <w:start w:w="110" w:type="dxa"/>
              <w:bottom w:w="90" w:type="dxa"/>
              <w:end w:w="110" w:type="dxa"/>
            </w:tcMar>
            <w:shd w:fill="FFFFFF"/>
          </w:tcPr>
          <w:p>
            <w:pPr>
              <w:spacing w:after="0" w:line="252" w:lineRule="auto"/>
            </w:pPr>
            <w:r>
              <w:t>HISTORICAL / NON-NORMATIVE</w:t>
            </w:r>
          </w:p>
        </w:tc>
        <w:tc>
          <w:tcPr>
            <w:tcW w:type="dxa" w:w="3600"/>
            <w:vAlign w:val="center"/>
            <w:tcMar>
              <w:top w:w="90" w:type="dxa"/>
              <w:start w:w="110" w:type="dxa"/>
              <w:bottom w:w="90" w:type="dxa"/>
              <w:end w:w="110" w:type="dxa"/>
            </w:tcMar>
            <w:shd w:fill="FFFFFF"/>
          </w:tcPr>
          <w:p>
            <w:pPr>
              <w:spacing w:after="0" w:line="252" w:lineRule="auto"/>
            </w:pPr>
            <w:r>
              <w:t>Preserve service-projection design and bounded foundations</w:t>
            </w:r>
          </w:p>
        </w:tc>
        <w:tc>
          <w:tcPr>
            <w:tcW w:type="dxa" w:w="3528"/>
            <w:vAlign w:val="center"/>
            <w:tcMar>
              <w:top w:w="90" w:type="dxa"/>
              <w:start w:w="110" w:type="dxa"/>
              <w:bottom w:w="90" w:type="dxa"/>
              <w:end w:w="110" w:type="dxa"/>
            </w:tcMar>
            <w:shd w:fill="FFFFFF"/>
          </w:tcPr>
          <w:p>
            <w:pPr>
              <w:spacing w:after="0" w:line="252" w:lineRule="auto"/>
            </w:pPr>
            <w:r>
              <w:t>No current release blocker</w:t>
            </w:r>
          </w:p>
        </w:tc>
      </w:tr>
      <w:tr>
        <w:tc>
          <w:tcPr>
            <w:tcW w:type="dxa" w:w="1699"/>
            <w:vAlign w:val="center"/>
            <w:tcMar>
              <w:top w:w="90" w:type="dxa"/>
              <w:start w:w="110" w:type="dxa"/>
              <w:bottom w:w="90" w:type="dxa"/>
              <w:end w:w="110" w:type="dxa"/>
            </w:tcMar>
            <w:shd w:fill="F4F7F9"/>
          </w:tcPr>
          <w:p>
            <w:pPr>
              <w:spacing w:after="0" w:line="252" w:lineRule="auto"/>
            </w:pPr>
            <w:r>
              <w:t>G12 — Robot projection</w:t>
            </w:r>
          </w:p>
        </w:tc>
        <w:tc>
          <w:tcPr>
            <w:tcW w:type="dxa" w:w="1843"/>
            <w:vAlign w:val="center"/>
            <w:tcMar>
              <w:top w:w="90" w:type="dxa"/>
              <w:start w:w="110" w:type="dxa"/>
              <w:bottom w:w="90" w:type="dxa"/>
              <w:end w:w="110" w:type="dxa"/>
            </w:tcMar>
            <w:shd w:fill="F4F7F9"/>
          </w:tcPr>
          <w:p>
            <w:pPr>
              <w:spacing w:after="0" w:line="252" w:lineRule="auto"/>
            </w:pPr>
            <w:r>
              <w:t>HISTORICAL / NON-NORMATIVE</w:t>
            </w:r>
          </w:p>
        </w:tc>
        <w:tc>
          <w:tcPr>
            <w:tcW w:type="dxa" w:w="3600"/>
            <w:vAlign w:val="center"/>
            <w:tcMar>
              <w:top w:w="90" w:type="dxa"/>
              <w:start w:w="110" w:type="dxa"/>
              <w:bottom w:w="90" w:type="dxa"/>
              <w:end w:w="110" w:type="dxa"/>
            </w:tcMar>
            <w:shd w:fill="F4F7F9"/>
          </w:tcPr>
          <w:p>
            <w:pPr>
              <w:spacing w:after="0" w:line="252" w:lineRule="auto"/>
            </w:pPr>
            <w:r>
              <w:t>Preserve versioned task/frame/unit boundary; Robot remains authoritative</w:t>
            </w:r>
          </w:p>
        </w:tc>
        <w:tc>
          <w:tcPr>
            <w:tcW w:type="dxa" w:w="3528"/>
            <w:vAlign w:val="center"/>
            <w:tcMar>
              <w:top w:w="90" w:type="dxa"/>
              <w:start w:w="110" w:type="dxa"/>
              <w:bottom w:w="90" w:type="dxa"/>
              <w:end w:w="110" w:type="dxa"/>
            </w:tcMar>
            <w:shd w:fill="F4F7F9"/>
          </w:tcPr>
          <w:p>
            <w:pPr>
              <w:spacing w:after="0" w:line="252" w:lineRule="auto"/>
            </w:pPr>
            <w:r>
              <w:t>No current release blocker</w:t>
            </w:r>
          </w:p>
        </w:tc>
      </w:tr>
      <w:tr>
        <w:tc>
          <w:tcPr>
            <w:tcW w:type="dxa" w:w="2541"/>
          </w:tcPr>
          <w:p>
            <w:r>
              <w:t>McMasterInsert</w:t>
            </w:r>
          </w:p>
        </w:tc>
        <w:tc>
          <w:tcPr>
            <w:tcW w:type="dxa" w:w="2541"/>
          </w:tcPr>
          <w:p>
            <w:r>
              <w:t>COMPLETE AND RETAIN CURRENT CAPABILITY</w:t>
            </w:r>
          </w:p>
        </w:tc>
        <w:tc>
          <w:tcPr>
            <w:tcW w:type="dxa" w:w="2541"/>
          </w:tcPr>
          <w:p>
            <w:r>
              <w:t>Finish current catalog/import/cache/placement, package, and visible acceptance work; keep it separate from bundled standard fasteners and future procurement intelligence</w:t>
            </w:r>
          </w:p>
        </w:tc>
        <w:tc>
          <w:tcPr>
            <w:tcW w:type="dxa" w:w="2541"/>
          </w:tcPr>
          <w:p>
            <w:r>
              <w:t>Current vendor-CAD insertion remains usable without creating a generalized sourcing or purchasing authority</w:t>
            </w:r>
          </w:p>
        </w:tc>
      </w:tr>
      <w:tr>
        <w:tc>
          <w:tcPr>
            <w:tcW w:type="dxa" w:w="2541"/>
          </w:tcPr>
          <w:p>
            <w:r>
              <w:t>VC-DG-0</w:t>
            </w:r>
          </w:p>
        </w:tc>
        <w:tc>
          <w:tcPr>
            <w:tcW w:type="dxa" w:w="2541"/>
          </w:tcPr>
          <w:p>
            <w:r>
              <w:t>ACTIVE CONSUMER PROFILE / MANDATORY</w:t>
            </w:r>
          </w:p>
        </w:tc>
        <w:tc>
          <w:tcPr>
            <w:tcW w:type="dxa" w:w="2541"/>
          </w:tcPr>
          <w:p>
            <w:r>
              <w:t>Register the VC-DG profile against the reusable exact-package tester; use discovered semantic targets plus configured VibeCAD tours, native file round trip, collision-safe receipts, and zero physical input injection</w:t>
            </w:r>
          </w:p>
        </w:tc>
        <w:tc>
          <w:tcPr>
            <w:tcW w:type="dxa" w:w="2541"/>
          </w:tcPr>
          <w:p>
            <w:r>
              <w:t>The exact checkout can be watched and tested without creating a second tester or granting generic tester success any physics credit</w:t>
            </w:r>
          </w:p>
        </w:tc>
      </w:tr>
      <w:tr>
        <w:tc>
          <w:tcPr>
            <w:tcW w:type="dxa" w:w="2541"/>
          </w:tcPr>
          <w:p>
            <w:r>
              <w:t>VC-DG-1 to VC-DG-3</w:t>
            </w:r>
          </w:p>
        </w:tc>
        <w:tc>
          <w:tcPr>
            <w:tcW w:type="dxa" w:w="2541"/>
          </w:tcPr>
          <w:p>
            <w:r>
              <w:t>ACTIVE; NO PACKAGE COMPLETE</w:t>
            </w:r>
          </w:p>
        </w:tc>
        <w:tc>
          <w:tcPr>
            <w:tcW w:type="dxa" w:w="2541"/>
          </w:tcPr>
          <w:p>
            <w:r>
              <w:t>Contracts, selectors, representation, cache/replay/cancel/stale behavior, and conforming-reference registration</w:t>
            </w:r>
          </w:p>
        </w:tc>
        <w:tc>
          <w:tcPr>
            <w:tcW w:type="dxa" w:w="2541"/>
          </w:tcPr>
          <w:p>
            <w:r>
              <w:t>Cases remain deterministic, source-bound, and representation-explicit</w:t>
            </w:r>
          </w:p>
        </w:tc>
      </w:tr>
      <w:tr>
        <w:tc>
          <w:tcPr>
            <w:tcW w:type="dxa" w:w="2541"/>
          </w:tcPr>
          <w:p>
            <w:r>
              <w:t>VC-DG-4 to VC-DG-6</w:t>
            </w:r>
          </w:p>
        </w:tc>
        <w:tc>
          <w:tcPr>
            <w:tcW w:type="dxa" w:w="2541"/>
          </w:tcPr>
          <w:p>
            <w:r>
              <w:t>ACTIVE; NO PACKAGE COMPLETE</w:t>
            </w:r>
          </w:p>
        </w:tc>
        <w:tc>
          <w:tcPr>
            <w:tcW w:type="dxa" w:w="2541"/>
          </w:tcPr>
          <w:p>
            <w:r>
              <w:t>Structural and thermal methods, packaging, UI/file lifecycle, fields/QOIs, balance, resolution, sensitivity, benchmarks, and conforming comparison</w:t>
            </w:r>
          </w:p>
        </w:tc>
        <w:tc>
          <w:tcPr>
            <w:tcW w:type="dxa" w:w="2541"/>
          </w:tcPr>
          <w:p>
            <w:r>
              <w:t>Bounded structural/thermal results without user-managed body-fitted meshes</w:t>
            </w:r>
          </w:p>
        </w:tc>
      </w:tr>
      <w:tr>
        <w:tc>
          <w:tcPr>
            <w:tcW w:type="dxa" w:w="2541"/>
          </w:tcPr>
          <w:p>
            <w:r>
              <w:t>VC-DG-7</w:t>
            </w:r>
          </w:p>
        </w:tc>
        <w:tc>
          <w:tcPr>
            <w:tcW w:type="dxa" w:w="2541"/>
          </w:tcPr>
          <w:p>
            <w:r>
              <w:t>OPTIONAL; BLOCKED BY VC-DG-6</w:t>
            </w:r>
          </w:p>
        </w:tc>
        <w:tc>
          <w:tcPr>
            <w:tcW w:type="dxa" w:w="2541"/>
          </w:tcPr>
          <w:p>
            <w:r>
              <w:t>No core work required; evaluate only after separate authorization</w:t>
            </w:r>
          </w:p>
        </w:tc>
        <w:tc>
          <w:tcPr>
            <w:tcW w:type="dxa" w:w="2541"/>
          </w:tcPr>
          <w:p>
            <w:r>
              <w:t>Optional fixed-boundary incompressible embedded-flow preview with no core or Aero completion credit</w:t>
            </w:r>
          </w:p>
        </w:tc>
      </w:tr>
    </w:tbl>
    <w:p>
      <w:pPr>
        <w:spacing w:after="0"/>
      </w:pPr>
    </w:p>
    <w:p>
      <w:pPr>
        <w:pStyle w:val="Heading2"/>
        <w:keepNext/>
      </w:pPr>
      <w:r>
        <w:t>Why current G2 publication and VC-DG sequencing dominate the near term</w:t>
      </w:r>
    </w:p>
    <w:p>
      <w:pPr>
        <w:pStyle w:val="BodyText"/>
      </w:pPr>
      <w:r>
        <w:t>The working roadmap contains strong current FEM evidence: multi-cycle physical CalculiX runs on installed Windows and Linux packages, exact document UID preservation, imported field semantics, active-close refusal, and one receipt-backed physical publication path. The honest boundary is that the publisher must become package-contained, normal-route, repeated, and crash-reconstructed across applicable environments. The new VC-DG lane builds on those same authorities but is not yet a completed analysis package: contracts, semantic selectors, representation, structural and thermal methods, packaging, resolution studies, balance and conditioning evidence, UI persistence, and conforming comparison remain ordered work.</w:t>
      </w:r>
    </w:p>
    <w:p>
      <w:r>
        <w:br w:type="page"/>
      </w:r>
    </w:p>
    <w:p>
      <w:pPr>
        <w:pStyle w:val="Heading1"/>
        <w:keepNext/>
      </w:pPr>
      <w:r>
        <w:t>5. Engineering Experience: the remaining UI rework</w:t>
      </w:r>
    </w:p>
    <w:p>
      <w:pPr>
        <w:pStyle w:val="BodyText"/>
      </w:pPr>
      <w:r>
        <w:t>The X-track is a no-authority human-facing projection. X1 and X4 remain active where current Native, FEM, low-order Aero, and VC-DG consume them; X2 current activity and artifact behavior is retained. Other landed projections remain regression-protected, while their generalized advanced expansion is historical/non-normative.</w:t>
      </w:r>
    </w:p>
    <w:tbl>
      <w:tblPr>
        <w:tblW w:type="auto" w:w="0"/>
        <w:jc w:val="center"/>
        <w:tblLayout w:type="fixed"/>
        <w:tblLook w:firstColumn="1" w:firstRow="1" w:lastColumn="0" w:lastRow="0" w:noHBand="0" w:noVBand="1" w:val="04A0"/>
      </w:tblPr>
      <w:tblGrid>
        <w:gridCol w:w="3389"/>
        <w:gridCol w:w="3389"/>
        <w:gridCol w:w="3389"/>
      </w:tblGrid>
      <w:tr>
        <w:tc>
          <w:tcPr>
            <w:tcW w:type="dxa" w:w="1786"/>
            <w:vAlign w:val="center"/>
            <w:tcMar>
              <w:top w:w="90" w:type="dxa"/>
              <w:start w:w="110" w:type="dxa"/>
              <w:bottom w:w="90" w:type="dxa"/>
              <w:end w:w="110" w:type="dxa"/>
            </w:tcMar>
            <w:shd w:fill="122033"/>
          </w:tcPr>
          <w:p>
            <w:pPr>
              <w:spacing w:after="0" w:line="252" w:lineRule="auto"/>
            </w:pPr>
            <w:r>
              <w:t>X milestone</w:t>
            </w:r>
          </w:p>
        </w:tc>
        <w:tc>
          <w:tcPr>
            <w:tcW w:type="dxa" w:w="5832"/>
            <w:vAlign w:val="center"/>
            <w:tcMar>
              <w:top w:w="90" w:type="dxa"/>
              <w:start w:w="110" w:type="dxa"/>
              <w:bottom w:w="90" w:type="dxa"/>
              <w:end w:w="110" w:type="dxa"/>
            </w:tcMar>
            <w:shd w:fill="122033"/>
          </w:tcPr>
          <w:p>
            <w:pPr>
              <w:spacing w:after="0" w:line="252" w:lineRule="auto"/>
            </w:pPr>
            <w:r>
              <w:t>Public classification</w:t>
            </w:r>
          </w:p>
        </w:tc>
        <w:tc>
          <w:tcPr>
            <w:tcW w:type="dxa" w:w="2966"/>
            <w:vAlign w:val="center"/>
            <w:tcMar>
              <w:top w:w="90" w:type="dxa"/>
              <w:start w:w="110" w:type="dxa"/>
              <w:bottom w:w="90" w:type="dxa"/>
              <w:end w:w="110" w:type="dxa"/>
            </w:tcMar>
            <w:shd w:fill="122033"/>
          </w:tcPr>
          <w:p>
            <w:pPr>
              <w:spacing w:after="0" w:line="252" w:lineRule="auto"/>
            </w:pPr>
            <w:r>
              <w:t>Current obligation</w:t>
            </w:r>
          </w:p>
        </w:tc>
      </w:tr>
      <w:tr>
        <w:tc>
          <w:tcPr>
            <w:tcW w:type="dxa" w:w="1786"/>
            <w:vAlign w:val="center"/>
            <w:tcMar>
              <w:top w:w="90" w:type="dxa"/>
              <w:start w:w="110" w:type="dxa"/>
              <w:bottom w:w="90" w:type="dxa"/>
              <w:end w:w="110" w:type="dxa"/>
            </w:tcMar>
            <w:shd w:fill="FFFFFF"/>
          </w:tcPr>
          <w:p>
            <w:pPr>
              <w:spacing w:after="0" w:line="252" w:lineRule="auto"/>
            </w:pPr>
            <w:r>
              <w:t>X1 common presentation</w:t>
            </w:r>
          </w:p>
        </w:tc>
        <w:tc>
          <w:tcPr>
            <w:tcW w:type="dxa" w:w="5832"/>
            <w:vAlign w:val="center"/>
            <w:tcMar>
              <w:top w:w="90" w:type="dxa"/>
              <w:start w:w="110" w:type="dxa"/>
              <w:bottom w:w="90" w:type="dxa"/>
              <w:end w:w="110" w:type="dxa"/>
            </w:tcMar>
            <w:shd w:fill="FFFFFF"/>
          </w:tcPr>
          <w:p>
            <w:pPr>
              <w:spacing w:after="0" w:line="252" w:lineRule="auto"/>
            </w:pPr>
            <w:r>
              <w:t>ACTIVE / SHARED LINEAGE</w:t>
            </w:r>
          </w:p>
        </w:tc>
        <w:tc>
          <w:tcPr>
            <w:tcW w:type="dxa" w:w="2966"/>
            <w:vAlign w:val="center"/>
            <w:tcMar>
              <w:top w:w="90" w:type="dxa"/>
              <w:start w:w="110" w:type="dxa"/>
              <w:bottom w:w="90" w:type="dxa"/>
              <w:end w:w="110" w:type="dxa"/>
            </w:tcMar>
            <w:shd w:fill="FFFFFF"/>
          </w:tcPr>
          <w:p>
            <w:pPr>
              <w:spacing w:after="0" w:line="252" w:lineRule="auto"/>
            </w:pPr>
            <w:r>
              <w:t>Finish current result, finding, provenance, status, and VC-DG presentation against real owners</w:t>
            </w:r>
          </w:p>
        </w:tc>
      </w:tr>
      <w:tr>
        <w:tc>
          <w:tcPr>
            <w:tcW w:type="dxa" w:w="1786"/>
            <w:vAlign w:val="center"/>
            <w:tcMar>
              <w:top w:w="90" w:type="dxa"/>
              <w:start w:w="110" w:type="dxa"/>
              <w:bottom w:w="90" w:type="dxa"/>
              <w:end w:w="110" w:type="dxa"/>
            </w:tcMar>
            <w:shd w:fill="F4F7F9"/>
          </w:tcPr>
          <w:p>
            <w:pPr>
              <w:spacing w:after="0" w:line="252" w:lineRule="auto"/>
            </w:pPr>
            <w:r>
              <w:t>X2 durable activity</w:t>
            </w:r>
          </w:p>
        </w:tc>
        <w:tc>
          <w:tcPr>
            <w:tcW w:type="dxa" w:w="5832"/>
            <w:vAlign w:val="center"/>
            <w:tcMar>
              <w:top w:w="90" w:type="dxa"/>
              <w:start w:w="110" w:type="dxa"/>
              <w:bottom w:w="90" w:type="dxa"/>
              <w:end w:w="110" w:type="dxa"/>
            </w:tcMar>
            <w:shd w:fill="F4F7F9"/>
          </w:tcPr>
          <w:p>
            <w:pPr>
              <w:spacing w:after="0" w:line="252" w:lineRule="auto"/>
            </w:pPr>
            <w:r>
              <w:t>RETAIN CURRENT CAPABILITY</w:t>
            </w:r>
          </w:p>
        </w:tc>
        <w:tc>
          <w:tcPr>
            <w:tcW w:type="dxa" w:w="2966"/>
            <w:vAlign w:val="center"/>
            <w:tcMar>
              <w:top w:w="90" w:type="dxa"/>
              <w:start w:w="110" w:type="dxa"/>
              <w:bottom w:w="90" w:type="dxa"/>
              <w:end w:w="110" w:type="dxa"/>
            </w:tcMar>
            <w:shd w:fill="F4F7F9"/>
          </w:tcPr>
          <w:p>
            <w:pPr>
              <w:spacing w:after="0" w:line="252" w:lineRule="auto"/>
            </w:pPr>
            <w:r>
              <w:t>Keep current attempt, artifact, recovery, retention, and publication surfaces functional</w:t>
            </w:r>
          </w:p>
        </w:tc>
      </w:tr>
      <w:tr>
        <w:tc>
          <w:tcPr>
            <w:tcW w:type="dxa" w:w="1786"/>
            <w:vAlign w:val="center"/>
            <w:tcMar>
              <w:top w:w="90" w:type="dxa"/>
              <w:start w:w="110" w:type="dxa"/>
              <w:bottom w:w="90" w:type="dxa"/>
              <w:end w:w="110" w:type="dxa"/>
            </w:tcMar>
            <w:shd w:fill="FFFFFF"/>
          </w:tcPr>
          <w:p>
            <w:pPr>
              <w:spacing w:after="0" w:line="252" w:lineRule="auto"/>
            </w:pPr>
            <w:r>
              <w:t>X3 remote execution</w:t>
            </w:r>
          </w:p>
        </w:tc>
        <w:tc>
          <w:tcPr>
            <w:tcW w:type="dxa" w:w="5832"/>
            <w:vAlign w:val="center"/>
            <w:tcMar>
              <w:top w:w="90" w:type="dxa"/>
              <w:start w:w="110" w:type="dxa"/>
              <w:bottom w:w="90" w:type="dxa"/>
              <w:end w:w="110" w:type="dxa"/>
            </w:tcMar>
            <w:shd w:fill="FFFFFF"/>
          </w:tcPr>
          <w:p>
            <w:pPr>
              <w:spacing w:after="0" w:line="252" w:lineRule="auto"/>
            </w:pPr>
            <w:r>
              <w:t>HISTORICAL / NON-NORMATIVE</w:t>
            </w:r>
          </w:p>
        </w:tc>
        <w:tc>
          <w:tcPr>
            <w:tcW w:type="dxa" w:w="2966"/>
            <w:vAlign w:val="center"/>
            <w:tcMar>
              <w:top w:w="90" w:type="dxa"/>
              <w:start w:w="110" w:type="dxa"/>
              <w:bottom w:w="90" w:type="dxa"/>
              <w:end w:w="110" w:type="dxa"/>
            </w:tcMar>
            <w:shd w:fill="FFFFFF"/>
          </w:tcPr>
          <w:p>
            <w:pPr>
              <w:spacing w:after="0" w:line="252" w:lineRule="auto"/>
            </w:pPr>
            <w:r>
              <w:t>Preserve the remote UI design record only</w:t>
            </w:r>
          </w:p>
        </w:tc>
      </w:tr>
      <w:tr>
        <w:tc>
          <w:tcPr>
            <w:tcW w:type="dxa" w:w="1786"/>
            <w:vAlign w:val="center"/>
            <w:tcMar>
              <w:top w:w="90" w:type="dxa"/>
              <w:start w:w="110" w:type="dxa"/>
              <w:bottom w:w="90" w:type="dxa"/>
              <w:end w:w="110" w:type="dxa"/>
            </w:tcMar>
            <w:shd w:fill="F4F7F9"/>
          </w:tcPr>
          <w:p>
            <w:pPr>
              <w:spacing w:after="0" w:line="252" w:lineRule="auto"/>
            </w:pPr>
            <w:r>
              <w:t>X4 preview/evidence</w:t>
            </w:r>
          </w:p>
        </w:tc>
        <w:tc>
          <w:tcPr>
            <w:tcW w:type="dxa" w:w="5832"/>
            <w:vAlign w:val="center"/>
            <w:tcMar>
              <w:top w:w="90" w:type="dxa"/>
              <w:start w:w="110" w:type="dxa"/>
              <w:bottom w:w="90" w:type="dxa"/>
              <w:end w:w="110" w:type="dxa"/>
            </w:tcMar>
            <w:shd w:fill="F4F7F9"/>
          </w:tcPr>
          <w:p>
            <w:pPr>
              <w:spacing w:after="0" w:line="252" w:lineRule="auto"/>
            </w:pPr>
            <w:r>
              <w:t>ACTIVE / SHARED LINEAGE</w:t>
            </w:r>
          </w:p>
        </w:tc>
        <w:tc>
          <w:tcPr>
            <w:tcW w:type="dxa" w:w="2966"/>
            <w:vAlign w:val="center"/>
            <w:tcMar>
              <w:top w:w="90" w:type="dxa"/>
              <w:start w:w="110" w:type="dxa"/>
              <w:bottom w:w="90" w:type="dxa"/>
              <w:end w:w="110" w:type="dxa"/>
            </w:tcMar>
            <w:shd w:fill="F4F7F9"/>
          </w:tcPr>
          <w:p>
            <w:pPr>
              <w:spacing w:after="0" w:line="252" w:lineRule="auto"/>
            </w:pPr>
            <w:r>
              <w:t>Preserve current Native preview evidence and extend only for active VC-DG selector/acceptance needs</w:t>
            </w:r>
          </w:p>
        </w:tc>
      </w:tr>
      <w:tr>
        <w:tc>
          <w:tcPr>
            <w:tcW w:type="dxa" w:w="1786"/>
            <w:vAlign w:val="center"/>
            <w:tcMar>
              <w:top w:w="90" w:type="dxa"/>
              <w:start w:w="110" w:type="dxa"/>
              <w:bottom w:w="90" w:type="dxa"/>
              <w:end w:w="110" w:type="dxa"/>
            </w:tcMar>
            <w:shd w:fill="FFFFFF"/>
          </w:tcPr>
          <w:p>
            <w:pPr>
              <w:spacing w:after="0" w:line="252" w:lineRule="auto"/>
            </w:pPr>
            <w:r>
              <w:t>X5 workflows</w:t>
            </w:r>
          </w:p>
        </w:tc>
        <w:tc>
          <w:tcPr>
            <w:tcW w:type="dxa" w:w="5832"/>
            <w:vAlign w:val="center"/>
            <w:tcMar>
              <w:top w:w="90" w:type="dxa"/>
              <w:start w:w="110" w:type="dxa"/>
              <w:bottom w:w="90" w:type="dxa"/>
              <w:end w:w="110" w:type="dxa"/>
            </w:tcMar>
            <w:shd w:fill="FFFFFF"/>
          </w:tcPr>
          <w:p>
            <w:pPr>
              <w:spacing w:after="0" w:line="252" w:lineRule="auto"/>
            </w:pPr>
            <w:r>
              <w:t>HISTORICAL / NON-NORMATIVE</w:t>
            </w:r>
          </w:p>
        </w:tc>
        <w:tc>
          <w:tcPr>
            <w:tcW w:type="dxa" w:w="2966"/>
            <w:vAlign w:val="center"/>
            <w:tcMar>
              <w:top w:w="90" w:type="dxa"/>
              <w:start w:w="110" w:type="dxa"/>
              <w:bottom w:w="90" w:type="dxa"/>
              <w:end w:w="110" w:type="dxa"/>
            </w:tcMar>
            <w:shd w:fill="FFFFFF"/>
          </w:tcPr>
          <w:p>
            <w:pPr>
              <w:spacing w:after="0" w:line="252" w:lineRule="auto"/>
            </w:pPr>
            <w:r>
              <w:t>Preserve landed projections and current tests; no generalized UI closure gate</w:t>
            </w:r>
          </w:p>
        </w:tc>
      </w:tr>
      <w:tr>
        <w:tc>
          <w:tcPr>
            <w:tcW w:type="dxa" w:w="1786"/>
            <w:vAlign w:val="center"/>
            <w:tcMar>
              <w:top w:w="90" w:type="dxa"/>
              <w:start w:w="110" w:type="dxa"/>
              <w:bottom w:w="90" w:type="dxa"/>
              <w:end w:w="110" w:type="dxa"/>
            </w:tcMar>
            <w:shd w:fill="F4F7F9"/>
          </w:tcPr>
          <w:p>
            <w:pPr>
              <w:spacing w:after="0" w:line="252" w:lineRule="auto"/>
            </w:pPr>
            <w:r>
              <w:t>X6 optimization</w:t>
            </w:r>
          </w:p>
        </w:tc>
        <w:tc>
          <w:tcPr>
            <w:tcW w:type="dxa" w:w="5832"/>
            <w:vAlign w:val="center"/>
            <w:tcMar>
              <w:top w:w="90" w:type="dxa"/>
              <w:start w:w="110" w:type="dxa"/>
              <w:bottom w:w="90" w:type="dxa"/>
              <w:end w:w="110" w:type="dxa"/>
            </w:tcMar>
            <w:shd w:fill="F4F7F9"/>
          </w:tcPr>
          <w:p>
            <w:pPr>
              <w:spacing w:after="0" w:line="252" w:lineRule="auto"/>
            </w:pPr>
            <w:r>
              <w:t>HISTORICAL / NON-NORMATIVE</w:t>
            </w:r>
          </w:p>
        </w:tc>
        <w:tc>
          <w:tcPr>
            <w:tcW w:type="dxa" w:w="2966"/>
            <w:vAlign w:val="center"/>
            <w:tcMar>
              <w:top w:w="90" w:type="dxa"/>
              <w:start w:w="110" w:type="dxa"/>
              <w:bottom w:w="90" w:type="dxa"/>
              <w:end w:w="110" w:type="dxa"/>
            </w:tcMar>
            <w:shd w:fill="F4F7F9"/>
          </w:tcPr>
          <w:p>
            <w:pPr>
              <w:spacing w:after="0" w:line="252" w:lineRule="auto"/>
            </w:pPr>
            <w:r>
              <w:t>Preserve landed candidate/ranking presentation; no generalized expansion gate</w:t>
            </w:r>
          </w:p>
        </w:tc>
      </w:tr>
      <w:tr>
        <w:tc>
          <w:tcPr>
            <w:tcW w:type="dxa" w:w="1786"/>
            <w:vAlign w:val="center"/>
            <w:tcMar>
              <w:top w:w="90" w:type="dxa"/>
              <w:start w:w="110" w:type="dxa"/>
              <w:bottom w:w="90" w:type="dxa"/>
              <w:end w:w="110" w:type="dxa"/>
            </w:tcMar>
            <w:shd w:fill="FFFFFF"/>
          </w:tcPr>
          <w:p>
            <w:pPr>
              <w:spacing w:after="0" w:line="252" w:lineRule="auto"/>
            </w:pPr>
            <w:r>
              <w:t>X7 Manufacture</w:t>
            </w:r>
          </w:p>
        </w:tc>
        <w:tc>
          <w:tcPr>
            <w:tcW w:type="dxa" w:w="5832"/>
            <w:vAlign w:val="center"/>
            <w:tcMar>
              <w:top w:w="90" w:type="dxa"/>
              <w:start w:w="110" w:type="dxa"/>
              <w:bottom w:w="90" w:type="dxa"/>
              <w:end w:w="110" w:type="dxa"/>
            </w:tcMar>
            <w:shd w:fill="FFFFFF"/>
          </w:tcPr>
          <w:p>
            <w:pPr>
              <w:spacing w:after="0" w:line="252" w:lineRule="auto"/>
            </w:pPr>
            <w:r>
              <w:t>RETAIN CURRENT CAPABILITY</w:t>
            </w:r>
          </w:p>
        </w:tc>
        <w:tc>
          <w:tcPr>
            <w:tcW w:type="dxa" w:w="2966"/>
            <w:vAlign w:val="center"/>
            <w:tcMar>
              <w:top w:w="90" w:type="dxa"/>
              <w:start w:w="110" w:type="dxa"/>
              <w:bottom w:w="90" w:type="dxa"/>
              <w:end w:w="110" w:type="dxa"/>
            </w:tcMar>
            <w:shd w:fill="FFFFFF"/>
          </w:tcPr>
          <w:p>
            <w:pPr>
              <w:spacing w:after="0" w:line="252" w:lineRule="auto"/>
            </w:pPr>
            <w:r>
              <w:t>Preserve current owner-backed Manufacture evidence projection</w:t>
            </w:r>
          </w:p>
        </w:tc>
      </w:tr>
      <w:tr>
        <w:tc>
          <w:tcPr>
            <w:tcW w:type="dxa" w:w="1786"/>
            <w:vAlign w:val="center"/>
            <w:tcMar>
              <w:top w:w="90" w:type="dxa"/>
              <w:start w:w="110" w:type="dxa"/>
              <w:bottom w:w="90" w:type="dxa"/>
              <w:end w:w="110" w:type="dxa"/>
            </w:tcMar>
            <w:shd w:fill="F4F7F9"/>
          </w:tcPr>
          <w:p>
            <w:pPr>
              <w:spacing w:after="0" w:line="252" w:lineRule="auto"/>
            </w:pPr>
            <w:r>
              <w:t>X8 Assembly</w:t>
            </w:r>
          </w:p>
        </w:tc>
        <w:tc>
          <w:tcPr>
            <w:tcW w:type="dxa" w:w="5832"/>
            <w:vAlign w:val="center"/>
            <w:tcMar>
              <w:top w:w="90" w:type="dxa"/>
              <w:start w:w="110" w:type="dxa"/>
              <w:bottom w:w="90" w:type="dxa"/>
              <w:end w:w="110" w:type="dxa"/>
            </w:tcMar>
            <w:shd w:fill="F4F7F9"/>
          </w:tcPr>
          <w:p>
            <w:pPr>
              <w:spacing w:after="0" w:line="252" w:lineRule="auto"/>
            </w:pPr>
            <w:r>
              <w:t>RETAIN CURRENT CAPABILITY</w:t>
            </w:r>
          </w:p>
        </w:tc>
        <w:tc>
          <w:tcPr>
            <w:tcW w:type="dxa" w:w="2966"/>
            <w:vAlign w:val="center"/>
            <w:tcMar>
              <w:top w:w="90" w:type="dxa"/>
              <w:start w:w="110" w:type="dxa"/>
              <w:bottom w:w="90" w:type="dxa"/>
              <w:end w:w="110" w:type="dxa"/>
            </w:tcMar>
            <w:shd w:fill="F4F7F9"/>
          </w:tcPr>
          <w:p>
            <w:pPr>
              <w:spacing w:after="0" w:line="252" w:lineRule="auto"/>
            </w:pPr>
            <w:r>
              <w:t>Preserve current Assembly identity/evidence projection</w:t>
            </w:r>
          </w:p>
        </w:tc>
      </w:tr>
      <w:tr>
        <w:tc>
          <w:tcPr>
            <w:tcW w:type="dxa" w:w="1786"/>
            <w:vAlign w:val="center"/>
            <w:tcMar>
              <w:top w:w="90" w:type="dxa"/>
              <w:start w:w="110" w:type="dxa"/>
              <w:bottom w:w="90" w:type="dxa"/>
              <w:end w:w="110" w:type="dxa"/>
            </w:tcMar>
            <w:shd w:fill="FFFFFF"/>
          </w:tcPr>
          <w:p>
            <w:pPr>
              <w:spacing w:after="0" w:line="252" w:lineRule="auto"/>
            </w:pPr>
            <w:r>
              <w:t>X9 joint proposals</w:t>
            </w:r>
          </w:p>
        </w:tc>
        <w:tc>
          <w:tcPr>
            <w:tcW w:type="dxa" w:w="5832"/>
            <w:vAlign w:val="center"/>
            <w:tcMar>
              <w:top w:w="90" w:type="dxa"/>
              <w:start w:w="110" w:type="dxa"/>
              <w:bottom w:w="90" w:type="dxa"/>
              <w:end w:w="110" w:type="dxa"/>
            </w:tcMar>
            <w:shd w:fill="FFFFFF"/>
          </w:tcPr>
          <w:p>
            <w:pPr>
              <w:spacing w:after="0" w:line="252" w:lineRule="auto"/>
            </w:pPr>
            <w:r>
              <w:t>HISTORICAL / NON-NORMATIVE</w:t>
            </w:r>
          </w:p>
        </w:tc>
        <w:tc>
          <w:tcPr>
            <w:tcW w:type="dxa" w:w="2966"/>
            <w:vAlign w:val="center"/>
            <w:tcMar>
              <w:top w:w="90" w:type="dxa"/>
              <w:start w:w="110" w:type="dxa"/>
              <w:bottom w:w="90" w:type="dxa"/>
              <w:end w:w="110" w:type="dxa"/>
            </w:tcMar>
            <w:shd w:fill="FFFFFF"/>
          </w:tcPr>
          <w:p>
            <w:pPr>
              <w:spacing w:after="0" w:line="252" w:lineRule="auto"/>
            </w:pPr>
            <w:r>
              <w:t>Preserve the proposal UI record; no current release blocker</w:t>
            </w:r>
          </w:p>
        </w:tc>
      </w:tr>
      <w:tr>
        <w:tc>
          <w:tcPr>
            <w:tcW w:type="dxa" w:w="1786"/>
            <w:vAlign w:val="center"/>
            <w:tcMar>
              <w:top w:w="90" w:type="dxa"/>
              <w:start w:w="110" w:type="dxa"/>
              <w:bottom w:w="90" w:type="dxa"/>
              <w:end w:w="110" w:type="dxa"/>
            </w:tcMar>
            <w:shd w:fill="F4F7F9"/>
          </w:tcPr>
          <w:p>
            <w:pPr>
              <w:spacing w:after="0" w:line="252" w:lineRule="auto"/>
            </w:pPr>
            <w:r>
              <w:t>X10 sequence</w:t>
            </w:r>
          </w:p>
        </w:tc>
        <w:tc>
          <w:tcPr>
            <w:tcW w:type="dxa" w:w="5832"/>
            <w:vAlign w:val="center"/>
            <w:tcMar>
              <w:top w:w="90" w:type="dxa"/>
              <w:start w:w="110" w:type="dxa"/>
              <w:bottom w:w="90" w:type="dxa"/>
              <w:end w:w="110" w:type="dxa"/>
            </w:tcMar>
            <w:shd w:fill="F4F7F9"/>
          </w:tcPr>
          <w:p>
            <w:pPr>
              <w:spacing w:after="0" w:line="252" w:lineRule="auto"/>
            </w:pPr>
            <w:r>
              <w:t>HISTORICAL / NON-NORMATIVE</w:t>
            </w:r>
          </w:p>
        </w:tc>
        <w:tc>
          <w:tcPr>
            <w:tcW w:type="dxa" w:w="2966"/>
            <w:vAlign w:val="center"/>
            <w:tcMar>
              <w:top w:w="90" w:type="dxa"/>
              <w:start w:w="110" w:type="dxa"/>
              <w:bottom w:w="90" w:type="dxa"/>
              <w:end w:w="110" w:type="dxa"/>
            </w:tcMar>
            <w:shd w:fill="F4F7F9"/>
          </w:tcPr>
          <w:p>
            <w:pPr>
              <w:spacing w:after="0" w:line="252" w:lineRule="auto"/>
            </w:pPr>
            <w:r>
              <w:t>Preserve the sequence UI record; no current release blocker</w:t>
            </w:r>
          </w:p>
        </w:tc>
      </w:tr>
      <w:tr>
        <w:tc>
          <w:tcPr>
            <w:tcW w:type="dxa" w:w="1786"/>
            <w:vAlign w:val="center"/>
            <w:tcMar>
              <w:top w:w="90" w:type="dxa"/>
              <w:start w:w="110" w:type="dxa"/>
              <w:bottom w:w="90" w:type="dxa"/>
              <w:end w:w="110" w:type="dxa"/>
            </w:tcMar>
            <w:shd w:fill="FFFFFF"/>
          </w:tcPr>
          <w:p>
            <w:pPr>
              <w:spacing w:after="0" w:line="252" w:lineRule="auto"/>
            </w:pPr>
            <w:r>
              <w:t>X11 service</w:t>
            </w:r>
          </w:p>
        </w:tc>
        <w:tc>
          <w:tcPr>
            <w:tcW w:type="dxa" w:w="5832"/>
            <w:vAlign w:val="center"/>
            <w:tcMar>
              <w:top w:w="90" w:type="dxa"/>
              <w:start w:w="110" w:type="dxa"/>
              <w:bottom w:w="90" w:type="dxa"/>
              <w:end w:w="110" w:type="dxa"/>
            </w:tcMar>
            <w:shd w:fill="FFFFFF"/>
          </w:tcPr>
          <w:p>
            <w:pPr>
              <w:spacing w:after="0" w:line="252" w:lineRule="auto"/>
            </w:pPr>
            <w:r>
              <w:t>HISTORICAL / NON-NORMATIVE</w:t>
            </w:r>
          </w:p>
        </w:tc>
        <w:tc>
          <w:tcPr>
            <w:tcW w:type="dxa" w:w="2966"/>
            <w:vAlign w:val="center"/>
            <w:tcMar>
              <w:top w:w="90" w:type="dxa"/>
              <w:start w:w="110" w:type="dxa"/>
              <w:bottom w:w="90" w:type="dxa"/>
              <w:end w:w="110" w:type="dxa"/>
            </w:tcMar>
            <w:shd w:fill="FFFFFF"/>
          </w:tcPr>
          <w:p>
            <w:pPr>
              <w:spacing w:after="0" w:line="252" w:lineRule="auto"/>
            </w:pPr>
            <w:r>
              <w:t>Preserve the service UI record; no current release blocker</w:t>
            </w:r>
          </w:p>
        </w:tc>
      </w:tr>
      <w:tr>
        <w:tc>
          <w:tcPr>
            <w:tcW w:type="dxa" w:w="1786"/>
            <w:vAlign w:val="center"/>
            <w:tcMar>
              <w:top w:w="90" w:type="dxa"/>
              <w:start w:w="110" w:type="dxa"/>
              <w:bottom w:w="90" w:type="dxa"/>
              <w:end w:w="110" w:type="dxa"/>
            </w:tcMar>
            <w:shd w:fill="F4F7F9"/>
          </w:tcPr>
          <w:p>
            <w:pPr>
              <w:spacing w:after="0" w:line="252" w:lineRule="auto"/>
            </w:pPr>
            <w:r>
              <w:t>X12 Robot projection</w:t>
            </w:r>
          </w:p>
        </w:tc>
        <w:tc>
          <w:tcPr>
            <w:tcW w:type="dxa" w:w="5832"/>
            <w:vAlign w:val="center"/>
            <w:tcMar>
              <w:top w:w="90" w:type="dxa"/>
              <w:start w:w="110" w:type="dxa"/>
              <w:bottom w:w="90" w:type="dxa"/>
              <w:end w:w="110" w:type="dxa"/>
            </w:tcMar>
            <w:shd w:fill="F4F7F9"/>
          </w:tcPr>
          <w:p>
            <w:pPr>
              <w:spacing w:after="0" w:line="252" w:lineRule="auto"/>
            </w:pPr>
            <w:r>
              <w:t>HISTORICAL / NON-NORMATIVE</w:t>
            </w:r>
          </w:p>
        </w:tc>
        <w:tc>
          <w:tcPr>
            <w:tcW w:type="dxa" w:w="2966"/>
            <w:vAlign w:val="center"/>
            <w:tcMar>
              <w:top w:w="90" w:type="dxa"/>
              <w:start w:w="110" w:type="dxa"/>
              <w:bottom w:w="90" w:type="dxa"/>
              <w:end w:w="110" w:type="dxa"/>
            </w:tcMar>
            <w:shd w:fill="F4F7F9"/>
          </w:tcPr>
          <w:p>
            <w:pPr>
              <w:spacing w:after="0" w:line="252" w:lineRule="auto"/>
            </w:pPr>
            <w:r>
              <w:t>Preserve the task-projection UI record; no current release blocker</w:t>
            </w:r>
          </w:p>
        </w:tc>
      </w:tr>
    </w:tbl>
    <w:p>
      <w:pPr>
        <w:spacing w:after="0"/>
      </w:pPr>
    </w:p>
    <w:p>
      <w:pPr>
        <w:pStyle w:val="Heading2"/>
        <w:keepNext/>
      </w:pPr>
      <w:r>
        <w:t>The UI closure standard</w:t>
      </w:r>
    </w:p>
    <w:p>
      <w:pPr>
        <w:pStyle w:val="ListBullet"/>
      </w:pPr>
      <w:r>
        <w:t>Scientific colors and governance colors remain independent: red pressure is not failure, and green stress is not proof of safety.</w:t>
      </w:r>
    </w:p>
    <w:p>
      <w:pPr>
        <w:pStyle w:val="ListBullet"/>
      </w:pPr>
      <w:r>
        <w:t>Unavailable evidence is visibly unavailable; blank provenance or unknown currentness never means ‘no issues.’</w:t>
      </w:r>
    </w:p>
    <w:p>
      <w:pPr>
        <w:pStyle w:val="ListBullet"/>
      </w:pPr>
      <w:r>
        <w:t>Keyboard navigation, accessibility names, focus, DPI scaling, light/dark themes and localization-safe labels are release criteria.</w:t>
      </w:r>
    </w:p>
    <w:p>
      <w:pPr>
        <w:pStyle w:val="ListBullet"/>
      </w:pPr>
      <w:r>
        <w:t>Large scientific arrays stay with their rendering owners; the shared UI carries bounded descriptors and summaries.</w:t>
      </w:r>
    </w:p>
    <w:p>
      <w:pPr>
        <w:pStyle w:val="ListBullet"/>
      </w:pPr>
      <w:r>
        <w:t>A view can request an owner action, but it cannot rank, mutate, execute, publish, export, or certify on its own.</w:t>
      </w:r>
    </w:p>
    <w:p>
      <w:pPr>
        <w:pStyle w:val="Heading2"/>
        <w:keepNext/>
      </w:pPr>
      <w:r>
        <w:t>A representative finished journey</w:t>
      </w:r>
    </w:p>
    <w:p>
      <w:pPr>
        <w:pStyle w:val="ListNumber"/>
      </w:pPr>
      <w:r>
        <w:t>The user asks for a model change and receives a bounded preview tied to the exact structural revision.</w:t>
      </w:r>
    </w:p>
    <w:p>
      <w:pPr>
        <w:pStyle w:val="ListNumber"/>
      </w:pPr>
      <w:r>
        <w:t>The user inspects affected identities and evidence, then applies or rejects through the Native owner.</w:t>
      </w:r>
    </w:p>
    <w:p>
      <w:pPr>
        <w:pStyle w:val="ListNumber"/>
      </w:pPr>
      <w:r>
        <w:t>Analyze discovers current FEM, retained low-order Aero, and supported VC-DG results through their owners; presentation controls remain visibly separate from engineering values.</w:t>
      </w:r>
    </w:p>
    <w:p>
      <w:pPr>
        <w:pStyle w:val="ListNumber"/>
      </w:pPr>
      <w:r>
        <w:t>A current local or package-contained analysis starts against an exact dependency snapshot, can be cancelled, and remains truthful through failure, close, reopen, restart, and recovery.</w:t>
      </w:r>
    </w:p>
    <w:p>
      <w:pPr>
        <w:pStyle w:val="ListNumber"/>
      </w:pPr>
      <w:r>
        <w:t>A VC-DG structural or thermal case uses semantic selectors and an explicit background-grid or unfitted representation without requiring the user to create or manage a body-fitted mesh.</w:t>
      </w:r>
    </w:p>
    <w:p>
      <w:pPr>
        <w:pStyle w:val="ListNumber"/>
      </w:pPr>
      <w:r>
        <w:t>Result cards separately show execution, verification, currentness, publication, claim ceiling, resolution/balance evidence, and conforming-reference comparison where applicable.</w:t>
      </w:r>
    </w:p>
    <w:p>
      <w:pPr>
        <w:pStyle w:val="ListNumber"/>
      </w:pPr>
      <w:r>
        <w:t>Publication attaches once to the exact current document; stale, ambiguous, unsupported, or outcome-unknown state receives a specific refusal and preserves attributable history.</w:t>
      </w:r>
    </w:p>
    <w:p>
      <w:r>
        <w:br w:type="page"/>
      </w:r>
    </w:p>
    <w:p>
      <w:pPr>
        <w:pStyle w:val="Heading1"/>
        <w:keepNext/>
      </w:pPr>
      <w:r>
        <w:t>6. Aero: close the retained low-order product lane</w:t>
      </w:r>
    </w:p>
    <w:p>
      <w:pPr>
        <w:pStyle w:val="BodyText"/>
      </w:pPr>
      <w:r>
        <w:t>Aero already has real public product value: NeuralFoil, AeroSandbox lifting-line/VLM, momentum-theory hover, bounded geometry repairs, Aero reports, flight-card behavior, JSBSim output, and a Native background runtime client with stale checks. Steps 0-11 own the active low-order completion boundary. Steps 12-20 remain historical/non-normative advanced design records, and their broad CFD, remote, qualification, dynamics, and coupling work is not required.</w:t>
      </w:r>
    </w:p>
    <w:tbl>
      <w:tblPr>
        <w:tblW w:type="auto" w:w="0"/>
        <w:jc w:val="center"/>
        <w:tblLayout w:type="fixed"/>
        <w:tblLook w:firstColumn="1" w:firstRow="1" w:lastColumn="0" w:lastRow="0" w:noHBand="0" w:noVBand="1" w:val="04A0"/>
      </w:tblPr>
      <w:tblGrid>
        <w:gridCol w:w="3389"/>
        <w:gridCol w:w="3389"/>
        <w:gridCol w:w="3389"/>
      </w:tblGrid>
      <w:tr>
        <w:tc>
          <w:tcPr>
            <w:tcW w:type="dxa" w:w="2232"/>
            <w:vAlign w:val="center"/>
            <w:tcMar>
              <w:top w:w="90" w:type="dxa"/>
              <w:start w:w="110" w:type="dxa"/>
              <w:bottom w:w="90" w:type="dxa"/>
              <w:end w:w="110" w:type="dxa"/>
            </w:tcMar>
            <w:shd w:fill="122033"/>
          </w:tcPr>
          <w:p>
            <w:pPr>
              <w:spacing w:after="0" w:line="252" w:lineRule="auto"/>
            </w:pPr>
            <w:r>
              <w:t>Aero step</w:t>
            </w:r>
          </w:p>
        </w:tc>
        <w:tc>
          <w:tcPr>
            <w:tcW w:type="dxa" w:w="4536"/>
            <w:vAlign w:val="center"/>
            <w:tcMar>
              <w:top w:w="90" w:type="dxa"/>
              <w:start w:w="110" w:type="dxa"/>
              <w:bottom w:w="90" w:type="dxa"/>
              <w:end w:w="110" w:type="dxa"/>
            </w:tcMar>
            <w:shd w:fill="122033"/>
          </w:tcPr>
          <w:p>
            <w:pPr>
              <w:spacing w:after="0" w:line="252" w:lineRule="auto"/>
            </w:pPr>
            <w:r>
              <w:t>Public classification</w:t>
            </w:r>
          </w:p>
        </w:tc>
        <w:tc>
          <w:tcPr>
            <w:tcW w:type="dxa" w:w="3658"/>
            <w:vAlign w:val="center"/>
            <w:tcMar>
              <w:top w:w="90" w:type="dxa"/>
              <w:start w:w="110" w:type="dxa"/>
              <w:bottom w:w="90" w:type="dxa"/>
              <w:end w:w="110" w:type="dxa"/>
            </w:tcMar>
            <w:shd w:fill="122033"/>
          </w:tcPr>
          <w:p>
            <w:pPr>
              <w:spacing w:after="0" w:line="252" w:lineRule="auto"/>
            </w:pPr>
            <w:r>
              <w:t>Current obligation</w:t>
            </w:r>
          </w:p>
        </w:tc>
      </w:tr>
      <w:tr>
        <w:tc>
          <w:tcPr>
            <w:tcW w:type="dxa" w:w="2232"/>
            <w:vAlign w:val="center"/>
            <w:tcMar>
              <w:top w:w="90" w:type="dxa"/>
              <w:start w:w="110" w:type="dxa"/>
              <w:bottom w:w="90" w:type="dxa"/>
              <w:end w:w="110" w:type="dxa"/>
            </w:tcMar>
            <w:shd w:fill="FFFFFF"/>
          </w:tcPr>
          <w:p>
            <w:pPr>
              <w:spacing w:after="0" w:line="252" w:lineRule="auto"/>
            </w:pPr>
            <w:r>
              <w:t>9–11: authority/evidence/runtime</w:t>
            </w:r>
          </w:p>
        </w:tc>
        <w:tc>
          <w:tcPr>
            <w:tcW w:type="dxa" w:w="4536"/>
            <w:vAlign w:val="center"/>
            <w:tcMar>
              <w:top w:w="90" w:type="dxa"/>
              <w:start w:w="110" w:type="dxa"/>
              <w:bottom w:w="90" w:type="dxa"/>
              <w:end w:w="110" w:type="dxa"/>
            </w:tcMar>
            <w:shd w:fill="FFFFFF"/>
          </w:tcPr>
          <w:p>
            <w:pPr>
              <w:spacing w:after="0" w:line="252" w:lineRule="auto"/>
            </w:pPr>
            <w:r>
              <w:t>ACTIVE LOW-ORDER</w:t>
            </w:r>
          </w:p>
        </w:tc>
        <w:tc>
          <w:tcPr>
            <w:tcW w:type="dxa" w:w="3658"/>
            <w:vAlign w:val="center"/>
            <w:tcMar>
              <w:top w:w="90" w:type="dxa"/>
              <w:start w:w="110" w:type="dxa"/>
              <w:bottom w:w="90" w:type="dxa"/>
              <w:end w:w="110" w:type="dxa"/>
            </w:tcMar>
            <w:shd w:fill="FFFFFF"/>
          </w:tcPr>
          <w:p>
            <w:pPr>
              <w:spacing w:after="0" w:line="252" w:lineRule="auto"/>
            </w:pPr>
            <w:r>
              <w:t>Converge Native repair authority; finish low-order frames, readiness, source correspondence, currentness, claim ceilings, installed runtime, and publication</w:t>
            </w:r>
          </w:p>
        </w:tc>
      </w:tr>
      <w:tr>
        <w:tc>
          <w:tcPr>
            <w:tcW w:type="dxa" w:w="2232"/>
            <w:vAlign w:val="center"/>
            <w:tcMar>
              <w:top w:w="90" w:type="dxa"/>
              <w:start w:w="110" w:type="dxa"/>
              <w:bottom w:w="90" w:type="dxa"/>
              <w:end w:w="110" w:type="dxa"/>
            </w:tcMar>
            <w:shd w:fill="F4F7F9"/>
          </w:tcPr>
          <w:p>
            <w:pPr>
              <w:spacing w:after="0" w:line="252" w:lineRule="auto"/>
            </w:pPr>
            <w:r>
              <w:t>12: OpenFOAM/CfdOF</w:t>
            </w:r>
          </w:p>
        </w:tc>
        <w:tc>
          <w:tcPr>
            <w:tcW w:type="dxa" w:w="4536"/>
            <w:vAlign w:val="center"/>
            <w:tcMar>
              <w:top w:w="90" w:type="dxa"/>
              <w:start w:w="110" w:type="dxa"/>
              <w:bottom w:w="90" w:type="dxa"/>
              <w:end w:w="110" w:type="dxa"/>
            </w:tcMar>
            <w:shd w:fill="F4F7F9"/>
          </w:tcPr>
          <w:p>
            <w:pPr>
              <w:spacing w:after="0" w:line="252" w:lineRule="auto"/>
            </w:pPr>
            <w:r>
              <w:t>HISTORICAL / NON-NORMATIVE</w:t>
            </w:r>
          </w:p>
        </w:tc>
        <w:tc>
          <w:tcPr>
            <w:tcW w:type="dxa" w:w="3658"/>
            <w:vAlign w:val="center"/>
            <w:tcMar>
              <w:top w:w="90" w:type="dxa"/>
              <w:start w:w="110" w:type="dxa"/>
              <w:bottom w:w="90" w:type="dxa"/>
              <w:end w:w="110" w:type="dxa"/>
            </w:tcMar>
            <w:shd w:fill="F4F7F9"/>
          </w:tcPr>
          <w:p>
            <w:pPr>
              <w:spacing w:after="0" w:line="252" w:lineRule="auto"/>
            </w:pPr>
            <w:r>
              <w:t>Preserve the real-baseline design record; generic CfdOF module presence or compatibility repair earns zero Step 12 completion credit and creates no current public closure obligation</w:t>
            </w:r>
          </w:p>
        </w:tc>
      </w:tr>
      <w:tr>
        <w:tc>
          <w:tcPr>
            <w:tcW w:type="dxa" w:w="2232"/>
            <w:vAlign w:val="center"/>
            <w:tcMar>
              <w:top w:w="90" w:type="dxa"/>
              <w:start w:w="110" w:type="dxa"/>
              <w:bottom w:w="90" w:type="dxa"/>
              <w:end w:w="110" w:type="dxa"/>
            </w:tcMar>
            <w:shd w:fill="FFFFFF"/>
          </w:tcPr>
          <w:p>
            <w:pPr>
              <w:spacing w:after="0" w:line="252" w:lineRule="auto"/>
            </w:pPr>
            <w:r>
              <w:t>13: FluidX3D</w:t>
            </w:r>
          </w:p>
        </w:tc>
        <w:tc>
          <w:tcPr>
            <w:tcW w:type="dxa" w:w="4536"/>
            <w:vAlign w:val="center"/>
            <w:tcMar>
              <w:top w:w="90" w:type="dxa"/>
              <w:start w:w="110" w:type="dxa"/>
              <w:bottom w:w="90" w:type="dxa"/>
              <w:end w:w="110" w:type="dxa"/>
            </w:tcMar>
            <w:shd w:fill="FFFFFF"/>
          </w:tcPr>
          <w:p>
            <w:pPr>
              <w:spacing w:after="0" w:line="252" w:lineRule="auto"/>
            </w:pPr>
            <w:r>
              <w:t>HISTORICAL / NON-NORMATIVE</w:t>
            </w:r>
          </w:p>
        </w:tc>
        <w:tc>
          <w:tcPr>
            <w:tcW w:type="dxa" w:w="3658"/>
            <w:vAlign w:val="center"/>
            <w:tcMar>
              <w:top w:w="90" w:type="dxa"/>
              <w:start w:w="110" w:type="dxa"/>
              <w:bottom w:w="90" w:type="dxa"/>
              <w:end w:w="110" w:type="dxa"/>
            </w:tcMar>
            <w:shd w:fill="FFFFFF"/>
          </w:tcPr>
          <w:p>
            <w:pPr>
              <w:spacing w:after="0" w:line="252" w:lineRule="auto"/>
            </w:pPr>
            <w:r>
              <w:t>Preserve pinned-build, notice, physical-scale, force/field, and benchmark design records</w:t>
            </w:r>
          </w:p>
        </w:tc>
      </w:tr>
      <w:tr>
        <w:tc>
          <w:tcPr>
            <w:tcW w:type="dxa" w:w="2232"/>
            <w:vAlign w:val="center"/>
            <w:tcMar>
              <w:top w:w="90" w:type="dxa"/>
              <w:start w:w="110" w:type="dxa"/>
              <w:bottom w:w="90" w:type="dxa"/>
              <w:end w:w="110" w:type="dxa"/>
            </w:tcMar>
            <w:shd w:fill="F4F7F9"/>
          </w:tcPr>
          <w:p>
            <w:pPr>
              <w:spacing w:after="0" w:line="252" w:lineRule="auto"/>
            </w:pPr>
            <w:r>
              <w:t>14: common field viewer</w:t>
            </w:r>
          </w:p>
        </w:tc>
        <w:tc>
          <w:tcPr>
            <w:tcW w:type="dxa" w:w="4536"/>
            <w:vAlign w:val="center"/>
            <w:tcMar>
              <w:top w:w="90" w:type="dxa"/>
              <w:start w:w="110" w:type="dxa"/>
              <w:bottom w:w="90" w:type="dxa"/>
              <w:end w:w="110" w:type="dxa"/>
            </w:tcMar>
            <w:shd w:fill="F4F7F9"/>
          </w:tcPr>
          <w:p>
            <w:pPr>
              <w:spacing w:after="0" w:line="252" w:lineRule="auto"/>
            </w:pPr>
            <w:r>
              <w:t>HISTORICAL / NON-NORMATIVE</w:t>
            </w:r>
          </w:p>
        </w:tc>
        <w:tc>
          <w:tcPr>
            <w:tcW w:type="dxa" w:w="3658"/>
            <w:vAlign w:val="center"/>
            <w:tcMar>
              <w:top w:w="90" w:type="dxa"/>
              <w:start w:w="110" w:type="dxa"/>
              <w:bottom w:w="90" w:type="dxa"/>
              <w:end w:w="110" w:type="dxa"/>
            </w:tcMar>
            <w:shd w:fill="F4F7F9"/>
          </w:tcPr>
          <w:p>
            <w:pPr>
              <w:spacing w:after="0" w:line="252" w:lineRule="auto"/>
            </w:pPr>
            <w:r>
              <w:t>Preserve advanced field-viewer requirements; current owner-backed views remain supported</w:t>
            </w:r>
          </w:p>
        </w:tc>
      </w:tr>
      <w:tr>
        <w:tc>
          <w:tcPr>
            <w:tcW w:type="dxa" w:w="2232"/>
            <w:vAlign w:val="center"/>
            <w:tcMar>
              <w:top w:w="90" w:type="dxa"/>
              <w:start w:w="110" w:type="dxa"/>
              <w:bottom w:w="90" w:type="dxa"/>
              <w:end w:w="110" w:type="dxa"/>
            </w:tcMar>
            <w:shd w:fill="FFFFFF"/>
          </w:tcPr>
          <w:p>
            <w:pPr>
              <w:spacing w:after="0" w:line="252" w:lineRule="auto"/>
            </w:pPr>
            <w:r>
              <w:t>15: routing/remote</w:t>
            </w:r>
          </w:p>
        </w:tc>
        <w:tc>
          <w:tcPr>
            <w:tcW w:type="dxa" w:w="4536"/>
            <w:vAlign w:val="center"/>
            <w:tcMar>
              <w:top w:w="90" w:type="dxa"/>
              <w:start w:w="110" w:type="dxa"/>
              <w:bottom w:w="90" w:type="dxa"/>
              <w:end w:w="110" w:type="dxa"/>
            </w:tcMar>
            <w:shd w:fill="FFFFFF"/>
          </w:tcPr>
          <w:p>
            <w:pPr>
              <w:spacing w:after="0" w:line="252" w:lineRule="auto"/>
            </w:pPr>
            <w:r>
              <w:t>HISTORICAL / NON-NORMATIVE</w:t>
            </w:r>
          </w:p>
        </w:tc>
        <w:tc>
          <w:tcPr>
            <w:tcW w:type="dxa" w:w="3658"/>
            <w:vAlign w:val="center"/>
            <w:tcMar>
              <w:top w:w="90" w:type="dxa"/>
              <w:start w:w="110" w:type="dxa"/>
              <w:bottom w:w="90" w:type="dxa"/>
              <w:end w:w="110" w:type="dxa"/>
            </w:tcMar>
            <w:shd w:fill="FFFFFF"/>
          </w:tcPr>
          <w:p>
            <w:pPr>
              <w:spacing w:after="0" w:line="252" w:lineRule="auto"/>
            </w:pPr>
            <w:r>
              <w:t>Preserve explainable routing and restart-safe remote design records</w:t>
            </w:r>
          </w:p>
        </w:tc>
      </w:tr>
      <w:tr>
        <w:tc>
          <w:tcPr>
            <w:tcW w:type="dxa" w:w="2232"/>
            <w:vAlign w:val="center"/>
            <w:tcMar>
              <w:top w:w="90" w:type="dxa"/>
              <w:start w:w="110" w:type="dxa"/>
              <w:bottom w:w="90" w:type="dxa"/>
              <w:end w:w="110" w:type="dxa"/>
            </w:tcMar>
            <w:shd w:fill="F4F7F9"/>
          </w:tcPr>
          <w:p>
            <w:pPr>
              <w:spacing w:after="0" w:line="252" w:lineRule="auto"/>
            </w:pPr>
            <w:r>
              <w:t>16: qualification</w:t>
            </w:r>
          </w:p>
        </w:tc>
        <w:tc>
          <w:tcPr>
            <w:tcW w:type="dxa" w:w="4536"/>
            <w:vAlign w:val="center"/>
            <w:tcMar>
              <w:top w:w="90" w:type="dxa"/>
              <w:start w:w="110" w:type="dxa"/>
              <w:bottom w:w="90" w:type="dxa"/>
              <w:end w:w="110" w:type="dxa"/>
            </w:tcMar>
            <w:shd w:fill="F4F7F9"/>
          </w:tcPr>
          <w:p>
            <w:pPr>
              <w:spacing w:after="0" w:line="252" w:lineRule="auto"/>
            </w:pPr>
            <w:r>
              <w:t>HISTORICAL / NON-NORMATIVE</w:t>
            </w:r>
          </w:p>
        </w:tc>
        <w:tc>
          <w:tcPr>
            <w:tcW w:type="dxa" w:w="3658"/>
            <w:vAlign w:val="center"/>
            <w:tcMar>
              <w:top w:w="90" w:type="dxa"/>
              <w:start w:w="110" w:type="dxa"/>
              <w:bottom w:w="90" w:type="dxa"/>
              <w:end w:w="110" w:type="dxa"/>
            </w:tcMar>
            <w:shd w:fill="F4F7F9"/>
          </w:tcPr>
          <w:p>
            <w:pPr>
              <w:spacing w:after="0" w:line="252" w:lineRule="auto"/>
            </w:pPr>
            <w:r>
              <w:t>Preserve benchmark/envelope and high-Re sensitivity design records</w:t>
            </w:r>
          </w:p>
        </w:tc>
      </w:tr>
      <w:tr>
        <w:tc>
          <w:tcPr>
            <w:tcW w:type="dxa" w:w="2232"/>
            <w:vAlign w:val="center"/>
            <w:tcMar>
              <w:top w:w="90" w:type="dxa"/>
              <w:start w:w="110" w:type="dxa"/>
              <w:bottom w:w="90" w:type="dxa"/>
              <w:end w:w="110" w:type="dxa"/>
            </w:tcMar>
            <w:shd w:fill="FFFFFF"/>
          </w:tcPr>
          <w:p>
            <w:pPr>
              <w:spacing w:after="0" w:line="252" w:lineRule="auto"/>
            </w:pPr>
            <w:r>
              <w:t>17–18: moving/unsteady/6DOF</w:t>
            </w:r>
          </w:p>
        </w:tc>
        <w:tc>
          <w:tcPr>
            <w:tcW w:type="dxa" w:w="4536"/>
            <w:vAlign w:val="center"/>
            <w:tcMar>
              <w:top w:w="90" w:type="dxa"/>
              <w:start w:w="110" w:type="dxa"/>
              <w:bottom w:w="90" w:type="dxa"/>
              <w:end w:w="110" w:type="dxa"/>
            </w:tcMar>
            <w:shd w:fill="FFFFFF"/>
          </w:tcPr>
          <w:p>
            <w:pPr>
              <w:spacing w:after="0" w:line="252" w:lineRule="auto"/>
            </w:pPr>
            <w:r>
              <w:t>HISTORICAL; RETAIN CURRENT JSBSIM</w:t>
            </w:r>
          </w:p>
        </w:tc>
        <w:tc>
          <w:tcPr>
            <w:tcW w:type="dxa" w:w="3658"/>
            <w:vAlign w:val="center"/>
            <w:tcMar>
              <w:top w:w="90" w:type="dxa"/>
              <w:start w:w="110" w:type="dxa"/>
              <w:bottom w:w="90" w:type="dxa"/>
              <w:end w:w="110" w:type="dxa"/>
            </w:tcMar>
            <w:shd w:fill="FFFFFF"/>
          </w:tcPr>
          <w:p>
            <w:pPr>
              <w:spacing w:after="0" w:line="252" w:lineRule="auto"/>
            </w:pPr>
            <w:r>
              <w:t>Preserve advanced dynamics records while protecting the existing low-order JSBSim route</w:t>
            </w:r>
          </w:p>
        </w:tc>
      </w:tr>
      <w:tr>
        <w:tc>
          <w:tcPr>
            <w:tcW w:type="dxa" w:w="2232"/>
            <w:vAlign w:val="center"/>
            <w:tcMar>
              <w:top w:w="90" w:type="dxa"/>
              <w:start w:w="110" w:type="dxa"/>
              <w:bottom w:w="90" w:type="dxa"/>
              <w:end w:w="110" w:type="dxa"/>
            </w:tcMar>
            <w:shd w:fill="F4F7F9"/>
          </w:tcPr>
          <w:p>
            <w:pPr>
              <w:spacing w:after="0" w:line="252" w:lineRule="auto"/>
            </w:pPr>
            <w:r>
              <w:t>19: aeroelasticity/FSI</w:t>
            </w:r>
          </w:p>
        </w:tc>
        <w:tc>
          <w:tcPr>
            <w:tcW w:type="dxa" w:w="4536"/>
            <w:vAlign w:val="center"/>
            <w:tcMar>
              <w:top w:w="90" w:type="dxa"/>
              <w:start w:w="110" w:type="dxa"/>
              <w:bottom w:w="90" w:type="dxa"/>
              <w:end w:w="110" w:type="dxa"/>
            </w:tcMar>
            <w:shd w:fill="F4F7F9"/>
          </w:tcPr>
          <w:p>
            <w:pPr>
              <w:spacing w:after="0" w:line="252" w:lineRule="auto"/>
            </w:pPr>
            <w:r>
              <w:t>HISTORICAL / NON-NORMATIVE</w:t>
            </w:r>
          </w:p>
        </w:tc>
        <w:tc>
          <w:tcPr>
            <w:tcW w:type="dxa" w:w="3658"/>
            <w:vAlign w:val="center"/>
            <w:tcMar>
              <w:top w:w="90" w:type="dxa"/>
              <w:start w:w="110" w:type="dxa"/>
              <w:bottom w:w="90" w:type="dxa"/>
              <w:end w:w="110" w:type="dxa"/>
            </w:tcMar>
            <w:shd w:fill="F4F7F9"/>
          </w:tcPr>
          <w:p>
            <w:pPr>
              <w:spacing w:after="0" w:line="252" w:lineRule="auto"/>
            </w:pPr>
            <w:r>
              <w:t>Preserve structural authority, mapping, coupling, convergence, and flutter design records</w:t>
            </w:r>
          </w:p>
        </w:tc>
      </w:tr>
      <w:tr>
        <w:tc>
          <w:tcPr>
            <w:tcW w:type="dxa" w:w="2232"/>
            <w:vAlign w:val="center"/>
            <w:tcMar>
              <w:top w:w="90" w:type="dxa"/>
              <w:start w:w="110" w:type="dxa"/>
              <w:bottom w:w="90" w:type="dxa"/>
              <w:end w:w="110" w:type="dxa"/>
            </w:tcMar>
            <w:shd w:fill="FFFFFF"/>
          </w:tcPr>
          <w:p>
            <w:pPr>
              <w:spacing w:after="0" w:line="252" w:lineRule="auto"/>
            </w:pPr>
            <w:r>
              <w:t>20: diagnostics/refinement</w:t>
            </w:r>
          </w:p>
        </w:tc>
        <w:tc>
          <w:tcPr>
            <w:tcW w:type="dxa" w:w="4536"/>
            <w:vAlign w:val="center"/>
            <w:tcMar>
              <w:top w:w="90" w:type="dxa"/>
              <w:start w:w="110" w:type="dxa"/>
              <w:bottom w:w="90" w:type="dxa"/>
              <w:end w:w="110" w:type="dxa"/>
            </w:tcMar>
            <w:shd w:fill="FFFFFF"/>
          </w:tcPr>
          <w:p>
            <w:pPr>
              <w:spacing w:after="0" w:line="252" w:lineRule="auto"/>
            </w:pPr>
            <w:r>
              <w:t>HISTORICAL / NON-NORMATIVE</w:t>
            </w:r>
          </w:p>
        </w:tc>
        <w:tc>
          <w:tcPr>
            <w:tcW w:type="dxa" w:w="3658"/>
            <w:vAlign w:val="center"/>
            <w:tcMar>
              <w:top w:w="90" w:type="dxa"/>
              <w:start w:w="110" w:type="dxa"/>
              <w:bottom w:w="90" w:type="dxa"/>
              <w:end w:w="110" w:type="dxa"/>
            </w:tcMar>
            <w:shd w:fill="FFFFFF"/>
          </w:tcPr>
          <w:p>
            <w:pPr>
              <w:spacing w:after="0" w:line="252" w:lineRule="auto"/>
            </w:pPr>
            <w:r>
              <w:t>Preserve uncertainty, convergence, comparison, and controlled-refinement design records</w:t>
            </w:r>
          </w:p>
        </w:tc>
      </w:tr>
    </w:tbl>
    <w:p>
      <w:pPr>
        <w:spacing w:after="0"/>
      </w:pPr>
    </w:p>
    <w:p>
      <w:pPr>
        <w:pStyle w:val="Heading2"/>
        <w:keepNext/>
      </w:pPr>
      <w:r>
        <w:t>Aero release principle</w:t>
      </w:r>
    </w:p>
    <w:p>
      <w:pPr>
        <w:pStyle w:val="Callout"/>
      </w:pPr>
      <w:r>
        <w:t>A low-order Aero milestone closes only when exact source, frames, units, readiness, artifacts, currentness, publication, claim ceiling, cancellation, and save/reopen behavior survive the installed route. Advanced solver fidelity is not a substitute for that evidence.</w:t>
      </w:r>
    </w:p>
    <w:p>
      <w:r>
        <w:br w:type="page"/>
      </w:r>
    </w:p>
    <w:p>
      <w:pPr>
        <w:pStyle w:val="Heading1"/>
        <w:keepNext/>
      </w:pPr>
      <w:r>
        <w:t>7. Retained lifecycle capabilities and preserved advanced records</w:t>
      </w:r>
    </w:p>
    <w:p>
      <w:pPr>
        <w:pStyle w:val="Heading2"/>
        <w:keepNext/>
      </w:pPr>
      <w:r>
        <w:t>Assembly, Manufacture, and McMasterInsert: retain current capability</w:t>
      </w:r>
    </w:p>
    <w:p>
      <w:pPr>
        <w:pStyle w:val="BodyText"/>
      </w:pPr>
      <w:r>
        <w:t>Current Assembly identities, interfaces, semantic-geometry currentness, bounded proposals, coupling evidence, Manufacture post output, and retained simulation evidence remain supported and regression-protected. The current McMaster live catalog, CAD import/cache, component metadata, and placement surfaces are retained separately from bundled standard fasteners; already-started package, runtime, and visible-acceptance closure may remain. Broader procurement intelligence, supplier comparison, automated sourcing, migration, topology, catalog, motion/contact/flexible-body, detached-task, and installed-page expansion is not an active public completion gate.</w:t>
      </w:r>
    </w:p>
    <w:p>
      <w:pPr>
        <w:pStyle w:val="Heading2"/>
        <w:keepNext/>
      </w:pPr>
      <w:r>
        <w:t>Sequencing and service: preserved historical design records</w:t>
      </w:r>
    </w:p>
    <w:p>
      <w:pPr>
        <w:pStyle w:val="BodyText"/>
      </w:pPr>
      <w:r>
        <w:t>G10 and G11 preserve bounded sequencing and service-planning contracts and landed foundations. Any later reactivation must still expose precedence, insertion, access, fasteners, fixtures, collisions, tools, protected components, equal alternatives, failures, and uncertainty; sampled motion must never be presented as continuous feasibility.</w:t>
      </w:r>
    </w:p>
    <w:p>
      <w:pPr>
        <w:pStyle w:val="Heading2"/>
        <w:keepNext/>
      </w:pPr>
      <w:r>
        <w:t>Manufacture evidence remains owner-bound</w:t>
      </w:r>
    </w:p>
    <w:p>
      <w:pPr>
        <w:pStyle w:val="BodyText"/>
      </w:pPr>
      <w:r>
        <w:t>Committed post output and retained CAM simulation evidence keep their conservative claim ceilings. The shared Analysis and presentation layers do not become CAM authorities, and preservation of current behavior does not make generalized G7/X7 expansion a release blocker.</w:t>
      </w:r>
    </w:p>
    <w:p>
      <w:pPr>
        <w:pStyle w:val="Heading2"/>
        <w:keepNext/>
      </w:pPr>
      <w:r>
        <w:t>Robot projection remains a downstream boundary</w:t>
      </w:r>
    </w:p>
    <w:p>
      <w:pPr>
        <w:pStyle w:val="BodyText"/>
      </w:pPr>
      <w:r>
        <w:t>The versioned Assembly-step to Robot-task direction remains preserved. Robot owns reachability, trajectory planning, simulation, calibration, control, and export; a task description cannot claim a safe executable trajectory. This historical direction does not block the active public boundary.</w:t>
      </w:r>
    </w:p>
    <w:tbl>
      <w:tblPr>
        <w:tblW w:type="auto" w:w="0"/>
        <w:jc w:val="center"/>
        <w:tblLayout w:type="fixed"/>
        <w:tblLook w:firstColumn="1" w:firstRow="1" w:lastColumn="0" w:lastRow="0" w:noHBand="0" w:noVBand="1" w:val="04A0"/>
      </w:tblPr>
      <w:tblGrid>
        <w:gridCol w:w="3389"/>
        <w:gridCol w:w="3389"/>
        <w:gridCol w:w="3389"/>
      </w:tblGrid>
      <w:tr>
        <w:tc>
          <w:tcPr>
            <w:tcW w:type="dxa" w:w="1584"/>
            <w:vAlign w:val="center"/>
            <w:tcMar>
              <w:top w:w="90" w:type="dxa"/>
              <w:start w:w="110" w:type="dxa"/>
              <w:bottom w:w="90" w:type="dxa"/>
              <w:end w:w="110" w:type="dxa"/>
            </w:tcMar>
            <w:shd w:fill="122033"/>
          </w:tcPr>
          <w:p>
            <w:pPr>
              <w:spacing w:after="0" w:line="252" w:lineRule="auto"/>
            </w:pPr>
            <w:r/>
            <w:r>
              <w:rPr>
                <w:rFonts w:ascii="Aptos" w:hAnsi="Aptos"/>
                <w:b/>
                <w:color w:val="FFFFFF"/>
                <w:sz w:val="16"/>
              </w:rPr>
              <w:t>Domain</w:t>
            </w:r>
          </w:p>
        </w:tc>
        <w:tc>
          <w:tcPr>
            <w:tcW w:type="dxa" w:w="3816"/>
            <w:vAlign w:val="center"/>
            <w:tcMar>
              <w:top w:w="90" w:type="dxa"/>
              <w:start w:w="110" w:type="dxa"/>
              <w:bottom w:w="90" w:type="dxa"/>
              <w:end w:w="110" w:type="dxa"/>
            </w:tcMar>
            <w:shd w:fill="122033"/>
          </w:tcPr>
          <w:p>
            <w:pPr>
              <w:spacing w:after="0" w:line="252" w:lineRule="auto"/>
            </w:pPr>
            <w:r/>
            <w:r>
              <w:rPr>
                <w:rFonts w:ascii="Aptos" w:hAnsi="Aptos"/>
                <w:b/>
                <w:color w:val="FFFFFF"/>
                <w:sz w:val="16"/>
              </w:rPr>
              <w:t>Bad shortcut</w:t>
            </w:r>
          </w:p>
        </w:tc>
        <w:tc>
          <w:tcPr>
            <w:tcW w:type="dxa" w:w="5112"/>
            <w:vAlign w:val="center"/>
            <w:tcMar>
              <w:top w:w="90" w:type="dxa"/>
              <w:start w:w="110" w:type="dxa"/>
              <w:bottom w:w="90" w:type="dxa"/>
              <w:end w:w="110" w:type="dxa"/>
            </w:tcMar>
            <w:shd w:fill="122033"/>
          </w:tcPr>
          <w:p>
            <w:pPr>
              <w:spacing w:after="0" w:line="252" w:lineRule="auto"/>
            </w:pPr>
            <w:r/>
            <w:r>
              <w:rPr>
                <w:rFonts w:ascii="Aptos" w:hAnsi="Aptos"/>
                <w:b/>
                <w:color w:val="FFFFFF"/>
                <w:sz w:val="16"/>
              </w:rPr>
              <w:t>Correct user-facing behavior</w:t>
            </w:r>
          </w:p>
        </w:tc>
      </w:tr>
      <w:tr>
        <w:tc>
          <w:tcPr>
            <w:tcW w:type="dxa" w:w="1584"/>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Assembly</w:t>
            </w:r>
          </w:p>
        </w:tc>
        <w:tc>
          <w:tcPr>
            <w:tcW w:type="dxa" w:w="3816"/>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Bind by labels or guess stale subelements</w:t>
            </w:r>
          </w:p>
        </w:tc>
        <w:tc>
          <w:tcPr>
            <w:tcW w:type="dxa" w:w="5112"/>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Preserve stable identities; show stale/unbound/indeterminate explicitly</w:t>
            </w:r>
          </w:p>
        </w:tc>
      </w:tr>
      <w:tr>
        <w:tc>
          <w:tcPr>
            <w:tcW w:type="dxa" w:w="1584"/>
            <w:vAlign w:val="center"/>
            <w:tcMar>
              <w:top w:w="90" w:type="dxa"/>
              <w:start w:w="110" w:type="dxa"/>
              <w:bottom w:w="90" w:type="dxa"/>
              <w:end w:w="110" w:type="dxa"/>
            </w:tcMar>
            <w:shd w:fill="F4F7F9"/>
          </w:tcPr>
          <w:p>
            <w:pPr>
              <w:spacing w:after="0" w:line="252" w:lineRule="auto"/>
            </w:pPr>
            <w:r/>
            <w:r>
              <w:rPr>
                <w:rFonts w:ascii="Aptos" w:hAnsi="Aptos"/>
                <w:b w:val="0"/>
                <w:color w:val="1F2933"/>
                <w:sz w:val="16"/>
              </w:rPr>
              <w:t>Sequencing</w:t>
            </w:r>
          </w:p>
        </w:tc>
        <w:tc>
          <w:tcPr>
            <w:tcW w:type="dxa" w:w="3816"/>
            <w:vAlign w:val="center"/>
            <w:tcMar>
              <w:top w:w="90" w:type="dxa"/>
              <w:start w:w="110" w:type="dxa"/>
              <w:bottom w:w="90" w:type="dxa"/>
              <w:end w:w="110" w:type="dxa"/>
            </w:tcMar>
            <w:shd w:fill="F4F7F9"/>
          </w:tcPr>
          <w:p>
            <w:pPr>
              <w:spacing w:after="0" w:line="252" w:lineRule="auto"/>
            </w:pPr>
            <w:r/>
            <w:r>
              <w:rPr>
                <w:rFonts w:ascii="Aptos" w:hAnsi="Aptos"/>
                <w:b w:val="0"/>
                <w:color w:val="1F2933"/>
                <w:sz w:val="16"/>
              </w:rPr>
              <w:t>Treat sampled collision-free poses as a continuous path</w:t>
            </w:r>
          </w:p>
        </w:tc>
        <w:tc>
          <w:tcPr>
            <w:tcW w:type="dxa" w:w="5112"/>
            <w:vAlign w:val="center"/>
            <w:tcMar>
              <w:top w:w="90" w:type="dxa"/>
              <w:start w:w="110" w:type="dxa"/>
              <w:bottom w:w="90" w:type="dxa"/>
              <w:end w:w="110" w:type="dxa"/>
            </w:tcMar>
            <w:shd w:fill="F4F7F9"/>
          </w:tcPr>
          <w:p>
            <w:pPr>
              <w:spacing w:after="0" w:line="252" w:lineRule="auto"/>
            </w:pPr>
            <w:r/>
            <w:r>
              <w:rPr>
                <w:rFonts w:ascii="Aptos" w:hAnsi="Aptos"/>
                <w:b w:val="0"/>
                <w:color w:val="1F2933"/>
                <w:sz w:val="16"/>
              </w:rPr>
              <w:t>Label sampled versus continuous evidence and refuse unsupported claims</w:t>
            </w:r>
          </w:p>
        </w:tc>
      </w:tr>
      <w:tr>
        <w:tc>
          <w:tcPr>
            <w:tcW w:type="dxa" w:w="1584"/>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Service</w:t>
            </w:r>
          </w:p>
        </w:tc>
        <w:tc>
          <w:tcPr>
            <w:tcW w:type="dxa" w:w="3816"/>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Reverse the build order and call it serviceable</w:t>
            </w:r>
          </w:p>
        </w:tc>
        <w:tc>
          <w:tcPr>
            <w:tcW w:type="dxa" w:w="5112"/>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Account for access, tools, fixtures, protection and failed reverse steps</w:t>
            </w:r>
          </w:p>
        </w:tc>
      </w:tr>
      <w:tr>
        <w:tc>
          <w:tcPr>
            <w:tcW w:type="dxa" w:w="1584"/>
            <w:vAlign w:val="center"/>
            <w:tcMar>
              <w:top w:w="90" w:type="dxa"/>
              <w:start w:w="110" w:type="dxa"/>
              <w:bottom w:w="90" w:type="dxa"/>
              <w:end w:w="110" w:type="dxa"/>
            </w:tcMar>
            <w:shd w:fill="F4F7F9"/>
          </w:tcPr>
          <w:p>
            <w:pPr>
              <w:spacing w:after="0" w:line="252" w:lineRule="auto"/>
            </w:pPr>
            <w:r/>
            <w:r>
              <w:rPr>
                <w:rFonts w:ascii="Aptos" w:hAnsi="Aptos"/>
                <w:b w:val="0"/>
                <w:color w:val="1F2933"/>
                <w:sz w:val="16"/>
              </w:rPr>
              <w:t>Manufacture</w:t>
            </w:r>
          </w:p>
        </w:tc>
        <w:tc>
          <w:tcPr>
            <w:tcW w:type="dxa" w:w="3816"/>
            <w:vAlign w:val="center"/>
            <w:tcMar>
              <w:top w:w="90" w:type="dxa"/>
              <w:start w:w="110" w:type="dxa"/>
              <w:bottom w:w="90" w:type="dxa"/>
              <w:end w:w="110" w:type="dxa"/>
            </w:tcMar>
            <w:shd w:fill="F4F7F9"/>
          </w:tcPr>
          <w:p>
            <w:pPr>
              <w:spacing w:after="0" w:line="252" w:lineRule="auto"/>
            </w:pPr>
            <w:r/>
            <w:r>
              <w:rPr>
                <w:rFonts w:ascii="Aptos" w:hAnsi="Aptos"/>
                <w:b w:val="0"/>
                <w:color w:val="1F2933"/>
                <w:sz w:val="16"/>
              </w:rPr>
              <w:t>Call posted or simulated G-code manufacturable</w:t>
            </w:r>
          </w:p>
        </w:tc>
        <w:tc>
          <w:tcPr>
            <w:tcW w:type="dxa" w:w="5112"/>
            <w:vAlign w:val="center"/>
            <w:tcMar>
              <w:top w:w="90" w:type="dxa"/>
              <w:start w:w="110" w:type="dxa"/>
              <w:bottom w:w="90" w:type="dxa"/>
              <w:end w:w="110" w:type="dxa"/>
            </w:tcMar>
            <w:shd w:fill="F4F7F9"/>
          </w:tcPr>
          <w:p>
            <w:pPr>
              <w:spacing w:after="0" w:line="252" w:lineRule="auto"/>
            </w:pPr>
            <w:r/>
            <w:r>
              <w:rPr>
                <w:rFonts w:ascii="Aptos" w:hAnsi="Aptos"/>
                <w:b w:val="0"/>
                <w:color w:val="1F2933"/>
                <w:sz w:val="16"/>
              </w:rPr>
              <w:t>Separate output creation, simulation evidence, verification and shop feasibility</w:t>
            </w:r>
          </w:p>
        </w:tc>
      </w:tr>
      <w:tr>
        <w:tc>
          <w:tcPr>
            <w:tcW w:type="dxa" w:w="1584"/>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Robot</w:t>
            </w:r>
          </w:p>
        </w:tc>
        <w:tc>
          <w:tcPr>
            <w:tcW w:type="dxa" w:w="3816"/>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Treat a task description as a safe trajectory</w:t>
            </w:r>
          </w:p>
        </w:tc>
        <w:tc>
          <w:tcPr>
            <w:tcW w:type="dxa" w:w="5112"/>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Handoff exact intent, then require Robot-domain planning and validation</w:t>
            </w:r>
          </w:p>
        </w:tc>
      </w:tr>
    </w:tbl>
    <w:p>
      <w:pPr>
        <w:spacing w:after="0"/>
      </w:pPr>
    </w:p>
    <w:p>
      <w:r>
        <w:br w:type="page"/>
      </w:r>
    </w:p>
    <w:p>
      <w:pPr>
        <w:pStyle w:val="Heading1"/>
        <w:keepNext/>
      </w:pPr>
      <w:r>
        <w:t>8. Repository compatibility and evidence boundaries</w:t>
      </w:r>
    </w:p>
    <w:p>
      <w:pPr>
        <w:pStyle w:val="BodyText"/>
      </w:pPr>
      <w:r>
        <w:t>The maintained repository carries the product roadmap and independently validated work. External repositories remain compatibility and engineering inputs only. Compatibility changes are reviewed against exact owners, tests, package behavior, and user-visible journeys; no external source silently overrides the accepted VibeCAD authority map.</w:t>
      </w:r>
    </w:p>
    <w:tbl>
      <w:tblPr>
        <w:tblW w:type="auto" w:w="0"/>
        <w:jc w:val="center"/>
        <w:tblLayout w:type="fixed"/>
        <w:tblLook w:firstColumn="1" w:firstRow="1" w:lastColumn="0" w:lastRow="0" w:noHBand="0" w:noVBand="1" w:val="04A0"/>
      </w:tblPr>
      <w:tblGrid>
        <w:gridCol w:w="3389"/>
        <w:gridCol w:w="3389"/>
        <w:gridCol w:w="3389"/>
      </w:tblGrid>
      <w:tr>
        <w:tc>
          <w:tcPr>
            <w:tcW w:type="dxa" w:w="2621"/>
            <w:vAlign w:val="center"/>
            <w:tcMar>
              <w:top w:w="90" w:type="dxa"/>
              <w:start w:w="110" w:type="dxa"/>
              <w:bottom w:w="90" w:type="dxa"/>
              <w:end w:w="110" w:type="dxa"/>
            </w:tcMar>
            <w:shd w:fill="122033"/>
          </w:tcPr>
          <w:p>
            <w:pPr>
              <w:spacing w:after="0" w:line="252" w:lineRule="auto"/>
            </w:pPr>
            <w:r>
              <w:t>External compatibility lane</w:t>
            </w:r>
          </w:p>
        </w:tc>
        <w:tc>
          <w:tcPr>
            <w:tcW w:type="dxa" w:w="3744"/>
            <w:vAlign w:val="center"/>
            <w:tcMar>
              <w:top w:w="90" w:type="dxa"/>
              <w:start w:w="110" w:type="dxa"/>
              <w:bottom w:w="90" w:type="dxa"/>
              <w:end w:w="110" w:type="dxa"/>
            </w:tcMar>
            <w:shd w:fill="122033"/>
          </w:tcPr>
          <w:p>
            <w:pPr>
              <w:spacing w:after="0" w:line="252" w:lineRule="auto"/>
            </w:pPr>
            <w:r>
              <w:t>Default action</w:t>
            </w:r>
          </w:p>
        </w:tc>
        <w:tc>
          <w:tcPr>
            <w:tcW w:type="dxa" w:w="4133"/>
            <w:vAlign w:val="center"/>
            <w:tcMar>
              <w:top w:w="90" w:type="dxa"/>
              <w:start w:w="110" w:type="dxa"/>
              <w:bottom w:w="90" w:type="dxa"/>
              <w:end w:w="110" w:type="dxa"/>
            </w:tcMar>
            <w:shd w:fill="122033"/>
          </w:tcPr>
          <w:p>
            <w:pPr>
              <w:spacing w:after="0" w:line="252" w:lineRule="auto"/>
            </w:pPr>
            <w:r>
              <w:t>Reason</w:t>
            </w:r>
          </w:p>
        </w:tc>
      </w:tr>
      <w:tr>
        <w:tc>
          <w:tcPr>
            <w:tcW w:type="dxa" w:w="2621"/>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Security, crash, data-loss and correctness fixes</w:t>
            </w:r>
          </w:p>
        </w:tc>
        <w:tc>
          <w:tcPr>
            <w:tcW w:type="dxa" w:w="3744"/>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Review immediately; adapt or merge with highest priority</w:t>
            </w:r>
          </w:p>
        </w:tc>
        <w:tc>
          <w:tcPr>
            <w:tcW w:type="dxa" w:w="4133"/>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These protect users and usually compound with our governance work</w:t>
            </w:r>
          </w:p>
        </w:tc>
      </w:tr>
      <w:tr>
        <w:tc>
          <w:tcPr>
            <w:tcW w:type="dxa" w:w="2621"/>
            <w:vAlign w:val="center"/>
            <w:tcMar>
              <w:top w:w="90" w:type="dxa"/>
              <w:start w:w="110" w:type="dxa"/>
              <w:bottom w:w="90" w:type="dxa"/>
              <w:end w:w="110" w:type="dxa"/>
            </w:tcMar>
            <w:shd w:fill="F4F7F9"/>
          </w:tcPr>
          <w:p>
            <w:pPr>
              <w:spacing w:after="0" w:line="252" w:lineRule="auto"/>
            </w:pPr>
            <w:r/>
            <w:r>
              <w:rPr>
                <w:rFonts w:ascii="Aptos" w:hAnsi="Aptos"/>
                <w:b w:val="0"/>
                <w:color w:val="1F2933"/>
                <w:sz w:val="16"/>
              </w:rPr>
              <w:t>Platform, packaging and dependency support</w:t>
            </w:r>
          </w:p>
        </w:tc>
        <w:tc>
          <w:tcPr>
            <w:tcW w:type="dxa" w:w="3744"/>
            <w:vAlign w:val="center"/>
            <w:tcMar>
              <w:top w:w="90" w:type="dxa"/>
              <w:start w:w="110" w:type="dxa"/>
              <w:bottom w:w="90" w:type="dxa"/>
              <w:end w:w="110" w:type="dxa"/>
            </w:tcMar>
            <w:shd w:fill="F4F7F9"/>
          </w:tcPr>
          <w:p>
            <w:pPr>
              <w:spacing w:after="0" w:line="252" w:lineRule="auto"/>
            </w:pPr>
            <w:r/>
            <w:r>
              <w:rPr>
                <w:rFonts w:ascii="Aptos" w:hAnsi="Aptos"/>
                <w:b w:val="0"/>
                <w:color w:val="1F2933"/>
                <w:sz w:val="16"/>
              </w:rPr>
              <w:t>Continuously test against our installed/release matrix</w:t>
            </w:r>
          </w:p>
        </w:tc>
        <w:tc>
          <w:tcPr>
            <w:tcW w:type="dxa" w:w="4133"/>
            <w:vAlign w:val="center"/>
            <w:tcMar>
              <w:top w:w="90" w:type="dxa"/>
              <w:start w:w="110" w:type="dxa"/>
              <w:bottom w:w="90" w:type="dxa"/>
              <w:end w:w="110" w:type="dxa"/>
            </w:tcMar>
            <w:shd w:fill="F4F7F9"/>
          </w:tcPr>
          <w:p>
            <w:pPr>
              <w:spacing w:after="0" w:line="252" w:lineRule="auto"/>
            </w:pPr>
            <w:r>
              <w:t>Useful external maintenance lowers integration cost if it preserves product contracts</w:t>
            </w:r>
          </w:p>
        </w:tc>
      </w:tr>
      <w:tr>
        <w:tc>
          <w:tcPr>
            <w:tcW w:type="dxa" w:w="2621"/>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Performance and rendering improvements</w:t>
            </w:r>
          </w:p>
        </w:tc>
        <w:tc>
          <w:tcPr>
            <w:tcW w:type="dxa" w:w="3744"/>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Benchmark in our real workflows before adoption</w:t>
            </w:r>
          </w:p>
        </w:tc>
        <w:tc>
          <w:tcPr>
            <w:tcW w:type="dxa" w:w="4133"/>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A fast patch is valuable only if it preserves identity, evidence and owner boundaries</w:t>
            </w:r>
          </w:p>
        </w:tc>
      </w:tr>
      <w:tr>
        <w:tc>
          <w:tcPr>
            <w:tcW w:type="dxa" w:w="2621"/>
            <w:vAlign w:val="center"/>
            <w:tcMar>
              <w:top w:w="90" w:type="dxa"/>
              <w:start w:w="110" w:type="dxa"/>
              <w:bottom w:w="90" w:type="dxa"/>
              <w:end w:w="110" w:type="dxa"/>
            </w:tcMar>
            <w:shd w:fill="F4F7F9"/>
          </w:tcPr>
          <w:p>
            <w:pPr>
              <w:spacing w:after="0" w:line="252" w:lineRule="auto"/>
            </w:pPr>
            <w:r/>
            <w:r>
              <w:rPr>
                <w:rFonts w:ascii="Aptos" w:hAnsi="Aptos"/>
                <w:b w:val="0"/>
                <w:color w:val="1F2933"/>
                <w:sz w:val="16"/>
              </w:rPr>
              <w:t>New CAD/domain capability</w:t>
            </w:r>
          </w:p>
        </w:tc>
        <w:tc>
          <w:tcPr>
            <w:tcW w:type="dxa" w:w="3744"/>
            <w:vAlign w:val="center"/>
            <w:tcMar>
              <w:top w:w="90" w:type="dxa"/>
              <w:start w:w="110" w:type="dxa"/>
              <w:bottom w:w="90" w:type="dxa"/>
              <w:end w:w="110" w:type="dxa"/>
            </w:tcMar>
            <w:shd w:fill="F4F7F9"/>
          </w:tcPr>
          <w:p>
            <w:pPr>
              <w:spacing w:after="0" w:line="252" w:lineRule="auto"/>
            </w:pPr>
            <w:r/>
            <w:r>
              <w:rPr>
                <w:rFonts w:ascii="Aptos" w:hAnsi="Aptos"/>
                <w:b w:val="0"/>
                <w:color w:val="1F2933"/>
                <w:sz w:val="16"/>
              </w:rPr>
              <w:t>Classify ownership, schema and UI impact; integrate deliberately</w:t>
            </w:r>
          </w:p>
        </w:tc>
        <w:tc>
          <w:tcPr>
            <w:tcW w:type="dxa" w:w="4133"/>
            <w:vAlign w:val="center"/>
            <w:tcMar>
              <w:top w:w="90" w:type="dxa"/>
              <w:start w:w="110" w:type="dxa"/>
              <w:bottom w:w="90" w:type="dxa"/>
              <w:end w:w="110" w:type="dxa"/>
            </w:tcMar>
            <w:shd w:fill="F4F7F9"/>
          </w:tcPr>
          <w:p>
            <w:pPr>
              <w:spacing w:after="0" w:line="252" w:lineRule="auto"/>
            </w:pPr>
            <w:r/>
            <w:r>
              <w:rPr>
                <w:rFonts w:ascii="Aptos" w:hAnsi="Aptos"/>
                <w:b w:val="0"/>
                <w:color w:val="1F2933"/>
                <w:sz w:val="16"/>
              </w:rPr>
              <w:t>Capabilities should enter through our product architecture, not create a parallel route</w:t>
            </w:r>
          </w:p>
        </w:tc>
      </w:tr>
      <w:tr>
        <w:tc>
          <w:tcPr>
            <w:tcW w:type="dxa" w:w="2621"/>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Overlapping refactors</w:t>
            </w:r>
          </w:p>
        </w:tc>
        <w:tc>
          <w:tcPr>
            <w:tcW w:type="dxa" w:w="3744"/>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Reconcile in an isolated branch with contract and installed tests</w:t>
            </w:r>
          </w:p>
        </w:tc>
        <w:tc>
          <w:tcPr>
            <w:tcW w:type="dxa" w:w="4133"/>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History similarity matters less than preserving behavior and future maintainability</w:t>
            </w:r>
          </w:p>
        </w:tc>
      </w:tr>
      <w:tr>
        <w:tc>
          <w:tcPr>
            <w:tcW w:type="dxa" w:w="2621"/>
            <w:vAlign w:val="center"/>
            <w:tcMar>
              <w:top w:w="90" w:type="dxa"/>
              <w:start w:w="110" w:type="dxa"/>
              <w:bottom w:w="90" w:type="dxa"/>
              <w:end w:w="110" w:type="dxa"/>
            </w:tcMar>
            <w:shd w:fill="F4F7F9"/>
          </w:tcPr>
          <w:p>
            <w:pPr>
              <w:spacing w:after="0" w:line="252" w:lineRule="auto"/>
            </w:pPr>
            <w:r/>
            <w:r>
              <w:rPr>
                <w:rFonts w:ascii="Aptos" w:hAnsi="Aptos"/>
                <w:b w:val="0"/>
                <w:color w:val="1F2933"/>
                <w:sz w:val="16"/>
              </w:rPr>
              <w:t>Changes that weaken our guarantees</w:t>
            </w:r>
          </w:p>
        </w:tc>
        <w:tc>
          <w:tcPr>
            <w:tcW w:type="dxa" w:w="3744"/>
            <w:vAlign w:val="center"/>
            <w:tcMar>
              <w:top w:w="90" w:type="dxa"/>
              <w:start w:w="110" w:type="dxa"/>
              <w:bottom w:w="90" w:type="dxa"/>
              <w:end w:w="110" w:type="dxa"/>
            </w:tcMar>
            <w:shd w:fill="F4F7F9"/>
          </w:tcPr>
          <w:p>
            <w:pPr>
              <w:spacing w:after="0" w:line="252" w:lineRule="auto"/>
            </w:pPr>
            <w:r/>
            <w:r>
              <w:rPr>
                <w:rFonts w:ascii="Aptos" w:hAnsi="Aptos"/>
                <w:b w:val="0"/>
                <w:color w:val="1F2933"/>
                <w:sz w:val="16"/>
              </w:rPr>
              <w:t>Do not merge as-is; adapt selectively or reject</w:t>
            </w:r>
          </w:p>
        </w:tc>
        <w:tc>
          <w:tcPr>
            <w:tcW w:type="dxa" w:w="4133"/>
            <w:vAlign w:val="center"/>
            <w:tcMar>
              <w:top w:w="90" w:type="dxa"/>
              <w:start w:w="110" w:type="dxa"/>
              <w:bottom w:w="90" w:type="dxa"/>
              <w:end w:w="110" w:type="dxa"/>
            </w:tcMar>
            <w:shd w:fill="F4F7F9"/>
          </w:tcPr>
          <w:p>
            <w:pPr>
              <w:spacing w:after="0" w:line="252" w:lineRule="auto"/>
            </w:pPr>
            <w:r>
              <w:t>External convenience cannot silently remove preview, currentness, receipts or compatibility</w:t>
            </w:r>
          </w:p>
        </w:tc>
      </w:tr>
    </w:tbl>
    <w:p>
      <w:pPr>
        <w:spacing w:after="0"/>
      </w:pPr>
    </w:p>
    <w:p>
      <w:pPr>
        <w:pStyle w:val="Heading2"/>
        <w:keepNext/>
      </w:pPr>
      <w:r>
        <w:t>Compatibility and integration discipline</w:t>
      </w:r>
    </w:p>
    <w:p>
      <w:pPr>
        <w:pStyle w:val="ListNumber"/>
      </w:pPr>
      <w:r>
        <w:t>Record the exact source and local repository commits whenever a reconciliation or compatibility review is performed.</w:t>
      </w:r>
    </w:p>
    <w:p>
      <w:pPr>
        <w:pStyle w:val="ListNumber"/>
      </w:pPr>
      <w:r>
        <w:t>Keep an evidence ledger with source commit, affected owners, expected user benefit, integration risk, decision, tests, and resulting implementation commit.</w:t>
      </w:r>
    </w:p>
    <w:p>
      <w:pPr>
        <w:pStyle w:val="ListNumber"/>
      </w:pPr>
      <w:r>
        <w:t>Isolate overlapping architectural work and high-risk UI/runtime changes; never rewrite shared history to simplify reconciliation.</w:t>
      </w:r>
    </w:p>
    <w:p>
      <w:pPr>
        <w:pStyle w:val="ListNumber"/>
      </w:pPr>
      <w:r>
        <w:t>Run focused owner tests, full differential tests where applicable, exact installed journeys, and visible GUI/file acceptance after material reconciliation.</w:t>
      </w:r>
    </w:p>
    <w:p>
      <w:pPr>
        <w:pStyle w:val="ListNumber"/>
      </w:pPr>
      <w:r>
        <w:t>Any independently delivered compatibility change must be explicitly authorized, narrowly scoped, professionally documented, and independently reviewable before integration.</w:t>
      </w:r>
    </w:p>
    <w:p>
      <w:pPr>
        <w:pStyle w:val="Heading2"/>
        <w:keepNext/>
      </w:pPr>
      <w:r>
        <w:t>Current remote topology</w:t>
      </w:r>
    </w:p>
    <w:tbl>
      <w:tblPr>
        <w:tblW w:type="auto" w:w="0"/>
        <w:jc w:val="center"/>
        <w:tblLayout w:type="fixed"/>
        <w:tblLook w:firstColumn="1" w:firstRow="1" w:lastColumn="0" w:lastRow="0" w:noHBand="0" w:noVBand="1" w:val="04A0"/>
      </w:tblPr>
      <w:tblGrid>
        <w:gridCol w:w="1699"/>
        <w:gridCol w:w="8381"/>
      </w:tblGrid>
      <w:tr>
        <w:tc>
          <w:tcPr>
            <w:tcW w:type="dxa" w:w="5083"/>
            <w:vAlign w:val="center"/>
            <w:tcMar>
              <w:top w:w="90" w:type="dxa"/>
              <w:start w:w="110" w:type="dxa"/>
              <w:bottom w:w="90" w:type="dxa"/>
              <w:end w:w="110" w:type="dxa"/>
            </w:tcMar>
            <w:shd w:fill="176B87"/>
          </w:tcPr>
          <w:p>
            <w:pPr>
              <w:spacing w:after="0" w:line="252" w:lineRule="auto"/>
            </w:pPr>
            <w:r>
              <w:t>CANONICAL REPOSITORY</w:t>
            </w:r>
          </w:p>
        </w:tc>
        <w:tc>
          <w:tcPr>
            <w:tcW w:type="dxa" w:w="5083"/>
            <w:vAlign w:val="center"/>
            <w:tcMar>
              <w:top w:w="90" w:type="dxa"/>
              <w:start w:w="110" w:type="dxa"/>
              <w:bottom w:w="90" w:type="dxa"/>
              <w:end w:w="110" w:type="dxa"/>
            </w:tcMar>
            <w:shd w:fill="EAF4F6"/>
          </w:tcPr>
          <w:p>
            <w:pPr>
              <w:spacing w:after="0" w:line="252" w:lineRule="auto"/>
            </w:pPr>
            <w:r>
              <w:t>The maintained VibeCAD repository carries the accepted product roadmap. Exact local checkout identity belongs in each evidence receipt.</w:t>
            </w:r>
          </w:p>
        </w:tc>
      </w:tr>
    </w:tbl>
    <w:p>
      <w:pPr>
        <w:spacing w:after="0"/>
      </w:pPr>
    </w:p>
    <w:tbl>
      <w:tblPr>
        <w:tblW w:type="auto" w:w="0"/>
        <w:jc w:val="center"/>
        <w:tblLayout w:type="fixed"/>
        <w:tblLook w:firstColumn="1" w:firstRow="1" w:lastColumn="0" w:lastRow="0" w:noHBand="0" w:noVBand="1" w:val="04A0"/>
      </w:tblPr>
      <w:tblGrid>
        <w:gridCol w:w="1699"/>
        <w:gridCol w:w="8381"/>
      </w:tblGrid>
      <w:tr>
        <w:tc>
          <w:tcPr>
            <w:tcW w:type="dxa" w:w="5083"/>
            <w:vAlign w:val="center"/>
            <w:tcMar>
              <w:top w:w="90" w:type="dxa"/>
              <w:start w:w="110" w:type="dxa"/>
              <w:bottom w:w="90" w:type="dxa"/>
              <w:end w:w="110" w:type="dxa"/>
            </w:tcMar>
            <w:shd w:fill="18A7B5"/>
          </w:tcPr>
          <w:p>
            <w:pPr>
              <w:spacing w:after="0" w:line="252" w:lineRule="auto"/>
            </w:pPr>
            <w:r>
              <w:t>EXTERNAL INPUTS</w:t>
            </w:r>
          </w:p>
        </w:tc>
        <w:tc>
          <w:tcPr>
            <w:tcW w:type="dxa" w:w="5083"/>
            <w:vAlign w:val="center"/>
            <w:tcMar>
              <w:top w:w="90" w:type="dxa"/>
              <w:start w:w="110" w:type="dxa"/>
              <w:bottom w:w="90" w:type="dxa"/>
              <w:end w:w="110" w:type="dxa"/>
            </w:tcMar>
            <w:shd w:fill="EAF4F6"/>
          </w:tcPr>
          <w:p>
            <w:pPr>
              <w:spacing w:after="0" w:line="252" w:lineRule="auto"/>
            </w:pPr>
            <w:r>
              <w:t>External source repositories are compatibility inputs only. Adoption requires exact scope, reviewable evidence, and owner-approved integration.</w:t>
            </w:r>
          </w:p>
        </w:tc>
      </w:tr>
    </w:tbl>
    <w:p>
      <w:pPr>
        <w:spacing w:after="0"/>
      </w:pPr>
    </w:p>
    <w:p>
      <w:r>
        <w:br w:type="page"/>
      </w:r>
    </w:p>
    <w:p>
      <w:pPr>
        <w:pStyle w:val="Heading1"/>
        <w:keepNext/>
      </w:pPr>
      <w:r>
        <w:t>9. Release gates: what ‘done’ must mean</w:t>
      </w:r>
    </w:p>
    <w:tbl>
      <w:tblPr>
        <w:tblW w:type="auto" w:w="0"/>
        <w:jc w:val="center"/>
        <w:tblLayout w:type="fixed"/>
        <w:tblLook w:firstColumn="1" w:firstRow="1" w:lastColumn="0" w:lastRow="0" w:noHBand="0" w:noVBand="1" w:val="04A0"/>
      </w:tblPr>
      <w:tblGrid>
        <w:gridCol w:w="3389"/>
        <w:gridCol w:w="3389"/>
        <w:gridCol w:w="3389"/>
      </w:tblGrid>
      <w:tr>
        <w:tc>
          <w:tcPr>
            <w:tcW w:type="dxa" w:w="1728"/>
            <w:vAlign w:val="center"/>
            <w:tcMar>
              <w:top w:w="90" w:type="dxa"/>
              <w:start w:w="110" w:type="dxa"/>
              <w:bottom w:w="90" w:type="dxa"/>
              <w:end w:w="110" w:type="dxa"/>
            </w:tcMar>
            <w:shd w:fill="122033"/>
          </w:tcPr>
          <w:p>
            <w:pPr>
              <w:spacing w:after="0" w:line="252" w:lineRule="auto"/>
            </w:pPr>
            <w:r/>
            <w:r>
              <w:rPr>
                <w:rFonts w:ascii="Aptos" w:hAnsi="Aptos"/>
                <w:b/>
                <w:color w:val="FFFFFF"/>
                <w:sz w:val="16"/>
              </w:rPr>
              <w:t>Gate</w:t>
            </w:r>
          </w:p>
        </w:tc>
        <w:tc>
          <w:tcPr>
            <w:tcW w:type="dxa" w:w="5328"/>
            <w:vAlign w:val="center"/>
            <w:tcMar>
              <w:top w:w="90" w:type="dxa"/>
              <w:start w:w="110" w:type="dxa"/>
              <w:bottom w:w="90" w:type="dxa"/>
              <w:end w:w="110" w:type="dxa"/>
            </w:tcMar>
            <w:shd w:fill="122033"/>
          </w:tcPr>
          <w:p>
            <w:pPr>
              <w:spacing w:after="0" w:line="252" w:lineRule="auto"/>
            </w:pPr>
            <w:r/>
            <w:r>
              <w:rPr>
                <w:rFonts w:ascii="Aptos" w:hAnsi="Aptos"/>
                <w:b/>
                <w:color w:val="FFFFFF"/>
                <w:sz w:val="16"/>
              </w:rPr>
              <w:t>Required proof</w:t>
            </w:r>
          </w:p>
        </w:tc>
        <w:tc>
          <w:tcPr>
            <w:tcW w:type="dxa" w:w="3442"/>
            <w:vAlign w:val="center"/>
            <w:tcMar>
              <w:top w:w="90" w:type="dxa"/>
              <w:start w:w="110" w:type="dxa"/>
              <w:bottom w:w="90" w:type="dxa"/>
              <w:end w:w="110" w:type="dxa"/>
            </w:tcMar>
            <w:shd w:fill="122033"/>
          </w:tcPr>
          <w:p>
            <w:pPr>
              <w:spacing w:after="0" w:line="252" w:lineRule="auto"/>
            </w:pPr>
            <w:r/>
            <w:r>
              <w:rPr>
                <w:rFonts w:ascii="Aptos" w:hAnsi="Aptos"/>
                <w:b/>
                <w:color w:val="FFFFFF"/>
                <w:sz w:val="16"/>
              </w:rPr>
              <w:t>User risk prevented</w:t>
            </w:r>
          </w:p>
        </w:tc>
      </w:tr>
      <w:tr>
        <w:tc>
          <w:tcPr>
            <w:tcW w:type="dxa" w:w="1728"/>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Exact identity</w:t>
            </w:r>
          </w:p>
        </w:tc>
        <w:tc>
          <w:tcPr>
            <w:tcW w:type="dxa" w:w="5328"/>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Document UID, Analysis/attempt/provider/artifact/workflow identities survive save/reopen and cannot substitute</w:t>
            </w:r>
          </w:p>
        </w:tc>
        <w:tc>
          <w:tcPr>
            <w:tcW w:type="dxa" w:w="3442"/>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Results attach to a same-named but different design</w:t>
            </w:r>
          </w:p>
        </w:tc>
      </w:tr>
      <w:tr>
        <w:tc>
          <w:tcPr>
            <w:tcW w:type="dxa" w:w="1728"/>
            <w:vAlign w:val="center"/>
            <w:tcMar>
              <w:top w:w="90" w:type="dxa"/>
              <w:start w:w="110" w:type="dxa"/>
              <w:bottom w:w="90" w:type="dxa"/>
              <w:end w:w="110" w:type="dxa"/>
            </w:tcMar>
            <w:shd w:fill="F4F7F9"/>
          </w:tcPr>
          <w:p>
            <w:pPr>
              <w:spacing w:after="0" w:line="252" w:lineRule="auto"/>
            </w:pPr>
            <w:r/>
            <w:r>
              <w:rPr>
                <w:rFonts w:ascii="Aptos" w:hAnsi="Aptos"/>
                <w:b w:val="0"/>
                <w:color w:val="1F2933"/>
                <w:sz w:val="16"/>
              </w:rPr>
              <w:t>Durability</w:t>
            </w:r>
          </w:p>
        </w:tc>
        <w:tc>
          <w:tcPr>
            <w:tcW w:type="dxa" w:w="5328"/>
            <w:vAlign w:val="center"/>
            <w:tcMar>
              <w:top w:w="90" w:type="dxa"/>
              <w:start w:w="110" w:type="dxa"/>
              <w:bottom w:w="90" w:type="dxa"/>
              <w:end w:w="110" w:type="dxa"/>
            </w:tcMar>
            <w:shd w:fill="F4F7F9"/>
          </w:tcPr>
          <w:p>
            <w:pPr>
              <w:spacing w:after="0" w:line="252" w:lineRule="auto"/>
            </w:pPr>
            <w:r/>
            <w:r>
              <w:rPr>
                <w:rFonts w:ascii="Aptos" w:hAnsi="Aptos"/>
                <w:b w:val="0"/>
                <w:color w:val="1F2933"/>
                <w:sz w:val="16"/>
              </w:rPr>
              <w:t>Atomic records, migrations, bounded discovery, corrupt/missing/quarantined handling</w:t>
            </w:r>
          </w:p>
        </w:tc>
        <w:tc>
          <w:tcPr>
            <w:tcW w:type="dxa" w:w="3442"/>
            <w:vAlign w:val="center"/>
            <w:tcMar>
              <w:top w:w="90" w:type="dxa"/>
              <w:start w:w="110" w:type="dxa"/>
              <w:bottom w:w="90" w:type="dxa"/>
              <w:end w:w="110" w:type="dxa"/>
            </w:tcMar>
            <w:shd w:fill="F4F7F9"/>
          </w:tcPr>
          <w:p>
            <w:pPr>
              <w:spacing w:after="0" w:line="252" w:lineRule="auto"/>
            </w:pPr>
            <w:r/>
            <w:r>
              <w:rPr>
                <w:rFonts w:ascii="Aptos" w:hAnsi="Aptos"/>
                <w:b w:val="0"/>
                <w:color w:val="1F2933"/>
                <w:sz w:val="16"/>
              </w:rPr>
              <w:t>A crash or update erases or lies about work</w:t>
            </w:r>
          </w:p>
        </w:tc>
      </w:tr>
      <w:tr>
        <w:tc>
          <w:tcPr>
            <w:tcW w:type="dxa" w:w="1728"/>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Currentness</w:t>
            </w:r>
          </w:p>
        </w:tc>
        <w:tc>
          <w:tcPr>
            <w:tcW w:type="dxa" w:w="5328"/>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Fresh dependency/source verification immediately before consequential publication</w:t>
            </w:r>
          </w:p>
        </w:tc>
        <w:tc>
          <w:tcPr>
            <w:tcW w:type="dxa" w:w="3442"/>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Old results masquerade as current after geometry or preference changes</w:t>
            </w:r>
          </w:p>
        </w:tc>
      </w:tr>
      <w:tr>
        <w:tc>
          <w:tcPr>
            <w:tcW w:type="dxa" w:w="1728"/>
            <w:vAlign w:val="center"/>
            <w:tcMar>
              <w:top w:w="90" w:type="dxa"/>
              <w:start w:w="110" w:type="dxa"/>
              <w:bottom w:w="90" w:type="dxa"/>
              <w:end w:w="110" w:type="dxa"/>
            </w:tcMar>
            <w:shd w:fill="F4F7F9"/>
          </w:tcPr>
          <w:p>
            <w:pPr>
              <w:spacing w:after="0" w:line="252" w:lineRule="auto"/>
            </w:pPr>
            <w:r/>
            <w:r>
              <w:rPr>
                <w:rFonts w:ascii="Aptos" w:hAnsi="Aptos"/>
                <w:b w:val="0"/>
                <w:color w:val="1F2933"/>
                <w:sz w:val="16"/>
              </w:rPr>
              <w:t>Publish once</w:t>
            </w:r>
          </w:p>
        </w:tc>
        <w:tc>
          <w:tcPr>
            <w:tcW w:type="dxa" w:w="5328"/>
            <w:vAlign w:val="center"/>
            <w:tcMar>
              <w:top w:w="90" w:type="dxa"/>
              <w:start w:w="110" w:type="dxa"/>
              <w:bottom w:w="90" w:type="dxa"/>
              <w:end w:w="110" w:type="dxa"/>
            </w:tcMar>
            <w:shd w:fill="F4F7F9"/>
          </w:tcPr>
          <w:p>
            <w:pPr>
              <w:spacing w:after="0" w:line="252" w:lineRule="auto"/>
            </w:pPr>
            <w:r/>
            <w:r>
              <w:rPr>
                <w:rFonts w:ascii="Aptos" w:hAnsi="Aptos"/>
                <w:b w:val="0"/>
                <w:color w:val="1F2933"/>
                <w:sz w:val="16"/>
              </w:rPr>
              <w:t>Single owner, authorization, receipt-before-terminal recovery and unknown-outcome refusal</w:t>
            </w:r>
          </w:p>
        </w:tc>
        <w:tc>
          <w:tcPr>
            <w:tcW w:type="dxa" w:w="3442"/>
            <w:vAlign w:val="center"/>
            <w:tcMar>
              <w:top w:w="90" w:type="dxa"/>
              <w:start w:w="110" w:type="dxa"/>
              <w:bottom w:w="90" w:type="dxa"/>
              <w:end w:w="110" w:type="dxa"/>
            </w:tcMar>
            <w:shd w:fill="F4F7F9"/>
          </w:tcPr>
          <w:p>
            <w:pPr>
              <w:spacing w:after="0" w:line="252" w:lineRule="auto"/>
            </w:pPr>
            <w:r/>
            <w:r>
              <w:rPr>
                <w:rFonts w:ascii="Aptos" w:hAnsi="Aptos"/>
                <w:b w:val="0"/>
                <w:color w:val="1F2933"/>
                <w:sz w:val="16"/>
              </w:rPr>
              <w:t>A restart duplicates mutation or repeats an uncertain action</w:t>
            </w:r>
          </w:p>
        </w:tc>
      </w:tr>
      <w:tr>
        <w:tc>
          <w:tcPr>
            <w:tcW w:type="dxa" w:w="1728"/>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Owner fidelity</w:t>
            </w:r>
          </w:p>
        </w:tc>
        <w:tc>
          <w:tcPr>
            <w:tcW w:type="dxa" w:w="5328"/>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Domain owners keep arrays, physics, ranking, mutation and export authority</w:t>
            </w:r>
          </w:p>
        </w:tc>
        <w:tc>
          <w:tcPr>
            <w:tcW w:type="dxa" w:w="3442"/>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A shared UI or runtime silently changes engineering meaning</w:t>
            </w:r>
          </w:p>
        </w:tc>
      </w:tr>
      <w:tr>
        <w:tc>
          <w:tcPr>
            <w:tcW w:type="dxa" w:w="1728"/>
            <w:vAlign w:val="center"/>
            <w:tcMar>
              <w:top w:w="90" w:type="dxa"/>
              <w:start w:w="110" w:type="dxa"/>
              <w:bottom w:w="90" w:type="dxa"/>
              <w:end w:w="110" w:type="dxa"/>
            </w:tcMar>
            <w:shd w:fill="F4F7F9"/>
          </w:tcPr>
          <w:p>
            <w:pPr>
              <w:spacing w:after="0" w:line="252" w:lineRule="auto"/>
            </w:pPr>
            <w:r/>
            <w:r>
              <w:rPr>
                <w:rFonts w:ascii="Aptos" w:hAnsi="Aptos"/>
                <w:b w:val="0"/>
                <w:color w:val="1F2933"/>
                <w:sz w:val="16"/>
              </w:rPr>
              <w:t>Failure truth</w:t>
            </w:r>
          </w:p>
        </w:tc>
        <w:tc>
          <w:tcPr>
            <w:tcW w:type="dxa" w:w="5328"/>
            <w:vAlign w:val="center"/>
            <w:tcMar>
              <w:top w:w="90" w:type="dxa"/>
              <w:start w:w="110" w:type="dxa"/>
              <w:bottom w:w="90" w:type="dxa"/>
              <w:end w:w="110" w:type="dxa"/>
            </w:tcMar>
            <w:shd w:fill="F4F7F9"/>
          </w:tcPr>
          <w:p>
            <w:pPr>
              <w:spacing w:after="0" w:line="252" w:lineRule="auto"/>
            </w:pPr>
            <w:r/>
            <w:r>
              <w:rPr>
                <w:rFonts w:ascii="Aptos" w:hAnsi="Aptos"/>
                <w:b w:val="0"/>
                <w:color w:val="1F2933"/>
                <w:sz w:val="16"/>
              </w:rPr>
              <w:t>Cancel, timeout, close-while-running, provider loss, duplicate/out-of-order events, partial artifacts</w:t>
            </w:r>
          </w:p>
        </w:tc>
        <w:tc>
          <w:tcPr>
            <w:tcW w:type="dxa" w:w="3442"/>
            <w:vAlign w:val="center"/>
            <w:tcMar>
              <w:top w:w="90" w:type="dxa"/>
              <w:start w:w="110" w:type="dxa"/>
              <w:bottom w:w="90" w:type="dxa"/>
              <w:end w:w="110" w:type="dxa"/>
            </w:tcMar>
            <w:shd w:fill="F4F7F9"/>
          </w:tcPr>
          <w:p>
            <w:pPr>
              <w:spacing w:after="0" w:line="252" w:lineRule="auto"/>
            </w:pPr>
            <w:r/>
            <w:r>
              <w:rPr>
                <w:rFonts w:ascii="Aptos" w:hAnsi="Aptos"/>
                <w:b w:val="0"/>
                <w:color w:val="1F2933"/>
                <w:sz w:val="16"/>
              </w:rPr>
              <w:t>A failed job looks successful or disappears without explanation</w:t>
            </w:r>
          </w:p>
        </w:tc>
      </w:tr>
      <w:tr>
        <w:tc>
          <w:tcPr>
            <w:tcW w:type="dxa" w:w="1728"/>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Installed behavior</w:t>
            </w:r>
          </w:p>
        </w:tc>
        <w:tc>
          <w:tcPr>
            <w:tcW w:type="dxa" w:w="5328"/>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Exact package/build, supported platforms, real hosts/solvers, visible checkout identity</w:t>
            </w:r>
          </w:p>
        </w:tc>
        <w:tc>
          <w:tcPr>
            <w:tcW w:type="dxa" w:w="3442"/>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Source tests pass but shipped VibeCAD behaves differently</w:t>
            </w:r>
          </w:p>
        </w:tc>
      </w:tr>
      <w:tr>
        <w:tc>
          <w:tcPr>
            <w:tcW w:type="dxa" w:w="1728"/>
            <w:vAlign w:val="center"/>
            <w:tcMar>
              <w:top w:w="90" w:type="dxa"/>
              <w:start w:w="110" w:type="dxa"/>
              <w:bottom w:w="90" w:type="dxa"/>
              <w:end w:w="110" w:type="dxa"/>
            </w:tcMar>
            <w:shd w:fill="F4F7F9"/>
          </w:tcPr>
          <w:p>
            <w:pPr>
              <w:spacing w:after="0" w:line="252" w:lineRule="auto"/>
            </w:pPr>
            <w:r>
              <w:t>Usability</w:t>
            </w:r>
          </w:p>
        </w:tc>
        <w:tc>
          <w:tcPr>
            <w:tcW w:type="dxa" w:w="5328"/>
            <w:vAlign w:val="center"/>
            <w:tcMar>
              <w:top w:w="90" w:type="dxa"/>
              <w:start w:w="110" w:type="dxa"/>
              <w:bottom w:w="90" w:type="dxa"/>
              <w:end w:w="110" w:type="dxa"/>
            </w:tcMar>
            <w:shd w:fill="F4F7F9"/>
          </w:tcPr>
          <w:p>
            <w:pPr>
              <w:spacing w:after="0" w:line="252" w:lineRule="auto"/>
            </w:pPr>
            <w:r>
              <w:t>Keyboard/accessibility, DPI, themes, bounded loading, visible exact-checkout identity, cyan in-app pointer, and clear unavailable/stale/indeterminate states</w:t>
            </w:r>
          </w:p>
        </w:tc>
        <w:tc>
          <w:tcPr>
            <w:tcW w:type="dxa" w:w="3442"/>
            <w:vAlign w:val="center"/>
            <w:tcMar>
              <w:top w:w="90" w:type="dxa"/>
              <w:start w:w="110" w:type="dxa"/>
              <w:bottom w:w="90" w:type="dxa"/>
              <w:end w:w="110" w:type="dxa"/>
            </w:tcMar>
            <w:shd w:fill="F4F7F9"/>
          </w:tcPr>
          <w:p>
            <w:pPr>
              <w:spacing w:after="0" w:line="252" w:lineRule="auto"/>
            </w:pPr>
            <w:r>
              <w:t>A correct system remains opaque, misleading, or impossible to verify in regular use</w:t>
            </w:r>
          </w:p>
        </w:tc>
      </w:tr>
    </w:tbl>
    <w:p>
      <w:pPr>
        <w:spacing w:after="0"/>
      </w:pPr>
    </w:p>
    <w:p>
      <w:pPr>
        <w:pStyle w:val="Heading2"/>
        <w:keepNext/>
      </w:pPr>
      <w:r>
        <w:t>System acceptance journeys</w:t>
      </w:r>
    </w:p>
    <w:p>
      <w:pPr>
        <w:pStyle w:val="ListBullet"/>
      </w:pPr>
      <w:r>
        <w:t>The exact one-click development package launches the current checkout, exposes authenticated control, shows a plain cyan in-application pointer, discovers generic menus/tabs, applies configured VibeCAD tour targets, and saves/reopens a native file without injecting physical pointer or keyboard input.</w:t>
      </w:r>
    </w:p>
    <w:p>
      <w:pPr>
        <w:pStyle w:val="ListBullet"/>
      </w:pPr>
      <w:r>
        <w:t>Current FEM and retained low-order Aero survive cancellation, close/reopen, restart, verification, currentness checks, and publish-once attachment to the exact document.</w:t>
      </w:r>
    </w:p>
    <w:p>
      <w:pPr>
        <w:pStyle w:val="ListBullet"/>
      </w:pPr>
      <w:r>
        <w:t>A consequential CAD action previews, becomes stale after source drift, refuses apply, and succeeds only after a fresh proposal.</w:t>
      </w:r>
    </w:p>
    <w:p>
      <w:pPr>
        <w:pStyle w:val="ListBullet"/>
      </w:pPr>
      <w:r>
        <w:t>VC-DG structural and thermal cases on simple closed solids run without user-managed body-fitted meshes, refuse ambiguous selectors or unsupported geometry, and preserve fields and quantities of interest across save/reopen.</w:t>
      </w:r>
    </w:p>
    <w:p>
      <w:pPr>
        <w:pStyle w:val="ListBullet"/>
      </w:pPr>
      <w:r>
        <w:t>VC-DG claims are limited by systematic resolution, balance, conditioning and integration sensitivity, benchmark evidence, and an independent conforming Gmsh-to-CalculiX or Elmer comparison.</w:t>
      </w:r>
    </w:p>
    <w:p>
      <w:pPr>
        <w:pStyle w:val="ListBullet"/>
      </w:pPr>
      <w:r>
        <w:t>Retained workflow, optimization, Manufacture, and Assembly behavior continues to pass its existing contracts and claim ceilings without becoming an active generalized expansion gate.</w:t>
      </w:r>
    </w:p>
    <w:p>
      <w:pPr>
        <w:pStyle w:val="ListBullet"/>
      </w:pPr>
      <w:r>
        <w:t>Historical remote, advanced Aero, sequencing, service, and Robot records remain searchable and non-regressing but are not mistaken for current public completion obligations.</w:t>
      </w:r>
    </w:p>
    <w:p>
      <w:pPr>
        <w:pStyle w:val="ListBullet"/>
      </w:pPr>
      <w:r>
        <w:t>The installed Engineering Experience shows the same truth as its owners across themes, keyboard and accessibility paths, application restart, stale state, unavailable state, and bounded loading.</w:t>
      </w:r>
    </w:p>
    <w:p>
      <w:r>
        <w:br w:type="page"/>
      </w:r>
    </w:p>
    <w:p>
      <w:pPr>
        <w:pStyle w:val="Heading1"/>
        <w:keepNext/>
      </w:pPr>
      <w:r>
        <w:t>10. Bounded delivery program</w:t>
      </w:r>
    </w:p>
    <w:p>
      <w:pPr>
        <w:pStyle w:val="BodyText"/>
      </w:pPr>
      <w:r>
        <w:t>The delivery program is organized around complete active journeys. Preserved advanced work remains searchable and regression-protected, but it cannot displace the dependency-ordered public boundary.</w:t>
      </w:r>
    </w:p>
    <w:tbl>
      <w:tblPr>
        <w:tblW w:type="auto" w:w="0"/>
        <w:jc w:val="center"/>
        <w:tblLayout w:type="fixed"/>
        <w:tblLook w:firstColumn="1" w:firstRow="1" w:lastColumn="0" w:lastRow="0" w:noHBand="0" w:noVBand="1" w:val="04A0"/>
      </w:tblPr>
      <w:tblGrid>
        <w:gridCol w:w="3389"/>
        <w:gridCol w:w="3389"/>
        <w:gridCol w:w="3389"/>
      </w:tblGrid>
      <w:tr>
        <w:tc>
          <w:tcPr>
            <w:tcW w:type="dxa" w:w="2088"/>
            <w:vAlign w:val="center"/>
            <w:tcMar>
              <w:top w:w="90" w:type="dxa"/>
              <w:start w:w="110" w:type="dxa"/>
              <w:bottom w:w="90" w:type="dxa"/>
              <w:end w:w="110" w:type="dxa"/>
            </w:tcMar>
            <w:shd w:fill="122033"/>
          </w:tcPr>
          <w:p>
            <w:pPr>
              <w:spacing w:after="0" w:line="252" w:lineRule="auto"/>
            </w:pPr>
            <w:r>
              <w:t>Release horizon</w:t>
            </w:r>
          </w:p>
        </w:tc>
        <w:tc>
          <w:tcPr>
            <w:tcW w:type="dxa" w:w="5040"/>
            <w:vAlign w:val="center"/>
            <w:tcMar>
              <w:top w:w="90" w:type="dxa"/>
              <w:start w:w="110" w:type="dxa"/>
              <w:bottom w:w="90" w:type="dxa"/>
              <w:end w:w="110" w:type="dxa"/>
            </w:tcMar>
            <w:shd w:fill="122033"/>
          </w:tcPr>
          <w:p>
            <w:pPr>
              <w:spacing w:after="0" w:line="252" w:lineRule="auto"/>
            </w:pPr>
            <w:r>
              <w:t>Active scope</w:t>
            </w:r>
          </w:p>
        </w:tc>
        <w:tc>
          <w:tcPr>
            <w:tcW w:type="dxa" w:w="3384"/>
            <w:vAlign w:val="center"/>
            <w:tcMar>
              <w:top w:w="90" w:type="dxa"/>
              <w:start w:w="110" w:type="dxa"/>
              <w:bottom w:w="90" w:type="dxa"/>
              <w:end w:w="110" w:type="dxa"/>
            </w:tcMar>
            <w:shd w:fill="122033"/>
          </w:tcPr>
          <w:p>
            <w:pPr>
              <w:spacing w:after="0" w:line="252" w:lineRule="auto"/>
            </w:pPr>
            <w:r>
              <w:t>Exit experience</w:t>
            </w:r>
          </w:p>
        </w:tc>
      </w:tr>
      <w:tr>
        <w:tc>
          <w:tcPr>
            <w:tcW w:type="dxa" w:w="2088"/>
            <w:vAlign w:val="center"/>
            <w:tcMar>
              <w:top w:w="90" w:type="dxa"/>
              <w:start w:w="110" w:type="dxa"/>
              <w:bottom w:w="90" w:type="dxa"/>
              <w:end w:w="110" w:type="dxa"/>
            </w:tcMar>
            <w:shd w:fill="FFFFFF"/>
          </w:tcPr>
          <w:p>
            <w:pPr>
              <w:spacing w:after="0" w:line="252" w:lineRule="auto"/>
            </w:pPr>
            <w:r>
              <w:t>H1 — Visible exact checkout and Native authority</w:t>
            </w:r>
          </w:p>
        </w:tc>
        <w:tc>
          <w:tcPr>
            <w:tcW w:type="dxa" w:w="5040"/>
            <w:vAlign w:val="center"/>
            <w:tcMar>
              <w:top w:w="90" w:type="dxa"/>
              <w:start w:w="110" w:type="dxa"/>
              <w:bottom w:w="90" w:type="dxa"/>
              <w:end w:w="110" w:type="dxa"/>
            </w:tcMar>
            <w:shd w:fill="FFFFFF"/>
          </w:tcPr>
          <w:p>
            <w:pPr>
              <w:spacing w:after="0" w:line="252" w:lineRule="auto"/>
            </w:pPr>
            <w:r>
              <w:t>One-click exact package, authenticated control, reusable semantic tours, configured VibeCAD/VC-DG profile, file round trip, current Native preview/apply/reject compatibility</w:t>
            </w:r>
          </w:p>
        </w:tc>
        <w:tc>
          <w:tcPr>
            <w:tcW w:type="dxa" w:w="3384"/>
            <w:vAlign w:val="center"/>
            <w:tcMar>
              <w:top w:w="90" w:type="dxa"/>
              <w:start w:w="110" w:type="dxa"/>
              <w:bottom w:w="90" w:type="dxa"/>
              <w:end w:w="110" w:type="dxa"/>
            </w:tcMar>
            <w:shd w:fill="FFFFFF"/>
          </w:tcPr>
          <w:p>
            <w:pPr>
              <w:spacing w:after="0" w:line="252" w:lineRule="auto"/>
            </w:pPr>
            <w:r>
              <w:t>Developers and users can watch the exact build behave without physical input takeover, a duplicate tester, or stale-binary ambiguity</w:t>
            </w:r>
          </w:p>
        </w:tc>
      </w:tr>
      <w:tr>
        <w:tc>
          <w:tcPr>
            <w:tcW w:type="dxa" w:w="2088"/>
            <w:vAlign w:val="center"/>
            <w:tcMar>
              <w:top w:w="90" w:type="dxa"/>
              <w:start w:w="110" w:type="dxa"/>
              <w:bottom w:w="90" w:type="dxa"/>
              <w:end w:w="110" w:type="dxa"/>
            </w:tcMar>
            <w:shd w:fill="F4F7F9"/>
          </w:tcPr>
          <w:p>
            <w:pPr>
              <w:spacing w:after="0" w:line="252" w:lineRule="auto"/>
            </w:pPr>
            <w:r>
              <w:t>H2 — Reliable current Analysis</w:t>
            </w:r>
          </w:p>
        </w:tc>
        <w:tc>
          <w:tcPr>
            <w:tcW w:type="dxa" w:w="5040"/>
            <w:vAlign w:val="center"/>
            <w:tcMar>
              <w:top w:w="90" w:type="dxa"/>
              <w:start w:w="110" w:type="dxa"/>
              <w:bottom w:w="90" w:type="dxa"/>
              <w:end w:w="110" w:type="dxa"/>
            </w:tcMar>
            <w:shd w:fill="F4F7F9"/>
          </w:tcPr>
          <w:p>
            <w:pPr>
              <w:spacing w:after="0" w:line="252" w:lineRule="auto"/>
            </w:pPr>
            <w:r>
              <w:t>Package-contained FEM verification/publication, crash reconstruction, cleanup, compact references, currentness, publish-once, and applicable platform burn-in</w:t>
            </w:r>
          </w:p>
        </w:tc>
        <w:tc>
          <w:tcPr>
            <w:tcW w:type="dxa" w:w="3384"/>
            <w:vAlign w:val="center"/>
            <w:tcMar>
              <w:top w:w="90" w:type="dxa"/>
              <w:start w:w="110" w:type="dxa"/>
              <w:bottom w:w="90" w:type="dxa"/>
              <w:end w:w="110" w:type="dxa"/>
            </w:tcMar>
            <w:shd w:fill="F4F7F9"/>
          </w:tcPr>
          <w:p>
            <w:pPr>
              <w:spacing w:after="0" w:line="252" w:lineRule="auto"/>
            </w:pPr>
            <w:r>
              <w:t>A user can run, leave, return, and publish one exact current result without duplicate or misplaced attachment</w:t>
            </w:r>
          </w:p>
        </w:tc>
      </w:tr>
      <w:tr>
        <w:tc>
          <w:tcPr>
            <w:tcW w:type="dxa" w:w="2088"/>
            <w:vAlign w:val="center"/>
            <w:tcMar>
              <w:top w:w="90" w:type="dxa"/>
              <w:start w:w="110" w:type="dxa"/>
              <w:bottom w:w="90" w:type="dxa"/>
              <w:end w:w="110" w:type="dxa"/>
            </w:tcMar>
            <w:shd w:fill="FFFFFF"/>
          </w:tcPr>
          <w:p>
            <w:pPr>
              <w:spacing w:after="0" w:line="252" w:lineRule="auto"/>
            </w:pPr>
            <w:r>
              <w:t>H3 — Low-order Aero and active presentation</w:t>
            </w:r>
          </w:p>
        </w:tc>
        <w:tc>
          <w:tcPr>
            <w:tcW w:type="dxa" w:w="5040"/>
            <w:vAlign w:val="center"/>
            <w:tcMar>
              <w:top w:w="90" w:type="dxa"/>
              <w:start w:w="110" w:type="dxa"/>
              <w:bottom w:w="90" w:type="dxa"/>
              <w:end w:w="110" w:type="dxa"/>
            </w:tcMar>
            <w:shd w:fill="FFFFFF"/>
          </w:tcPr>
          <w:p>
            <w:pPr>
              <w:spacing w:after="0" w:line="252" w:lineRule="auto"/>
            </w:pPr>
            <w:r>
              <w:t>Aero Steps 0-11 plus X1/X2/X4 owner-backed installed presentation</w:t>
            </w:r>
          </w:p>
        </w:tc>
        <w:tc>
          <w:tcPr>
            <w:tcW w:type="dxa" w:w="3384"/>
            <w:vAlign w:val="center"/>
            <w:tcMar>
              <w:top w:w="90" w:type="dxa"/>
              <w:start w:w="110" w:type="dxa"/>
              <w:bottom w:w="90" w:type="dxa"/>
              <w:end w:w="110" w:type="dxa"/>
            </w:tcMar>
            <w:shd w:fill="FFFFFF"/>
          </w:tcPr>
          <w:p>
            <w:pPr>
              <w:spacing w:after="0" w:line="252" w:lineRule="auto"/>
            </w:pPr>
            <w:r>
              <w:t>Low-order Aero and current engineering results share exact sources, honest fidelity, durable state, and understandable UI</w:t>
            </w:r>
          </w:p>
        </w:tc>
      </w:tr>
      <w:tr>
        <w:tc>
          <w:tcPr>
            <w:tcW w:type="dxa" w:w="2088"/>
            <w:vAlign w:val="center"/>
            <w:tcMar>
              <w:top w:w="90" w:type="dxa"/>
              <w:start w:w="110" w:type="dxa"/>
              <w:bottom w:w="90" w:type="dxa"/>
              <w:end w:w="110" w:type="dxa"/>
            </w:tcMar>
            <w:shd w:fill="F4F7F9"/>
          </w:tcPr>
          <w:p>
            <w:pPr>
              <w:spacing w:after="0" w:line="252" w:lineRule="auto"/>
            </w:pPr>
            <w:r>
              <w:t>H4 — VC-DG structural/thermal core</w:t>
            </w:r>
          </w:p>
        </w:tc>
        <w:tc>
          <w:tcPr>
            <w:tcW w:type="dxa" w:w="5040"/>
            <w:vAlign w:val="center"/>
            <w:tcMar>
              <w:top w:w="90" w:type="dxa"/>
              <w:start w:w="110" w:type="dxa"/>
              <w:bottom w:w="90" w:type="dxa"/>
              <w:end w:w="110" w:type="dxa"/>
            </w:tcMar>
            <w:shd w:fill="F4F7F9"/>
          </w:tcPr>
          <w:p>
            <w:pPr>
              <w:spacing w:after="0" w:line="252" w:lineRule="auto"/>
            </w:pPr>
            <w:r>
              <w:t>VC-DG-1 through VC-DG-6 contracts, selectors, representation, methods, packaging, UI/file lifecycle, and qualification evidence</w:t>
            </w:r>
          </w:p>
        </w:tc>
        <w:tc>
          <w:tcPr>
            <w:tcW w:type="dxa" w:w="3384"/>
            <w:vAlign w:val="center"/>
            <w:tcMar>
              <w:top w:w="90" w:type="dxa"/>
              <w:start w:w="110" w:type="dxa"/>
              <w:bottom w:w="90" w:type="dxa"/>
              <w:end w:w="110" w:type="dxa"/>
            </w:tcMar>
            <w:shd w:fill="F4F7F9"/>
          </w:tcPr>
          <w:p>
            <w:pPr>
              <w:spacing w:after="0" w:line="252" w:lineRule="auto"/>
            </w:pPr>
            <w:r>
              <w:t>Users run bounded structural and thermal analysis without creating or managing a body-fitted mesh</w:t>
            </w:r>
          </w:p>
        </w:tc>
      </w:tr>
      <w:tr>
        <w:tc>
          <w:tcPr>
            <w:tcW w:type="dxa" w:w="2088"/>
            <w:vAlign w:val="center"/>
            <w:tcMar>
              <w:top w:w="90" w:type="dxa"/>
              <w:start w:w="110" w:type="dxa"/>
              <w:bottom w:w="90" w:type="dxa"/>
              <w:end w:w="110" w:type="dxa"/>
            </w:tcMar>
            <w:shd w:fill="FFFFFF"/>
          </w:tcPr>
          <w:p>
            <w:pPr>
              <w:spacing w:after="0" w:line="252" w:lineRule="auto"/>
            </w:pPr>
            <w:r>
              <w:t>H5 — Preserved future records</w:t>
            </w:r>
          </w:p>
        </w:tc>
        <w:tc>
          <w:tcPr>
            <w:tcW w:type="dxa" w:w="5040"/>
            <w:vAlign w:val="center"/>
            <w:tcMar>
              <w:top w:w="90" w:type="dxa"/>
              <w:start w:w="110" w:type="dxa"/>
              <w:bottom w:w="90" w:type="dxa"/>
              <w:end w:w="110" w:type="dxa"/>
            </w:tcMar>
            <w:shd w:fill="FFFFFF"/>
          </w:tcPr>
          <w:p>
            <w:pPr>
              <w:spacing w:after="0" w:line="252" w:lineRule="auto"/>
            </w:pPr>
            <w:r>
              <w:t>Historical G/X/Aero/lifecycle programs and optional VC-DG-7 remain searchable and regression-protected</w:t>
            </w:r>
          </w:p>
        </w:tc>
        <w:tc>
          <w:tcPr>
            <w:tcW w:type="dxa" w:w="3384"/>
            <w:vAlign w:val="center"/>
            <w:tcMar>
              <w:top w:w="90" w:type="dxa"/>
              <w:start w:w="110" w:type="dxa"/>
              <w:bottom w:w="90" w:type="dxa"/>
              <w:end w:w="110" w:type="dxa"/>
            </w:tcMar>
            <w:shd w:fill="FFFFFF"/>
          </w:tcPr>
          <w:p>
            <w:pPr>
              <w:spacing w:after="0" w:line="252" w:lineRule="auto"/>
            </w:pPr>
            <w:r>
              <w:t>Future reactivation starts from explicit evidence and authority without blocking the current public product</w:t>
            </w:r>
          </w:p>
        </w:tc>
      </w:tr>
    </w:tbl>
    <w:p>
      <w:pPr>
        <w:spacing w:after="0"/>
      </w:pPr>
    </w:p>
    <w:p>
      <w:pPr>
        <w:pStyle w:val="Heading2"/>
        <w:keepNext/>
      </w:pPr>
      <w:r>
        <w:t>Priority decisions</w:t>
      </w:r>
    </w:p>
    <w:p>
      <w:pPr>
        <w:pStyle w:val="ListNumber"/>
      </w:pPr>
      <w:r>
        <w:t>Finish and preserve the exact visible one-click tester gate, then register VC-DG as a consumer profile before using GUI claims as implementation evidence.</w:t>
      </w:r>
    </w:p>
    <w:p>
      <w:pPr>
        <w:pStyle w:val="ListNumber"/>
      </w:pPr>
      <w:r>
        <w:t>Package the production FEM verifier/publisher into the normal route and close current G1/G2/G4 durability, cleanup, crash-recovery, currentness, and publish-once evidence.</w:t>
      </w:r>
    </w:p>
    <w:p>
      <w:pPr>
        <w:pStyle w:val="ListNumber"/>
      </w:pPr>
      <w:r>
        <w:t>Finish the current McMasterInsert package and acceptance slice, then close retained low-order Aero Steps 0-11 through Native authority and the same durable installed path.</w:t>
      </w:r>
    </w:p>
    <w:p>
      <w:pPr>
        <w:pStyle w:val="ListNumber"/>
      </w:pPr>
      <w:r>
        <w:t>Finish X1/X2/X4 presentation and accessibility only against real owner data; preserve other landed projections without expanding their scope.</w:t>
      </w:r>
    </w:p>
    <w:p>
      <w:pPr>
        <w:pStyle w:val="ListNumber"/>
      </w:pPr>
      <w:r>
        <w:t>Deliver VC-DG-1 through VC-DG-6 in order: contracts, selectors, representation, structural, thermal, packaging, UI/file lifecycle, resolution, balance, sensitivity, and conforming comparison.</w:t>
      </w:r>
    </w:p>
    <w:p>
      <w:pPr>
        <w:pStyle w:val="ListNumber"/>
      </w:pPr>
      <w:r>
        <w:t>Do not schedule historical G3/G6/G9-G12, advanced G5/G7/G8/X-track/Aero work, or optional VC-DG-7 as public blockers unless a separate authorization explicitly reactivates a bounded slice.</w:t>
      </w:r>
    </w:p>
    <w:p>
      <w:pPr>
        <w:pStyle w:val="Heading2"/>
        <w:keepNext/>
      </w:pPr>
      <w:r>
        <w:t>Measures that reflect the user experience</w:t>
      </w:r>
    </w:p>
    <w:tbl>
      <w:tblPr>
        <w:tblW w:type="auto" w:w="0"/>
        <w:jc w:val="center"/>
        <w:tblLayout w:type="fixed"/>
        <w:tblLook w:firstColumn="1" w:firstRow="1" w:lastColumn="0" w:lastRow="0" w:noHBand="0" w:noVBand="1" w:val="04A0"/>
      </w:tblPr>
      <w:tblGrid>
        <w:gridCol w:w="5083"/>
        <w:gridCol w:w="5083"/>
      </w:tblGrid>
      <w:tr>
        <w:tc>
          <w:tcPr>
            <w:tcW w:type="dxa" w:w="3312"/>
            <w:vAlign w:val="center"/>
            <w:tcMar>
              <w:top w:w="90" w:type="dxa"/>
              <w:start w:w="110" w:type="dxa"/>
              <w:bottom w:w="90" w:type="dxa"/>
              <w:end w:w="110" w:type="dxa"/>
            </w:tcMar>
            <w:shd w:fill="122033"/>
          </w:tcPr>
          <w:p>
            <w:pPr>
              <w:spacing w:after="0" w:line="252" w:lineRule="auto"/>
            </w:pPr>
            <w:r/>
            <w:r>
              <w:rPr>
                <w:rFonts w:ascii="Aptos" w:hAnsi="Aptos"/>
                <w:b/>
                <w:color w:val="FFFFFF"/>
                <w:sz w:val="16"/>
              </w:rPr>
              <w:t>Measure</w:t>
            </w:r>
          </w:p>
        </w:tc>
        <w:tc>
          <w:tcPr>
            <w:tcW w:type="dxa" w:w="7099"/>
            <w:vAlign w:val="center"/>
            <w:tcMar>
              <w:top w:w="90" w:type="dxa"/>
              <w:start w:w="110" w:type="dxa"/>
              <w:bottom w:w="90" w:type="dxa"/>
              <w:end w:w="110" w:type="dxa"/>
            </w:tcMar>
            <w:shd w:fill="122033"/>
          </w:tcPr>
          <w:p>
            <w:pPr>
              <w:spacing w:after="0" w:line="252" w:lineRule="auto"/>
            </w:pPr>
            <w:r/>
            <w:r>
              <w:rPr>
                <w:rFonts w:ascii="Aptos" w:hAnsi="Aptos"/>
                <w:b/>
                <w:color w:val="FFFFFF"/>
                <w:sz w:val="16"/>
              </w:rPr>
              <w:t>Why it matters</w:t>
            </w:r>
          </w:p>
        </w:tc>
      </w:tr>
      <w:tr>
        <w:tc>
          <w:tcPr>
            <w:tcW w:type="dxa" w:w="3312"/>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Exact installed journey pass rate</w:t>
            </w:r>
          </w:p>
        </w:tc>
        <w:tc>
          <w:tcPr>
            <w:tcW w:type="dxa" w:w="7099"/>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Confirms that the product users launch matches the source and claims</w:t>
            </w:r>
          </w:p>
        </w:tc>
      </w:tr>
      <w:tr>
        <w:tc>
          <w:tcPr>
            <w:tcW w:type="dxa" w:w="3312"/>
            <w:vAlign w:val="center"/>
            <w:tcMar>
              <w:top w:w="90" w:type="dxa"/>
              <w:start w:w="110" w:type="dxa"/>
              <w:bottom w:w="90" w:type="dxa"/>
              <w:end w:w="110" w:type="dxa"/>
            </w:tcMar>
            <w:shd w:fill="F4F7F9"/>
          </w:tcPr>
          <w:p>
            <w:pPr>
              <w:spacing w:after="0" w:line="252" w:lineRule="auto"/>
            </w:pPr>
            <w:r/>
            <w:r>
              <w:rPr>
                <w:rFonts w:ascii="Aptos" w:hAnsi="Aptos"/>
                <w:b w:val="0"/>
                <w:color w:val="1F2933"/>
                <w:sz w:val="16"/>
              </w:rPr>
              <w:t>Recovery truth rate</w:t>
            </w:r>
          </w:p>
        </w:tc>
        <w:tc>
          <w:tcPr>
            <w:tcW w:type="dxa" w:w="7099"/>
            <w:vAlign w:val="center"/>
            <w:tcMar>
              <w:top w:w="90" w:type="dxa"/>
              <w:start w:w="110" w:type="dxa"/>
              <w:bottom w:w="90" w:type="dxa"/>
              <w:end w:w="110" w:type="dxa"/>
            </w:tcMar>
            <w:shd w:fill="F4F7F9"/>
          </w:tcPr>
          <w:p>
            <w:pPr>
              <w:spacing w:after="0" w:line="252" w:lineRule="auto"/>
            </w:pPr>
            <w:r/>
            <w:r>
              <w:rPr>
                <w:rFonts w:ascii="Aptos" w:hAnsi="Aptos"/>
                <w:b w:val="0"/>
                <w:color w:val="1F2933"/>
                <w:sz w:val="16"/>
              </w:rPr>
              <w:t>Counts attempts whose durable post-restart state matches actual provider/process/artifact truth</w:t>
            </w:r>
          </w:p>
        </w:tc>
      </w:tr>
      <w:tr>
        <w:tc>
          <w:tcPr>
            <w:tcW w:type="dxa" w:w="3312"/>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Stale-action refusal coverage</w:t>
            </w:r>
          </w:p>
        </w:tc>
        <w:tc>
          <w:tcPr>
            <w:tcW w:type="dxa" w:w="7099"/>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Measures whether edits and publications fail safely after source drift</w:t>
            </w:r>
          </w:p>
        </w:tc>
      </w:tr>
      <w:tr>
        <w:tc>
          <w:tcPr>
            <w:tcW w:type="dxa" w:w="3312"/>
            <w:vAlign w:val="center"/>
            <w:tcMar>
              <w:top w:w="90" w:type="dxa"/>
              <w:start w:w="110" w:type="dxa"/>
              <w:bottom w:w="90" w:type="dxa"/>
              <w:end w:w="110" w:type="dxa"/>
            </w:tcMar>
            <w:shd w:fill="F4F7F9"/>
          </w:tcPr>
          <w:p>
            <w:pPr>
              <w:spacing w:after="0" w:line="252" w:lineRule="auto"/>
            </w:pPr>
            <w:r/>
            <w:r>
              <w:rPr>
                <w:rFonts w:ascii="Aptos" w:hAnsi="Aptos"/>
                <w:b w:val="0"/>
                <w:color w:val="1F2933"/>
                <w:sz w:val="16"/>
              </w:rPr>
              <w:t>Time to understand a failed workflow</w:t>
            </w:r>
          </w:p>
        </w:tc>
        <w:tc>
          <w:tcPr>
            <w:tcW w:type="dxa" w:w="7099"/>
            <w:vAlign w:val="center"/>
            <w:tcMar>
              <w:top w:w="90" w:type="dxa"/>
              <w:start w:w="110" w:type="dxa"/>
              <w:bottom w:w="90" w:type="dxa"/>
              <w:end w:w="110" w:type="dxa"/>
            </w:tcMar>
            <w:shd w:fill="F4F7F9"/>
          </w:tcPr>
          <w:p>
            <w:pPr>
              <w:spacing w:after="0" w:line="252" w:lineRule="auto"/>
            </w:pPr>
            <w:r/>
            <w:r>
              <w:rPr>
                <w:rFonts w:ascii="Aptos" w:hAnsi="Aptos"/>
                <w:b w:val="0"/>
                <w:color w:val="1F2933"/>
                <w:sz w:val="16"/>
              </w:rPr>
              <w:t>Tests whether the UI exposes the blocking node, evidence and repair path</w:t>
            </w:r>
          </w:p>
        </w:tc>
      </w:tr>
      <w:tr>
        <w:tc>
          <w:tcPr>
            <w:tcW w:type="dxa" w:w="3312"/>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Unsupported-claim incidence</w:t>
            </w:r>
          </w:p>
        </w:tc>
        <w:tc>
          <w:tcPr>
            <w:tcW w:type="dxa" w:w="7099"/>
            <w:vAlign w:val="center"/>
            <w:tcMar>
              <w:top w:w="90" w:type="dxa"/>
              <w:start w:w="110" w:type="dxa"/>
              <w:bottom w:w="90" w:type="dxa"/>
              <w:end w:w="110" w:type="dxa"/>
            </w:tcMar>
            <w:shd w:fill="FFFFFF"/>
          </w:tcPr>
          <w:p>
            <w:pPr>
              <w:spacing w:after="0" w:line="252" w:lineRule="auto"/>
            </w:pPr>
            <w:r/>
            <w:r>
              <w:rPr>
                <w:rFonts w:ascii="Aptos" w:hAnsi="Aptos"/>
                <w:b w:val="0"/>
                <w:color w:val="1F2933"/>
                <w:sz w:val="16"/>
              </w:rPr>
              <w:t>Tracks places where UI or exports overstate measurement, qualification or feasibility</w:t>
            </w:r>
          </w:p>
        </w:tc>
      </w:tr>
      <w:tr>
        <w:tc>
          <w:tcPr>
            <w:tcW w:type="dxa" w:w="3312"/>
            <w:vAlign w:val="center"/>
            <w:tcMar>
              <w:top w:w="90" w:type="dxa"/>
              <w:start w:w="110" w:type="dxa"/>
              <w:bottom w:w="90" w:type="dxa"/>
              <w:end w:w="110" w:type="dxa"/>
            </w:tcMar>
            <w:shd w:fill="F4F7F9"/>
          </w:tcPr>
          <w:p>
            <w:pPr>
              <w:spacing w:after="0" w:line="252" w:lineRule="auto"/>
            </w:pPr>
            <w:r>
              <w:t>VC-DG evidence closure rate</w:t>
            </w:r>
          </w:p>
        </w:tc>
        <w:tc>
          <w:tcPr>
            <w:tcW w:type="dxa" w:w="7099"/>
            <w:vAlign w:val="center"/>
            <w:tcMar>
              <w:top w:w="90" w:type="dxa"/>
              <w:start w:w="110" w:type="dxa"/>
              <w:bottom w:w="90" w:type="dxa"/>
              <w:end w:w="110" w:type="dxa"/>
            </w:tcMar>
            <w:shd w:fill="F4F7F9"/>
          </w:tcPr>
          <w:p>
            <w:pPr>
              <w:spacing w:after="0" w:line="252" w:lineRule="auto"/>
            </w:pPr>
            <w:r>
              <w:t>Tracks selector, representation, packaging, balance, resolution, sensitivity, benchmark, and conforming-comparison gates without granting solver-success credit</w:t>
            </w:r>
          </w:p>
        </w:tc>
      </w:tr>
    </w:tbl>
    <w:p>
      <w:pPr>
        <w:spacing w:after="0"/>
      </w:pPr>
    </w:p>
    <w:p>
      <w:r>
        <w:br w:type="page"/>
      </w:r>
    </w:p>
    <w:p>
      <w:pPr>
        <w:pStyle w:val="Heading1"/>
        <w:keepNext/>
      </w:pPr>
      <w:r>
        <w:t>Conclusion</w:t>
      </w:r>
    </w:p>
    <w:p>
      <w:pPr>
        <w:pStyle w:val="BodyText"/>
      </w:pPr>
      <w:r>
        <w:t>VibeCAD's delivered implementation is already substantial and product-shaped. The codebase unifies AI-assisted CAD with revision-bound Native authority, makes previews and receipts part of normal modeling, extracts durable Analysis foundations across current solvers, retains useful low-order Aero, preserves owner boundaries, and provides an observable exact-checkout development and presentation loop.</w:t>
      </w:r>
    </w:p>
    <w:p>
      <w:pPr>
        <w:pStyle w:val="BodyText"/>
      </w:pPr>
      <w:r>
        <w:t>The reconciled roadmap asks the team to finish one bounded public product: exact visible development, current Native compatibility, package-contained current FEM/CalculiX durability and publication, completion and retention of the current McMasterInsert slice, low-order Aero Steps 0-11, X1/X2/X4 presentation, and VC-DG-0 through VC-DG-6 as an explicit bounded direct-geometry exception. Advanced remote, high-fidelity Aero, optimization, lifecycle automation, sequencing, service, Robot, and optional embedded-flow records remain preserved without competing with that active path.</w:t>
      </w:r>
    </w:p>
    <w:p>
      <w:pPr>
        <w:pStyle w:val="Callout"/>
      </w:pPr>
      <w:r>
        <w:t>VibeCAD should feel fast because it preserves intent, calm because it tells the truth about uncertainty, and powerful because every active capability participates in one visible, recoverable, evidence-bound record.</w:t>
      </w:r>
    </w:p>
    <w:p>
      <w:pPr>
        <w:pStyle w:val="Heading2"/>
        <w:keepNext/>
      </w:pPr>
      <w:r>
        <w:t>Repository evidence used</w:t>
      </w:r>
    </w:p>
    <w:p>
      <w:pPr>
        <w:pStyle w:val="ListBullet"/>
      </w:pPr>
      <w:r>
        <w:t>docs/vibecad-governed-engineering-roadmap.md — canonical public classification, VC-DG status, and active tranches</w:t>
      </w:r>
    </w:p>
    <w:p>
      <w:pPr>
        <w:pStyle w:val="ListBullet"/>
      </w:pPr>
      <w:r>
        <w:t>docs/direct-geometry/VIBECAD_DIRECT_GEOMETRY_ANALYSIS_WHITEPAPER.md — preserved bounded VC-DG numerical contracts and definition of done; VIBECAD_DIRECT_GEOMETRY_RECONCILIATION_ADDENDUM.md — repository tester-profile, separate-authorization, generic-CfdOF, and McMaster integration clarifications</w:t>
      </w:r>
    </w:p>
    <w:p>
      <w:pPr>
        <w:pStyle w:val="ListBullet"/>
      </w:pPr>
      <w:r>
        <w:t>docs/vibecadaero-roadmap.md — active low-order Aero Steps 0-11 and preserved historical Steps 12-20</w:t>
      </w:r>
    </w:p>
    <w:p>
      <w:pPr>
        <w:pStyle w:val="ListBullet"/>
      </w:pPr>
      <w:r>
        <w:t>docs/vibecad-analysis-fem-compatibility-report.md — installed Windows/Linux physical and lifecycle evidence</w:t>
      </w:r>
    </w:p>
    <w:p>
      <w:pPr>
        <w:pStyle w:val="ListBullet"/>
      </w:pPr>
      <w:r>
        <w:t>docs/design/engineering-experience/ENGINEERING_EXPERIENCE_X_TRACK.md — presentation provenance and landed EVS evidence</w:t>
      </w:r>
    </w:p>
    <w:p>
      <w:pPr>
        <w:pStyle w:val="ListBullet"/>
      </w:pPr>
      <w:r>
        <w:t>Git history from shared base 60b8f3fd through audited checkpoint 75917cf6 — audited implementation inventory; later working-tree changes require fresh evidence</w:t>
      </w:r>
    </w:p>
    <w:sectPr w:rsidR="00FC693F" w:rsidRPr="0006063C" w:rsidSect="00034616">
      <w:headerReference w:type="default" r:id="rId9"/>
      <w:footerReference w:type="default" r:id="rId10"/>
      <w:pgSz w:w="12240" w:h="15840"/>
      <w:pgMar w:top="979" w:right="1037" w:bottom="893" w:left="1037"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C6B76"/>
        <w:sz w:val="16"/>
      </w:rPr>
      <w:t xml:space="preserve">VIBECAD  /  ROADMAP PAPER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color w:val="176B87"/>
        <w:sz w:val="16"/>
      </w:rPr>
      <w:t>VIBECAD  /  PRODUCT DIRECTION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1F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b/>
      <w:bCs/>
      <w:color w:val="122033"/>
      <w:sz w:val="4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76B87"/>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8A7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220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pPr>
    <w:rPr>
      <w:rFonts w:asciiTheme="majorHAnsi" w:eastAsiaTheme="majorEastAsia" w:hAnsiTheme="majorHAnsi" w:cstheme="majorBidi" w:ascii="Aptos Display" w:hAnsi="Aptos Display"/>
      <w:b/>
      <w:i/>
      <w:iCs/>
      <w:color w:val="176B87"/>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1" w:lineRule="auto"/>
    </w:pPr>
    <w:rPr>
      <w:rFonts w:ascii="Aptos" w:hAnsi="Apto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140" w:line="269" w:lineRule="auto"/>
    </w:pPr>
    <w:rPr>
      <w:rFonts w:ascii="Aptos" w:hAnsi="Aptos"/>
      <w:b/>
      <w:color w:val="122033"/>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VibeCAD: The Product We Have Built—and the Roadmap Still Ahead</dc:title>
  <dc:subject>Corrected total-contribution roadmap and user-experience paper</dc:subject>
  <dc:creator>VibeCAD</dc:creator>
  <cp:keywords>VibeCAD, roadmap, Engineering Experience, Analysis, Aero, FEM, Assembly, Manufacture, user experience</cp:keywords>
  <dc:description>generated by python-docx</dc:description>
  <cp:lastModifiedBy/>
  <cp:revision>1</cp:revision>
  <dcterms:created xsi:type="dcterms:W3CDTF">2013-12-23T23:15:00Z</dcterms:created>
  <dcterms:modified xsi:type="dcterms:W3CDTF">2026-08-29T00:00:00Z</dcterms:modified>
  <cp:category/>
</cp:coreProperties>
</file>