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ttf" ContentType="application/x-font-ttf"/>
  <Default Extension="otf" ContentType="application/x-font-ttf"/>
  <Default Extension="eot" ContentType="application/x-font-tt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5" w:name="JR_PAGE_ANCHOR_0_16"/>
            <w:bookmarkEnd w:id="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6" w:name="JR_PAGE_ANCHOR_0_17"/>
            <w:bookmarkEnd w:id="1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7" w:name="JR_PAGE_ANCHOR_0_18"/>
            <w:bookmarkEnd w:id="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8" w:name="JR_PAGE_ANCHOR_0_19"/>
            <w:bookmarkEnd w:id="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19" w:name="JR_PAGE_ANCHOR_0_20"/>
            <w:bookmarkEnd w:id="1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0" w:name="JR_PAGE_ANCHOR_0_21"/>
            <w:bookmarkEnd w:id="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1" w:name="JR_PAGE_ANCHOR_0_22"/>
            <w:bookmarkEnd w:id="2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2" w:name="JR_PAGE_ANCHOR_0_23"/>
            <w:bookmarkEnd w:id="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3" w:name="JR_PAGE_ANCHOR_0_24"/>
            <w:bookmarkEnd w:id="2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4" w:name="JR_PAGE_ANCHOR_0_25"/>
            <w:bookmarkEnd w:id="2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5" w:name="JR_PAGE_ANCHOR_0_26"/>
            <w:bookmarkEnd w:id="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6" w:name="JR_PAGE_ANCHOR_0_27"/>
            <w:bookmarkEnd w:id="2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7" w:name="JR_PAGE_ANCHOR_0_28"/>
            <w:bookmarkEnd w:id="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8" w:name="JR_PAGE_ANCHOR_0_29"/>
            <w:bookmarkEnd w:id="2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29" w:name="JR_PAGE_ANCHOR_0_30"/>
            <w:bookmarkEnd w:id="2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30" w:name="JR_PAGE_ANCHOR_0_31"/>
            <w:bookmarkEnd w:id="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31" w:name="JR_PAGE_ANCHOR_0_32"/>
            <w:bookmarkEnd w:id="3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32" w:name="JR_PAGE_ANCHOR_0_33"/>
            <w:bookmarkEnd w:id="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33" w:name="JR_PAGE_ANCHOR_0_34"/>
            <w:bookmarkEnd w:id="3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
        <w:gridCol w:w="40"/>
        <w:gridCol w:w="20"/>
        <w:gridCol w:w="60"/>
        <w:gridCol w:w="20"/>
        <w:gridCol w:w="20"/>
        <w:gridCol w:w="100"/>
        <w:gridCol w:w="400"/>
        <w:gridCol w:w="580"/>
        <w:gridCol w:w="420"/>
        <w:gridCol w:w="140"/>
        <w:gridCol w:w="260"/>
        <w:gridCol w:w="640"/>
        <w:gridCol w:w="140"/>
        <w:gridCol w:w="20"/>
        <w:gridCol w:w="400"/>
        <w:gridCol w:w="400"/>
        <w:gridCol w:w="200"/>
        <w:gridCol w:w="200"/>
        <w:gridCol w:w="200"/>
        <w:gridCol w:w="180"/>
        <w:gridCol w:w="20"/>
        <w:gridCol w:w="400"/>
        <w:gridCol w:w="200"/>
        <w:gridCol w:w="380"/>
        <w:gridCol w:w="20"/>
        <w:gridCol w:w="1000"/>
        <w:gridCol w:w="200"/>
        <w:gridCol w:w="200"/>
        <w:gridCol w:w="400"/>
        <w:gridCol w:w="400"/>
        <w:gridCol w:w="60"/>
        <w:gridCol w:w="40"/>
        <w:gridCol w:w="300"/>
        <w:gridCol w:w="20"/>
        <w:gridCol w:w="160"/>
        <w:gridCol w:w="20"/>
        <w:gridCol w:w="520"/>
        <w:gridCol w:w="80"/>
        <w:gridCol w:w="200"/>
        <w:gridCol w:w="600"/>
        <w:gridCol w:w="360"/>
        <w:gridCol w:w="40"/>
        <w:gridCol w:w="400"/>
        <w:gridCol w:w="400"/>
        <w:gridCol w:w="80"/>
        <w:gridCol w:w="200"/>
        <w:gridCol w:w="40"/>
        <w:gridCol w:w="60"/>
        <w:gridCol w:w="20"/>
        <w:gridCol w:w="180"/>
        <w:gridCol w:w="20"/>
        <w:gridCol w:w="1"/>
      </w:tblGrid>
      <w:tr>
        <w:trPr>
          <w:trHeight w:hRule="exact" w:val="0"/>
        </w:trPr>
        <w:tc>
          <w:tcPr>
     </w:tcPr>
          <w:p>
            <w:pPr>
              <w:pStyle w:val="EMPTY_CELL_STYLE"/>
              <w:pageBreakBefore/>
            </w:pPr>
            <w:bookmarkStart w:id="34" w:name="JR_PAGE_ANCHOR_0_35"/>
            <w:bookmarkEnd w:id="3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shd w:val="clear" w:color="auto" w:fill="F5F5F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INSTRUCTION DE DEMANDE DE CAUTIONNEMENT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Explpoitation</w:t>
            </w: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PAPA OMAR DIAGNE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1. DONNEUR D'ORDRE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Dénomination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Raison sociale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Année d'entrée en relation</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Numéro police</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Nom du Gérant</w:t>
            </w:r>
          </w:p>
        </w:tc>
        <w:tc>
          <w:tcPr>
            <w:gridSpan w:val="3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2. ENGAGEMENT EN COURS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DEPOSIT</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1.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2.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3.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4.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5. Main levée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.F.CFA</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3. SOLDE DU COMPTE TIERS AU 17/08/2021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Engagement en cours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net</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FED</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Taxe d'assurances</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Prime TTC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SOLDE DEBITEUR DE          0 FCFA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4. ENGAGEMENTS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NATURE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ECHEANCE</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6. Soumission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7. Avance de démarrage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8. Bonne réception</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9. Retenue de garantie</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TOTAL</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 F .CFA</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5.  IDENTIFICATION DU MARCHE OBJET DE LA PRESENTE DEMANDE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Objet du</w:t>
              <w:br/>
              <w:t xml:space="preserve"> marché</w:t>
            </w: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Date</w:t>
              <w:br/>
              <w:t xml:space="preserve"> signature</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w:t>
            </w: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w:t>
              <w:br/>
              <w:t xml:space="preserve">Marché F.CFA</w:t>
              <w:br/>
              <w:t xml:space="preserve">TTC</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AD</w:t>
              <w:br/>
              <w:t xml:space="preserve">20%</w:t>
            </w: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w:t>
              <w:br/>
              <w:t xml:space="preserve">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RG</w:t>
              <w:br/>
              <w:t xml:space="preserve"> 5%</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6"/>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A.  PRESENTATION GENERALE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Pr>
          <w:p>
            <w:pPr>
              <w:pStyle w:val="EMPTY_CELL_STYLE"/>
            </w:pPr>
          </w:p>
        </w:tc>
        <w:tc>
          <w:tcPr>
            <w:gridSpan w:val="48"/>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nous sollicite à nouveau pour la délivrance d’une caution d’avance de démarrage, d’une caution de bonne exécution et d’une caution de retenue de garantie pour un montant total de 4.757.440.515 F.CFA relatives au marché cité en objet au profit de AGETIP pour le compte du Ministère de l’Urbanisme, du Logement et de l’Hygiène.</w:t>
              <w:br/>
              <w:br/>
              <w:t xml:space="preserve">Le délai d’exécution des travaux est de 14 mois.</w:t>
              <w:br/>
              <w:br/>
              <w:t xml:space="preserve">Créée le 01 juin 1986, « CERCIS SAS » est une SAS au capital de 459.000 euros soit 301.084.263 F.CFA.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34"/>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PRESENTATION DE LA SOCIETE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 » a son siège social au 7 Rue DU CAPITAINE DREYFUS 95130 Franconville. </w:t>
              <w:br/>
              <w:br/>
              <w:t xml:space="preserve">La société a pour objet : la conception, la réalisation, l’entretien des travaux et aménagements extérieurs, comprenant : terrassement, assainissements, adduction d’eau, éclairage, maçonneries, minéral, clôtures, terrains de sports et tous travaux se rapportant directement ou indirectement à l’aménagement de l’espace extérieur.</w:t>
              <w:br/>
              <w:br/>
              <w:t xml:space="preserve">« CERCIS SAS » a trois (03) filiales et une (01) succursale.</w:t>
              <w:br/>
              <w:t xml:space="preserve">a)	Filiales de « CERCIS SAS »</w:t>
              <w:br/>
              <w:br/>
              <w:t xml:space="preserve">Ses filiales sont :</w:t>
              <w:br/>
              <w:t xml:space="preserve">	SAS CERCIS</w:t>
              <w:br/>
              <w:t xml:space="preserve">Adresse : 7, rue du Capiaine Dreyfus 95130 FRANCOVILLE</w:t>
              <w:br/>
              <w:br/>
              <w:t xml:space="preserve">	SAS CERCIS REAL ESTATE</w:t>
              <w:br/>
              <w:t xml:space="preserve">Adresse : 7, rue du Capiaine Dreyfus 95130 FRANCOVILLE</w:t>
              <w:br/>
              <w:br/>
              <w:t xml:space="preserve">	CERCIS COTE D’IVOIRE</w:t>
              <w:br/>
              <w:br/>
              <w:t xml:space="preserve">b)	Les Succursales de « CERCIS SAS »</w:t>
              <w:br/>
              <w:br/>
              <w:t xml:space="preserve">CERCIS SENEGAL, créée le 10 janvier 2020.</w:t>
              <w:br/>
              <w:t xml:space="preserve">Adresse : Fann Mermoz VDN, villa N°7, Dakar</w:t>
              <w:br/>
              <w:t xml:space="preserve">La direction est confiée à monsieur Kinan MENHEM.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C.	RISQUES TECHNIQUES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QUELQUES REFERENCES  DE  « CERCIS SAS »</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Identification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Bénéficiaires</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Montant TTC</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Observations</w:t>
            </w: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réhabilitation et aménagement du parcours officiel d’Abidjan</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AGEROUTE 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14.274.307.284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(2020)</w:t>
            </w: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des tranches 1 et 2 de l’UNIVERSITE MOHAMED VI POLYTECHNIQUE (UM6P)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GROUPE OCP</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697.409.747.980</w:t>
              <w:br/>
              <w:t xml:space="preserve">414.529.692.550</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Marché N°09 Bis/SIB/2017 pour les travaux de construction d’un pont de débarquement aménagé PDA LOCODJORO-COTE D’IVOIRE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14.480.434.574</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(2019)</w:t>
            </w: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Travaux de requalification et d’amélioration de l’espace baignade de la base régionale de plein air et de loisirs « LE PORT AUX CERISES »</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SYNDICAT MIXTE D’ETUDE D’AMENAGEMENT ET DE GESTION (SMEAG)</w:t>
            </w:r>
          </w:p>
        </w:tc>
        <w:tc>
          <w:tcPr>
            <w:gridSpan w:val="8"/>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8.275.087.408</w:t>
            </w: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ind/>
              <w:jc w:val="center"/>
            </w:pPr>
            <w:r>
              <w:rPr>
                <w:rFonts w:ascii="SansSerif" w:hAnsi="SansSerif" w:eastAsia="SansSerif" w:cs="SansSerif"/>
                <w:color w:val="000000"/>
                <w:sz w:val="20"/>
              </w:rPr>
              <w:t xml:space="preserve">Entièrement exécuté</w:t>
              <w:br/>
              <w:t xml:space="preserve">(2018)</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D.	INFORMATIONS FINANCIERES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4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b w:val="true"/>
              </w:rPr>
              <w:t xml:space="preserve">a)	Disponibilité en banque de « CERCIS SENEGAL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 client nous a transmis l’extrait du compte de son succursale « CERCIS SENEGAL » qui affiche un solde créditeur de 838.779 FCFA à la date du 04/03/2021. </w:t>
              <w:br/>
              <w:br/>
              <w:t xml:space="preserve">Nous faisons remarquer que la société n’a effectué aucun mouvement sur ce compte entre la date du 30/09/2020 et la date du 04/03/2021.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5"/>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b)	Quelques éléments financiers de CERCIS SAS, CERCIS HOLDING et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SAS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5"/>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7"/>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	CERCIS HOLDING</w:t>
            </w: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2017</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2018</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2.305.312.335</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839.101.506</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gridSpan w:val="1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w:t>
            </w:r>
          </w:p>
        </w:tc>
        <w:tc>
          <w:tcPr>
            <w:gridSpan w:val="1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1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105.718.622</w:t>
            </w:r>
          </w:p>
        </w:tc>
        <w:tc>
          <w:tcPr>
            <w:gridSpan w:val="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center"/>
          </w:tcPr>
          <w:p>
            <w:pPr>
              <w:ind/>
              <w:jc w:val="left"/>
            </w:pPr>
            <w:r>
              <w:rPr>
                <w:rFonts w:ascii="SansSerif" w:hAnsi="SansSerif" w:eastAsia="SansSerif" w:cs="SansSerif"/>
                <w:color w:val="000000"/>
                <w:sz w:val="20"/>
                <w:b w:val="true"/>
              </w:rPr>
              <w:t xml:space="preserve">•	CERCIS CI</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DESIGNATION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2019</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Total bilan</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2.354.175.885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Capitaux Propres après résultats de l’exercice</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909.702.815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gridSpan w:val="2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Bénéfice net après impôt BIC</w:t>
            </w:r>
          </w:p>
        </w:tc>
        <w:tc>
          <w:tcPr>
            <w:gridSpan w:val="21"/>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70.601.308</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16"/>
            <w:tcMar>
              <w:top w:w="0" w:type="dxa"/>
              <w:left w:w="0" w:type="dxa"/>
              <w:bottom w:w="0" w:type="dxa"/>
              <w:right w:w="0" w:type="dxa"/>
            </w:tcMar>
            <w:vAlign w:val="center"/>
          </w:tcPr>
          <w:p>
            <w:pPr>
              <w:ind/>
            </w:pPr>
            <w:r>
              <w:rPr>
                <w:rFonts w:ascii="SansSerif" w:hAnsi="SansSerif" w:eastAsia="SansSerif" w:cs="SansSerif"/>
                <w:color w:val="000000"/>
                <w:sz w:val="20"/>
                <w:b w:val="true"/>
              </w:rPr>
              <w:t xml:space="preserve">E.	CONCLUSIONS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b w:val="true"/>
              </w:rPr>
              <w:t xml:space="preserve">Suite à notre instruction en date 18/03/2021, notre correspondant en France nous avait transmis son enquête sur la société CERCIS SAS.</w:t>
              <w:br/>
              <w:br/>
              <w:t xml:space="preserve">En effet, il ressortait de cette étude que :</w:t>
            </w: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SansSerif" w:hAnsi="SansSerif" w:eastAsia="SansSerif" w:cs="SansSerif"/>
                <w:color w:val="000000"/>
                <w:sz w:val="20"/>
              </w:rPr>
              <w:t xml:space="preserve">« CERCIS est bien une filiale de CERCIS Holding, spécialisée dans l’aménagement et l’entretien d'espaces verts, voierie, portails, arrosage, éclairage et fontainerie. Les éléments 2020 ne sont pas encore connus et n’ont pu être obtenus; la société ne pouvant être jointe à notre demande. Cependant, ses sources attendent des éléments en repli du fait du contexte de crise sanitaire et du caractère saisonnier de l’activité. La société a d’ailleurs obtenu en 2020 un Prêt Garanti pas l’Etat (PGE) de 250.000 euro pour traverser cette période. Sa source bancaire enregistre des tensions de trésorerie et la ligne de court terme de 200.000 euro est ponctuellement dépassée. D’autre part, un autre partenaire souhaite se désengager de cette entité lorsque le crédit-bail se terminera. Il motive cette décision par la difficulté à joindre la direction souvent à l’étranger. La société recourt également largement au crédit fournisseurs. Compte tenu des éléments obtenus, la prudence est recommandée.</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49"/>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Avertissement: A la vue de la situation sanitaire, sociale et économique, il nous recommande vivement de le réinterroger sur cette entreprise dans un maximum de trois mois afin d’évaluer l’impact sur son activité et sa pérennité </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restart"/>
            <w:tcMar>
              <w:top w:w="0" w:type="dxa"/>
              <w:left w:w="0" w:type="dxa"/>
              <w:bottom w:w="0" w:type="dxa"/>
              <w:right w:w="0" w:type="dxa"/>
            </w:tcMar>
            <w:vAlign w:val="top"/>
          </w:tcPr>
          <w:p>
            <w:pPr>
              <w:ind/>
            </w:pPr>
            <w:r>
              <w:rPr>
                <w:rFonts w:ascii="SansSerif" w:hAnsi="SansSerif" w:eastAsia="SansSerif" w:cs="SansSerif"/>
                <w:color w:val="000000"/>
                <w:sz w:val="20"/>
                <w:b w:val="true"/>
              </w:rPr>
              <w:t xml:space="preserve">•	Etat d’avancement du Contrat clé en main assorti d’un financement en date du 13/10/2020 pour l’exécution </w:t>
              <w:br/>
              <w:t xml:space="preserve">              des travaux d’aménagement de la  Czzzorniche Ouest de Dakar</w:t>
              <w:br/>
              <w:t xml:space="preserve">•	Informations financières (renouvelée) </w:t>
              <w:br/>
              <w:t xml:space="preserve">•	Notification d’attribution définitive </w:t>
              <w:br/>
              <w:t xml:space="preserve">•	Contrat signé avec la date de souscription, d’approbation et de notification </w:t>
              <w:br/>
              <w:t xml:space="preserve">•	Déclaration de patrimoine de monsieur Kinan MENHEM avec les pièces justificatives</w:t>
            </w: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6"/>
            <w:tcMar>
              <w:top w:w="0" w:type="dxa"/>
              <w:left w:w="0" w:type="dxa"/>
              <w:bottom w:w="0" w:type="dxa"/>
              <w:right w:w="0" w:type="dxa"/>
            </w:tcMar>
            <w:vAlign w:val="top"/>
          </w:tcPr>
          <w:p>
            <w:pPr>
              <w:ind/>
            </w:pPr>
            <w:r>
              <w:rPr>
                <w:rFonts w:ascii="SansSerif" w:hAnsi="SansSerif" w:eastAsia="SansSerif" w:cs="SansSerif"/>
                <w:color w:val="000000"/>
                <w:sz w:val="20"/>
              </w:rPr>
              <w:t xml:space="preserve">Les conditions financières sont les suivantes :</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restart"/>
            <w:tcMar>
              <w:top w:w="0" w:type="dxa"/>
              <w:left w:w="0" w:type="dxa"/>
              <w:bottom w:w="0" w:type="dxa"/>
              <w:right w:w="0" w:type="dxa"/>
            </w:tcMar>
            <w:vAlign w:val="top"/>
          </w:tcPr>
          <w:p>
            <w:pPr>
              <w:ind/>
              <w:jc w:val="left"/>
            </w:pPr>
            <w:r>
              <w:rPr>
                <w:rFonts w:ascii="SansSerif" w:hAnsi="SansSerif" w:eastAsia="SansSerif" w:cs="SansSerif"/>
                <w:color w:val="000000"/>
                <w:sz w:val="20"/>
                <w:b w:val="true"/>
              </w:rPr>
              <w:t xml:space="preserve">Conditions financières d’accompagnement convenues pour une durée</w:t>
            </w:r>
          </w:p>
        </w:tc>
        <w:tc>
          <w:tcPr>
            <w:gridSpan w:val="6"/>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de 02 ans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Taux de prime = 3% sur la durée</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FED = 750.000 FCFA</w:t>
            </w:r>
          </w:p>
        </w:tc>
        <w:tc>
          <w:tcPr>
     </w:tcPr>
          <w:p>
            <w:pPr>
              <w:pStyle w:val="EMPTY_CELL_STYLE"/>
            </w:pP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750 000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	Taxe d’assurance = 10% (Prime + FED</w:t>
            </w:r>
          </w:p>
        </w:tc>
        <w:tc>
          <w:tcPr>
     </w:tcPr>
          <w:p>
            <w:pPr>
              <w:pStyle w:val="EMPTY_CELL_STYLE"/>
            </w:pPr>
          </w:p>
        </w:tc>
        <w:tc>
          <w:tcPr>
            <w:gridSpan w:val="10"/>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142 723 215</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4"/>
            <w:tcMar>
              <w:top w:w="0" w:type="dxa"/>
              <w:left w:w="0" w:type="dxa"/>
              <w:bottom w:w="0" w:type="dxa"/>
              <w:right w:w="0" w:type="dxa"/>
            </w:tcMar>
            <w:vAlign w:val="top"/>
          </w:tcPr>
          <w:p>
            <w:pPr>
              <w:ind/>
            </w:pPr>
            <w:r>
              <w:rPr>
                <w:rFonts w:ascii="SansSerif" w:hAnsi="SansSerif" w:eastAsia="SansSerif" w:cs="SansSerif"/>
                <w:color w:val="000000"/>
                <w:sz w:val="20"/>
                <w:b w:val="true"/>
              </w:rPr>
              <w:t xml:space="preserve">TOTAL  A  PAYER</w:t>
            </w:r>
          </w:p>
        </w:tc>
        <w:tc>
          <w:tcPr>
     </w:tcPr>
          <w:p>
            <w:pPr>
              <w:pStyle w:val="EMPTY_CELL_STYLE"/>
            </w:pPr>
          </w:p>
        </w:tc>
        <w:tc>
          <w:tcPr>
            <w:gridSpan w:val="10"/>
            <w:shd w:val="clear" w:color="auto" w:fill="F3FA32"/>
            <w:tcMar>
              <w:top w:w="0" w:type="dxa"/>
              <w:left w:w="0" w:type="dxa"/>
              <w:bottom w:w="0" w:type="dxa"/>
              <w:right w:w="0" w:type="dxa"/>
            </w:tcMar>
            <w:vAlign w:val="top"/>
          </w:tcPr>
          <w:p>
            <w:pPr>
              <w:ind/>
              <w:jc w:val="right"/>
            </w:pPr>
            <w:r>
              <w:rPr>
                <w:rFonts w:ascii="SansSerif" w:hAnsi="SansSerif" w:eastAsia="SansSerif" w:cs="SansSerif"/>
                <w:color w:val="000000"/>
                <w:sz w:val="20"/>
                <w:b w:val="true"/>
              </w:rPr>
              <w:t xml:space="preserve">157 820 537</w:t>
            </w:r>
          </w:p>
        </w:tc>
        <w:tc>
          <w:tcPr>
     </w:tcPr>
          <w:p>
            <w:pPr>
              <w:pStyle w:val="EMPTY_CELL_STYLE"/>
            </w:pPr>
          </w:p>
        </w:tc>
        <w:tc>
          <w:tcPr>
            <w:gridSpan w:val="7"/>
            <w:shd w:val="clear" w:color="auto" w:fill="F3FA32"/>
            <w:tcMar>
              <w:top w:w="0" w:type="dxa"/>
              <w:left w:w="0" w:type="dxa"/>
              <w:bottom w:w="0" w:type="dxa"/>
              <w:right w:w="0" w:type="dxa"/>
            </w:tcMar>
            <w:vAlign w:val="top"/>
          </w:tcPr>
          <w:p>
            <w:pPr>
              <w:ind/>
            </w:pPr>
            <w:r>
              <w:rPr>
                <w:rFonts w:ascii="SansSerif" w:hAnsi="SansSerif" w:eastAsia="SansSerif" w:cs="SansSerif"/>
                <w:color w:val="000000"/>
                <w:sz w:val="20"/>
                <w:b w:val="true"/>
              </w:rPr>
              <w:t xml:space="preserve">F CFA</w:t>
            </w: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LE DIRECTEUR DE L’ARBITRAGE</w:t>
            </w: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bottom"/>
          </w:tcPr>
          <w:p>
            <w:pPr>
              <w:ind/>
            </w:pPr>
            <w:r>
              <w:rPr>
                <w:rFonts w:ascii="SansSerif" w:hAnsi="SansSerif" w:eastAsia="SansSerif" w:cs="SansSerif"/>
                <w:color w:val="000000"/>
                <w:sz w:val="20"/>
                <w:b w:val="true"/>
              </w:rPr>
              <w:t xml:space="preserve">ET DE LA GESTION DES RISQUES</w:t>
            </w:r>
          </w:p>
        </w:tc>
        <w:tc>
          <w:tcPr>
     </w:tcPr>
          <w:p>
            <w:pPr>
              <w:pStyle w:val="EMPTY_CELL_STYLE"/>
            </w:pPr>
          </w:p>
        </w:tc>
      </w:tr>
      <w:tr>
        <w:trPr>
          <w:trHeight w:hRule="exact" w:val="40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3"/>
            <w:tcMar>
              <w:top w:w="0" w:type="dxa"/>
              <w:left w:w="0" w:type="dxa"/>
              <w:bottom w:w="0" w:type="dxa"/>
              <w:right w:w="0" w:type="dxa"/>
            </w:tcMar>
            <w:vAlign w:val="top"/>
          </w:tcPr>
          <w:p>
            <w:pPr>
              <w:ind/>
            </w:pPr>
            <w:r>
              <w:rPr>
                <w:rFonts w:ascii="SansSerif" w:hAnsi="SansSerif" w:eastAsia="SansSerif" w:cs="SansSerif"/>
                <w:color w:val="000000"/>
                <w:sz w:val="20"/>
                <w:b w:val="true"/>
              </w:rPr>
              <w:t xml:space="preserve">I - AVIS  DE LA  DIRECTION COMMERCIALE</w:t>
            </w:r>
          </w:p>
        </w:tc>
        <w:tc>
          <w:tcPr>
     </w:tcPr>
          <w:p>
            <w:pPr>
              <w:pStyle w:val="EMPTY_CELL_STYLE"/>
            </w:pPr>
          </w:p>
        </w:tc>
        <w:tc>
          <w:tcPr>
     </w:tcPr>
          <w:p>
            <w:pPr>
              <w:pStyle w:val="EMPTY_CELL_STYLE"/>
            </w:pPr>
          </w:p>
        </w:tc>
        <w:tc>
          <w:tcPr>
     </w:tcPr>
          <w:p>
            <w:pPr>
              <w:pStyle w:val="EMPTY_CELL_STYLE"/>
            </w:pPr>
          </w:p>
        </w:tc>
      </w:tr>
      <w:tr>
        <w:trPr>
          <w:trHeight w:hRule="exact" w:val="3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 – AVIS DE LA DIRECTRICE DES AFFAIRES JURIDIQUESET DES PRESTATIONS DE</w:t>
            </w:r>
          </w:p>
        </w:tc>
        <w:tc>
          <w:tcPr>
     </w:tcPr>
          <w:p>
            <w:pPr>
              <w:pStyle w:val="EMPTY_CELL_STYLE"/>
            </w:pPr>
          </w:p>
        </w:tc>
        <w:tc>
          <w:tcPr>
     </w:tcPr>
          <w:p>
            <w:pPr>
              <w:pStyle w:val="EMPTY_CELL_STYLE"/>
            </w:pPr>
          </w:p>
        </w:tc>
      </w:tr>
      <w:tr>
        <w:trPr>
          <w:trHeight w:hRule="exact" w:val="3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III – AVIS DU CONTROLE INTERNE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vAlign w:val="top"/>
          </w:tcPr>
          <w:p>
            <w:pPr>
              <w:ind/>
            </w:pPr>
            <w:r>
              <w:rPr>
                <w:rFonts w:ascii="SansSerif" w:hAnsi="SansSerif" w:eastAsia="SansSerif" w:cs="SansSerif"/>
                <w:color w:val="000000"/>
                <w:sz w:val="20"/>
                <w:b w:val="true"/>
              </w:rPr>
              <w:t xml:space="preserve">IV - DECISION DU DIRECTEUR GENERAL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sectPr>
      <w:pgSz w:w="11900" w:h="80000" w:orient="portrait" w:code="5595"/>
      <w:pgMar w:top="400" w:right="300" w:bottom="40" w:left="140" w:header="0" w:footer="0" w:gutter="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s>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 w:type="paragraph" w:styleId="Table_TH">
    <w:name w:val="Table_TH"/>
    <w:qFormat/>
    <w:pPr>
      <w:ind/>
    </w:pPr>
    <w:rPr>
      <w:rFonts w:ascii="SansSerif" w:hAnsi="SansSerif" w:eastAsia="SansSerif" w:cs="SansSerif"/>
      <w:color w:val="000000"/>
      <w:sz w:val="20"/>
    </w:rPr>
  </w:style>
  <w:style w:type="paragraph" w:styleId="Table_CH">
    <w:name w:val="Table_CH"/>
    <w:qFormat/>
    <w:pPr>
      <w:ind/>
    </w:pPr>
    <w:rPr>
      <w:rFonts w:ascii="SansSerif" w:hAnsi="SansSerif" w:eastAsia="SansSerif" w:cs="SansSerif"/>
      <w:color w:val="000000"/>
      <w:sz w:val="20"/>
    </w:rPr>
  </w:style>
  <w:style w:type="paragraph" w:styleId="Table_TD">
    <w:name w:val="Table_TD"/>
    <w:qFormat/>
    <w:pPr>
      <w:ind/>
    </w:pPr>
    <w:rPr>
      <w:rFonts w:ascii="SansSerif" w:hAnsi="SansSerif" w:eastAsia="SansSerif" w:cs="SansSerif"/>
      <w:color w:val="000000"/>
      <w:sz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s>

</file>

<file path=word/_rels/fontTable.xml.rels><?xml version="1.0" encoding="UTF-8" standalone="yes"?>
<Relationships xmlns="http://schemas.openxmlformats.org/package/2006/relationships">
</Relationships>

</file>

<file path=docProps/app.xml><?xml version="1.0" encoding="utf-8"?>
<Properties xmlns="http://schemas.openxmlformats.org/officeDocument/2006/extended-properties">
  <Application>JasperReports Library version 6.17.0-6d93193241dd8cc42629e188b94f9e0bc5722efd</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