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12" w:rsidRDefault="00492250">
      <w:r>
        <w:rPr>
          <w:rFonts w:hint="eastAsia"/>
        </w:rPr>
        <w:t>数値解析課題問題</w:t>
      </w:r>
    </w:p>
    <w:p w:rsidR="00492250" w:rsidRDefault="004922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5S-30 </w:t>
      </w:r>
      <w:r>
        <w:rPr>
          <w:rFonts w:hint="eastAsia"/>
        </w:rPr>
        <w:t>浜崎 拓海</w:t>
      </w:r>
    </w:p>
    <w:p w:rsidR="00492250" w:rsidRDefault="00492250" w:rsidP="004922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ある航空機が飛行中、翼の抑角が5°になったとき揚力係数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は以下の積分で求められる。台形法、シンプソン法で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を求め、2つの結果を比較してみなさい。</w:t>
      </w:r>
    </w:p>
    <w:p w:rsidR="00492250" w:rsidRPr="00926D52" w:rsidRDefault="00FC5A95" w:rsidP="00492250">
      <w:pPr>
        <w:pStyle w:val="a4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6D52" w:rsidRDefault="00FC5A95" w:rsidP="00926D52">
      <w:pPr>
        <w:pStyle w:val="a4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(-0.1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-0.087)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AB04BF" w:rsidRPr="00CE7C19" w:rsidRDefault="00FC5A95" w:rsidP="00492250">
      <w:pPr>
        <w:pStyle w:val="a4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-0.087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dx</m:t>
          </m:r>
        </m:oMath>
      </m:oMathPara>
    </w:p>
    <w:p w:rsidR="00CE7C19" w:rsidRPr="00AB04BF" w:rsidRDefault="00CE7C19" w:rsidP="00492250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結果を以下に示す。</w:t>
      </w:r>
    </w:p>
    <w:p w:rsidR="00AB04BF" w:rsidRPr="00AB04BF" w:rsidRDefault="00AB04BF" w:rsidP="00AB04BF">
      <w:pPr>
        <w:pStyle w:val="a4"/>
        <w:ind w:leftChars="0" w:left="720"/>
        <w:rPr>
          <w:rFonts w:hint="eastAsia"/>
        </w:rPr>
      </w:pPr>
      <w:r>
        <w:rPr>
          <w:rFonts w:hint="eastAsia"/>
        </w:rPr>
        <w:t xml:space="preserve">台形法 </w:t>
      </w:r>
      <w:r>
        <w:t xml:space="preserve">     </w:t>
      </w:r>
      <w:r>
        <w:rPr>
          <w:rFonts w:hint="eastAsia"/>
        </w:rPr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0.174365</m:t>
              </m:r>
              <m:r>
                <w:rPr>
                  <w:rFonts w:ascii="Cambria Math" w:hAnsi="Cambria Math"/>
                </w:rPr>
                <m:t>+0.5</m:t>
              </m:r>
              <m:r>
                <w:rPr>
                  <w:rFonts w:ascii="Cambria Math" w:hAnsi="Cambria Math"/>
                </w:rPr>
                <m:t xml:space="preserve">*0.200730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=0.27473</m:t>
          </m:r>
        </m:oMath>
      </m:oMathPara>
    </w:p>
    <w:p w:rsidR="00AB04BF" w:rsidRPr="00926D52" w:rsidRDefault="00AB04BF" w:rsidP="00AB04BF">
      <w:pPr>
        <w:pStyle w:val="a4"/>
        <w:ind w:leftChars="0" w:left="720"/>
      </w:pPr>
      <w:r>
        <w:rPr>
          <w:rFonts w:hint="eastAsia"/>
        </w:rPr>
        <w:t>シンプソン法:</w:t>
      </w:r>
      <w:r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0.174+0.5*0.2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=0.274</m:t>
          </m:r>
        </m:oMath>
      </m:oMathPara>
    </w:p>
    <w:p w:rsidR="00AB04BF" w:rsidRDefault="00CE7C19" w:rsidP="00492250">
      <w:pPr>
        <w:pStyle w:val="a4"/>
        <w:ind w:leftChars="0" w:left="720"/>
      </w:pPr>
      <w:r>
        <w:rPr>
          <w:rFonts w:hint="eastAsia"/>
        </w:rPr>
        <w:t>この結果から比較するとシンプソン法のほうが</w:t>
      </w:r>
      <w:r w:rsidR="005E61A7">
        <w:rPr>
          <w:rFonts w:hint="eastAsia"/>
        </w:rPr>
        <w:t>良い結果が出ていることがわかる。これは二次式で近似を行うシンプソン法の利点であるだろう。</w:t>
      </w:r>
    </w:p>
    <w:p w:rsidR="005E61A7" w:rsidRPr="00AB04BF" w:rsidRDefault="005E61A7" w:rsidP="00492250">
      <w:pPr>
        <w:pStyle w:val="a4"/>
        <w:ind w:leftChars="0" w:left="720"/>
        <w:rPr>
          <w:rFonts w:hint="eastAsia"/>
        </w:rPr>
      </w:pPr>
    </w:p>
    <w:p w:rsidR="00492250" w:rsidRDefault="00492250" w:rsidP="004922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実験によって得られた値yが</w:t>
      </w:r>
      <w:r>
        <w:t>x</w:t>
      </w:r>
      <w:r>
        <w:rPr>
          <w:rFonts w:hint="eastAsia"/>
        </w:rPr>
        <w:t>の関数で与えられた(</w:t>
      </w:r>
      <w:r>
        <w:t>y=f(x))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この時の実験データは下表の通りであった。表の値を用いて台形法、シンプソン法により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(ただしa</w:t>
      </w:r>
      <w:r>
        <w:t>=0,b=1</w:t>
      </w:r>
      <w:r>
        <w:rPr>
          <w:rFonts w:hint="eastAsia"/>
        </w:rPr>
        <w:t>とする)の値を電卓で求めてみなさい</w:t>
      </w:r>
    </w:p>
    <w:p w:rsidR="005E61A7" w:rsidRDefault="005E61A7" w:rsidP="005E61A7">
      <w:pPr>
        <w:jc w:val="center"/>
      </w:pPr>
      <w:r>
        <w:rPr>
          <w:rFonts w:hint="eastAsia"/>
        </w:rPr>
        <w:t>表.実験データ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1110"/>
        <w:gridCol w:w="1111"/>
        <w:gridCol w:w="1111"/>
        <w:gridCol w:w="1111"/>
        <w:gridCol w:w="1111"/>
        <w:gridCol w:w="1111"/>
      </w:tblGrid>
      <w:tr w:rsidR="005E61A7" w:rsidTr="005E61A7">
        <w:tc>
          <w:tcPr>
            <w:tcW w:w="1109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10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5E61A7" w:rsidTr="005E61A7">
        <w:tc>
          <w:tcPr>
            <w:tcW w:w="1109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.000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.960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.846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.670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.448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.200</w:t>
            </w:r>
          </w:p>
        </w:tc>
      </w:tr>
      <w:tr w:rsidR="005E61A7" w:rsidTr="005E61A7">
        <w:tc>
          <w:tcPr>
            <w:tcW w:w="1109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10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</w:p>
        </w:tc>
      </w:tr>
      <w:tr w:rsidR="005E61A7" w:rsidTr="005E61A7">
        <w:tc>
          <w:tcPr>
            <w:tcW w:w="1109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.941</w:t>
            </w:r>
          </w:p>
        </w:tc>
        <w:tc>
          <w:tcPr>
            <w:tcW w:w="1110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.685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.436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.210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.810</w:t>
            </w:r>
          </w:p>
        </w:tc>
        <w:tc>
          <w:tcPr>
            <w:tcW w:w="1111" w:type="dxa"/>
          </w:tcPr>
          <w:p w:rsidR="005E61A7" w:rsidRDefault="005E61A7" w:rsidP="005E61A7">
            <w:pPr>
              <w:rPr>
                <w:rFonts w:hint="eastAsia"/>
              </w:rPr>
            </w:pPr>
          </w:p>
        </w:tc>
      </w:tr>
    </w:tbl>
    <w:p w:rsidR="005E61A7" w:rsidRDefault="005E61A7" w:rsidP="005E61A7">
      <w:pPr>
        <w:ind w:left="720"/>
      </w:pPr>
    </w:p>
    <w:p w:rsidR="005E61A7" w:rsidRDefault="00523746" w:rsidP="005E61A7">
      <w:pPr>
        <w:ind w:left="720"/>
      </w:pPr>
      <w:r>
        <w:rPr>
          <w:rFonts w:hint="eastAsia"/>
        </w:rPr>
        <w:t>台形法</w:t>
      </w:r>
      <w:r w:rsidR="00230711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FC5A95" w:rsidRPr="00FC5A95" w:rsidRDefault="00D734A1" w:rsidP="00FC5A95">
      <w:pPr>
        <w:ind w:left="72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34A1" w:rsidRDefault="00FC5A95" w:rsidP="00FC5A95">
      <m:oMathPara>
        <m:oMath>
          <m:r>
            <w:rPr>
              <w:rFonts w:ascii="Cambria Math" w:hAnsi="Cambria Math"/>
            </w:rPr>
            <w:lastRenderedPageBreak/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4+3.96*2+3.846*2+3.67*2+3.448*2+3.2*2+2.941*2+2.685*2+2.436*2+2.21*2+2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C5A95" w:rsidRDefault="00FC5A95" w:rsidP="00FC5A95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3.1486</m:t>
          </m:r>
        </m:oMath>
      </m:oMathPara>
    </w:p>
    <w:p w:rsidR="00523746" w:rsidRDefault="00523746" w:rsidP="005E61A7">
      <w:pPr>
        <w:ind w:left="720"/>
      </w:pPr>
      <w:r>
        <w:rPr>
          <w:rFonts w:hint="eastAsia"/>
        </w:rPr>
        <w:t>シンプソン法</w:t>
      </w:r>
      <w:r w:rsidR="00230711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230711" w:rsidRPr="00335346" w:rsidRDefault="00230711" w:rsidP="005E61A7">
      <w:pPr>
        <w:ind w:left="7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734A1" w:rsidRPr="00D734A1" w:rsidRDefault="00335346" w:rsidP="003353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4+4*3.2+2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734A1" w:rsidRPr="00FC5A95" w:rsidRDefault="00D734A1" w:rsidP="003353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=3.13333</m:t>
          </m:r>
        </m:oMath>
      </m:oMathPara>
    </w:p>
    <w:p w:rsidR="00FC5A95" w:rsidRDefault="00FC5A95" w:rsidP="00335346">
      <w:r>
        <w:tab/>
      </w:r>
      <w:r>
        <w:rPr>
          <w:rFonts w:hint="eastAsia"/>
        </w:rPr>
        <w:t>以下にソースコードを添付する</w:t>
      </w:r>
    </w:p>
    <w:p w:rsidR="00FC5A95" w:rsidRDefault="00FC5A95" w:rsidP="00335346">
      <w:pPr>
        <w:rPr>
          <w:rFonts w:hint="eastAsia"/>
        </w:rPr>
      </w:pPr>
      <w:r>
        <w:tab/>
      </w:r>
      <w:r>
        <w:rPr>
          <w:rFonts w:hint="eastAsia"/>
        </w:rPr>
        <w:t>台形法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A95" w:rsidTr="00FC5A95">
        <w:tc>
          <w:tcPr>
            <w:tcW w:w="8494" w:type="dxa"/>
          </w:tcPr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math.h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stdlib.h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PI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3.141592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0.1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cos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0.087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)*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cos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n,k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x;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s,h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a,b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"Input k value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scanf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d"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,&amp;k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n = 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pow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k);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b = PI;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a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h = (b-a)/n;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n;i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x = a + h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s +=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0.5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(s +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(a) +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(b)) * h;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"s: %f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s);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 = -s * (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/PI);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ans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: %f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s);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FC5A95" w:rsidRDefault="00FC5A95" w:rsidP="00335346">
      <w:pPr>
        <w:rPr>
          <w:rFonts w:hint="eastAsia"/>
        </w:rPr>
      </w:pPr>
    </w:p>
    <w:p w:rsidR="00FC5A95" w:rsidRDefault="00FC5A95" w:rsidP="00335346">
      <w:r>
        <w:tab/>
      </w:r>
      <w:r>
        <w:rPr>
          <w:rFonts w:hint="eastAsia"/>
        </w:rPr>
        <w:t>シンプソン法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A95" w:rsidTr="00FC5A95">
        <w:tc>
          <w:tcPr>
            <w:tcW w:w="8494" w:type="dxa"/>
          </w:tcPr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math.h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stdlib.h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PI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3.141592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0.1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cos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0.087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)*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cos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n;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x;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s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,s1,s2,h;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double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a,b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"Input n value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scanf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d"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,&amp;n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b = PI;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a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h = (b-a)/(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*n);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s1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*n-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+=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x = a + h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s1 +=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s2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</w:t>
            </w:r>
            <w:r w:rsidRPr="00FC5A95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 &lt;=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*n-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;i+=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x = a + h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s2 +=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 = (s1 + s2 +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(a) +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(b)) * h / 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"s: %f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s);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s = -s * (</w:t>
            </w:r>
            <w:r w:rsidRPr="00FC5A95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/PI);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ans</w:t>
            </w:r>
            <w:proofErr w:type="spellEnd"/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: %f</w:t>
            </w:r>
            <w:r w:rsidRPr="00FC5A95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FC5A95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s);</w:t>
            </w:r>
          </w:p>
          <w:p w:rsidR="00FC5A95" w:rsidRPr="00FC5A95" w:rsidRDefault="00FC5A95" w:rsidP="00FC5A9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FC5A95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FC5A95" w:rsidRDefault="00FC5A95" w:rsidP="00335346">
            <w:pPr>
              <w:rPr>
                <w:rFonts w:hint="eastAsia"/>
              </w:rPr>
            </w:pPr>
          </w:p>
        </w:tc>
      </w:tr>
    </w:tbl>
    <w:p w:rsidR="00FC5A95" w:rsidRDefault="00FC5A95" w:rsidP="00335346">
      <w:pPr>
        <w:rPr>
          <w:rFonts w:hint="eastAsia"/>
        </w:rPr>
      </w:pPr>
    </w:p>
    <w:sectPr w:rsidR="00FC5A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281"/>
    <w:multiLevelType w:val="hybridMultilevel"/>
    <w:tmpl w:val="B70E2330"/>
    <w:lvl w:ilvl="0" w:tplc="2332A906">
      <w:start w:val="1"/>
      <w:numFmt w:val="decimal"/>
      <w:lvlText w:val="問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0"/>
    <w:rsid w:val="001E1C12"/>
    <w:rsid w:val="00230711"/>
    <w:rsid w:val="00335346"/>
    <w:rsid w:val="00492250"/>
    <w:rsid w:val="00523746"/>
    <w:rsid w:val="005E61A7"/>
    <w:rsid w:val="00926D52"/>
    <w:rsid w:val="00AB04BF"/>
    <w:rsid w:val="00CE7C19"/>
    <w:rsid w:val="00D734A1"/>
    <w:rsid w:val="00F82ECE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A840E9"/>
  <w15:chartTrackingRefBased/>
  <w15:docId w15:val="{CF8033A4-23FB-467C-B6E9-49AA14B9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250"/>
    <w:rPr>
      <w:color w:val="808080"/>
    </w:rPr>
  </w:style>
  <w:style w:type="paragraph" w:styleId="a4">
    <w:name w:val="List Paragraph"/>
    <w:basedOn w:val="a"/>
    <w:uiPriority w:val="34"/>
    <w:qFormat/>
    <w:rsid w:val="00492250"/>
    <w:pPr>
      <w:ind w:leftChars="400" w:left="840"/>
    </w:pPr>
  </w:style>
  <w:style w:type="table" w:styleId="a5">
    <w:name w:val="Table Grid"/>
    <w:basedOn w:val="a1"/>
    <w:uiPriority w:val="39"/>
    <w:rsid w:val="005E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C1C3-9A27-44B7-BCCA-6AF2609C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． ．</cp:lastModifiedBy>
  <cp:revision>2</cp:revision>
  <dcterms:created xsi:type="dcterms:W3CDTF">2019-12-13T06:46:00Z</dcterms:created>
  <dcterms:modified xsi:type="dcterms:W3CDTF">2019-12-14T05:46:00Z</dcterms:modified>
</cp:coreProperties>
</file>