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jc w:val="center"/>
        <w:rPr>
          <w:sz w:val="48"/>
          <w:szCs w:val="48"/>
        </w:rPr>
      </w:pPr>
      <w:r w:rsidDel="00000000" w:rsidR="00000000" w:rsidRPr="00000000">
        <w:rPr>
          <w:sz w:val="48"/>
          <w:szCs w:val="48"/>
          <w:rtl w:val="0"/>
        </w:rPr>
        <w:t xml:space="preserve">IRRITABLE BOWEL SYNDROME – IBS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1"/>
          <w:smallCaps w:val="0"/>
          <w:strike w:val="0"/>
          <w:color w:val="000000"/>
          <w:sz w:val="20"/>
          <w:szCs w:val="20"/>
          <w:u w:val="none"/>
          <w:shd w:fill="auto" w:val="clear"/>
          <w:vertAlign w:val="superscrip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Muhamma</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Tanzee</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*,Afsha</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Arsha</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Lahor</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Pakista</w:t>
      </w: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1"/>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superscript"/>
          <w:rtl w:val="0"/>
        </w:rPr>
        <w:t xml:space="preserve">Tanzeel54241@gmail.com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200" w:before="0" w:line="276" w:lineRule="auto"/>
        <w:ind w:left="0" w:right="0" w:firstLine="0"/>
        <w:jc w:val="center"/>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Department of Biological sciences, Faculty of biological sciences, Superior university Lahore, Pakistan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rtl w:val="0"/>
        </w:rPr>
      </w:r>
    </w:p>
    <w:tbl>
      <w:tblPr>
        <w:tblStyle w:val="Table1"/>
        <w:tblW w:w="92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18"/>
        <w:gridCol w:w="630"/>
        <w:gridCol w:w="6816"/>
        <w:tblGridChange w:id="0">
          <w:tblGrid>
            <w:gridCol w:w="1818"/>
            <w:gridCol w:w="630"/>
            <w:gridCol w:w="6816"/>
          </w:tblGrid>
        </w:tblGridChange>
      </w:tblGrid>
      <w:tr>
        <w:trPr>
          <w:cantSplit w:val="0"/>
          <w:tblHeader w:val="0"/>
        </w:trPr>
        <w:tc>
          <w:tcPr>
            <w:tcBorders>
              <w:bottom w:color="000000" w:space="0" w:sz="4"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KEYWORDS</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ABSTRACT</w:t>
            </w:r>
          </w:p>
        </w:tc>
      </w:tr>
      <w:tr>
        <w:trPr>
          <w:cantSplit w:val="0"/>
          <w:trHeight w:val="413" w:hRule="atLeast"/>
          <w:tblHeader w:val="0"/>
        </w:trPr>
        <w:tc>
          <w:tcPr>
            <w:tcBorders>
              <w:top w:color="000000" w:space="0" w:sz="4" w:val="single"/>
              <w:bottom w:color="000000" w:space="0" w:sz="4" w:val="single"/>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IBS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Cause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Symptoms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Treatment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Result and Discussion</w:t>
            </w:r>
            <w:r w:rsidDel="00000000" w:rsidR="00000000" w:rsidRPr="00000000">
              <w:rPr>
                <w:rtl w:val="0"/>
              </w:rPr>
            </w:r>
          </w:p>
        </w:tc>
        <w:tc>
          <w:tcPr>
            <w:tcBorders>
              <w:bottom w:color="000000" w:space="0" w:sz="4" w:val="single"/>
            </w:tcBorders>
          </w:tcPr>
          <w:p w:rsidR="00000000" w:rsidDel="00000000" w:rsidP="00000000" w:rsidRDefault="00000000" w:rsidRPr="00000000" w14:paraId="0000000F">
            <w:pPr>
              <w:rPr>
                <w:b w:val="1"/>
                <w:i w:val="1"/>
                <w:sz w:val="16"/>
                <w:szCs w:val="16"/>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Irritable bowel pattern( IBS) is a habitual and enervating functional gastrointestinal complaint that affects 9- 23 of the population across the world. The chance of cases seeking health care related to IBS approaches 12 in primary care practices and is by far the largest group seen in gastroenterology conventions. It has been well proved that these cases parade a poorer quality of life and use the health care system to a lesser degree than cases without this opinion. The pathophysiology of IBS isn't clear. numerous propositions have been put forward, but the exact cause of IBS is still uncertain. According to the streamlined ROME III criteria, IBS is a clinical opinion and presents as one of the three predominant subtypes( 1) IBS with constipation( IBS- C);( 2) IBS with diarrhea( IBS- D); and( 3) mixed IBS( IBS- M); former ROME delineations relate to IBS- M as interspersing IBS( IBS- A). Across the IBS subtypes, the donation of symptoms may vary among cases and change over time. Cases report the most distressing symptoms to be abdominal pain, straining, myalgias, urgency, bloating and passions of serious illness. The complexity and diversity of IBS donations makes treatment delicate. Although there are reviews and guidelines for treating IBS, they concentrate on the efficacy of specifics for IBS symptoms using high- precedence endpoints, leaving those of lower precedence largely unreported. Thus, the end of this review is to give a comprehensive substantiation- grounded review of the opinion, pathogenesis and treatment to guide clinicians diagnosing and treating their cases.</w:t>
            </w:r>
            <w:r w:rsidDel="00000000" w:rsidR="00000000" w:rsidRPr="00000000">
              <w:rPr>
                <w:rtl w:val="0"/>
              </w:rPr>
            </w:r>
          </w:p>
        </w:tc>
      </w:tr>
    </w:tbl>
    <w:p w:rsidR="00000000" w:rsidDel="00000000" w:rsidP="00000000" w:rsidRDefault="00000000" w:rsidRPr="00000000" w14:paraId="00000011">
      <w:pPr>
        <w:rPr>
          <w:b w:val="1"/>
          <w:i w:val="1"/>
          <w:sz w:val="18"/>
          <w:szCs w:val="18"/>
        </w:rPr>
      </w:pPr>
      <w:r w:rsidDel="00000000" w:rsidR="00000000" w:rsidRPr="00000000">
        <w:rPr>
          <w:rtl w:val="0"/>
        </w:rPr>
      </w:r>
    </w:p>
    <w:p w:rsidR="00000000" w:rsidDel="00000000" w:rsidP="00000000" w:rsidRDefault="00000000" w:rsidRPr="00000000" w14:paraId="00000012">
      <w:pPr>
        <w:rPr>
          <w:b w:val="1"/>
          <w:i w:val="1"/>
          <w:sz w:val="18"/>
          <w:szCs w:val="1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sectPr>
          <w:type w:val="continuous"/>
          <w:pgSz w:h="16834" w:w="11909" w:orient="portrait"/>
          <w:pgMar w:bottom="1440" w:top="1440" w:left="1440" w:right="1440" w:header="720" w:footer="720"/>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Irritable bowel pattern, or IBS, is a problem that substantially affects the large intestine. The bowel is the part of the digestive system that makes and stores coprolite. The word pattern means a group of symptoms. IBS is a pattern because it can beget several symptoms. For illustration, IBS causes cramping, bloating, gas, diarrhea, and/ or constipation. It’s a functional complaint, which means that the bowel does n’t work as it should.With IBS, the jitters and muscles in the bowel are redundant and sensitive. For illustration, the muscles may contract too important when you eat. These condensation can beget cramping and diarrhea during or shortly after a mess. Or the jitters can be exorbitantly sensitive to the stretching of the bowel( because of gas, for illustration). Cramping or pain can affect. IBS can be painful. But it doesn't damage the bowel or beget any other conditions. </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 The clinician will diagnose IBS grounded on your symptoms. You might have some medical tests to rule out other conditions. Emotional stress won't beget a person to develop IBS. But if you formerly have IBS, stress can spark symptoms. In fact, the bowel can overreact to all feathers of effects, including food, exercise, and hormones.IBS with diarrhea( IBS- D) utmost of your poop is loose and watery.IBS with mixed bowel habits( IBS- M) You have both hard and lumpy bowel movements and loose and watery movements on the same day. Studies have also begun to concentrate on the molecular position with serotonin receptor agonists and antagonists. The part of psychosocial factors in IBS also must be considered because these factors impact treatment options and cases ’ prospects. According to an American Gastroenterology Association( AGA) exploration into this area has yielded four general compliances. First, cerebral stress exacerbates gastrointestinal symptoms magnifying the inflexibility of diarrhea, abdominal discomfort, and soon.Next, cerebral and psychiatric comorbidity is frequently represented among IBS cases. These psychosocial factors impact the illness experience, patient prospects, and treatment outgrowth of IBS cases. Incipiently, the AGA emphasizes that these factors also mandate which cases consult croakers</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 . All these considerations must be kept in mind when considering long- term treatment pretensions via pharmacotherapy or cerebral operation. </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 Functional GI diseases( FGID), utmost notoriously functional dyspepsia( FD) and IBS, take a prominent place within the “ functional physical runs ’’, together with habitual fatigue pattern and fibromyalgia, with which they constantly lap. FGID are frequent diseases of which the pathophysiology is partly understood. Psychosocial factors are believed to impact GI sensorimotor function and/ or symptom generation in FGID as prepping, pouring or immortalizing factors; comorbidity with psychiatric diseases, substantially mood or anxiety diseases is frequent. Ultramodern epidemiological, psychophysiological and functional brain imaging exploration has incompletely clarified the mechanisms through which these psychosocial factors may act on GI function or symptomatology, although the exact nature of their relationship remains a matter of contestation. The ‘‘ brain- gut axis ’’ can be conceptualized as the bidirectional connection system between the GI tract( with its enteric nervous system) and the brain( central nervous system) through( autonomic) neural, neuroimmune and neuroendocrine pathways.</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sz w:val="20"/>
          <w:szCs w:val="20"/>
        </w:rPr>
      </w:pPr>
      <w:r w:rsidDel="00000000" w:rsidR="00000000" w:rsidRPr="00000000">
        <w:rPr>
          <w:sz w:val="20"/>
          <w:szCs w:val="20"/>
          <w:rtl w:val="0"/>
        </w:rPr>
        <w:t xml:space="preserve">Exactly what causes IBS is not known. It may have a commodity to do with overactivity of part or corridor of the gut( bowel) within the digestive system.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sz w:val="20"/>
          <w:szCs w:val="20"/>
        </w:rPr>
      </w:pPr>
      <w:r w:rsidDel="00000000" w:rsidR="00000000" w:rsidRPr="00000000">
        <w:rPr>
          <w:sz w:val="20"/>
          <w:szCs w:val="20"/>
          <w:rtl w:val="0"/>
        </w:rPr>
        <w:t xml:space="preserve"> Food is passed along the bowel by regular squeezes( condensation) of the muscles in the wall of the bowel wall. Pain and other symptoms may develop if the condensation becomes abnormal or hyperactive. The area of overactivity in the gut may determine exactly where you feel the pain and whether constipation or diarrhea develops.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sz w:val="20"/>
          <w:szCs w:val="20"/>
        </w:rPr>
      </w:pPr>
      <w:r w:rsidDel="00000000" w:rsidR="00000000" w:rsidRPr="00000000">
        <w:rPr>
          <w:sz w:val="20"/>
          <w:szCs w:val="20"/>
          <w:rtl w:val="0"/>
        </w:rPr>
        <w:t xml:space="preserve"> The cause of overactivity in the corridor of the gut isn't clear. One or further of the following may play a part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sz w:val="20"/>
          <w:szCs w:val="20"/>
        </w:rPr>
      </w:pPr>
      <w:r w:rsidDel="00000000" w:rsidR="00000000" w:rsidRPr="00000000">
        <w:rPr>
          <w:sz w:val="20"/>
          <w:szCs w:val="20"/>
          <w:rtl w:val="0"/>
        </w:rPr>
        <w:t xml:space="preserve"> Overactivity of the jitters or muscles of the gut. It isn't known why this may happen. It may have a commodity to do with overactivity of dispatches transferred from the brain to the gut. Stress or emotional derangement may play a part. About half of people with IBS can relate the launch of symptoms to a stressful event in their lives. Symptoms tend to come worse during times of stress, depression and anxiety.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sz w:val="20"/>
          <w:szCs w:val="20"/>
        </w:rPr>
      </w:pPr>
      <w:r w:rsidDel="00000000" w:rsidR="00000000" w:rsidRPr="00000000">
        <w:rPr>
          <w:sz w:val="20"/>
          <w:szCs w:val="20"/>
          <w:rtl w:val="0"/>
        </w:rPr>
        <w:t xml:space="preserve"> Dogmatism to certain foods may play a part in some cases. still, this is allowed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sz w:val="20"/>
          <w:szCs w:val="20"/>
        </w:rPr>
      </w:pPr>
      <w:r w:rsidDel="00000000" w:rsidR="00000000" w:rsidRPr="00000000">
        <w:rPr>
          <w:sz w:val="20"/>
          <w:szCs w:val="20"/>
          <w:rtl w:val="0"/>
        </w:rPr>
        <w:t xml:space="preserve"> to be only in a small number of cases.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sz w:val="20"/>
          <w:szCs w:val="20"/>
        </w:rPr>
      </w:pPr>
      <w:r w:rsidDel="00000000" w:rsidR="00000000" w:rsidRPr="00000000">
        <w:rPr>
          <w:sz w:val="20"/>
          <w:szCs w:val="20"/>
          <w:rtl w:val="0"/>
        </w:rPr>
        <w:t xml:space="preserve"> Infection and origins( bacteria) in the gut. IBS isn't caused by an ongoing gut infection. Still, in some cases, the onset of symptoms seems to follow a bout of a gut infection with diarrhea and being sick( vomiting), called gastroenteritis. So, maybe a contagion or other origin may acclimatize or spark the gut in some way to beget persisting symptoms of IBS.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sz w:val="20"/>
          <w:szCs w:val="20"/>
        </w:rPr>
      </w:pPr>
      <w:r w:rsidDel="00000000" w:rsidR="00000000" w:rsidRPr="00000000">
        <w:rPr>
          <w:sz w:val="20"/>
          <w:szCs w:val="20"/>
          <w:rtl w:val="0"/>
        </w:rPr>
        <w:t xml:space="preserve"> Perceptivity to pain. People with IBS feel more pain when their gut is expanded( dilated) than those without IBS. They may have a lower threshold for passing pain from the gut.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20"/>
          <w:szCs w:val="20"/>
          <w:u w:val="no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Diagnostic Procedures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sz w:val="20"/>
          <w:szCs w:val="20"/>
          <w:rtl w:val="0"/>
        </w:rPr>
        <w:t xml:space="preserve">Diagnosing IBS generally involves a physical test and medical history. It's important to count other GI conditions. The Rome IV criteria de — nes IBS as intermittent abdominal pain, on average one day a week in the last three months, associated with at least two of the following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sz w:val="20"/>
          <w:szCs w:val="20"/>
          <w:rtl w:val="0"/>
        </w:rPr>
        <w:t xml:space="preserve"> 1) Relation to defecation( discharging feces)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sz w:val="20"/>
          <w:szCs w:val="20"/>
          <w:rtl w:val="0"/>
        </w:rPr>
        <w:t xml:space="preserve"> 2) Change in frequence of coprolite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sz w:val="20"/>
          <w:szCs w:val="20"/>
          <w:rtl w:val="0"/>
        </w:rPr>
        <w:t xml:space="preserve"> 3) Change in the form( appearance) of the coprolite.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sz w:val="20"/>
          <w:szCs w:val="20"/>
          <w:rtl w:val="0"/>
        </w:rPr>
        <w:t xml:space="preserve">The evaluation may include blood tests, coprolite samples, endoscopic procedures, or imaging procedures( like a CT checkup or MRI). In cases with IBS, anemia isn't apparent, coprolite calprotectin is normal, and no inflammation is seen on endoscopy or imaging tests.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Who Gets IBS?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IBS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affects 10–12% of adults in North America.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Age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IBS occurs in all age groups, but is most  commonly diagnosed in individuals under age 50.5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Gender: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IBS is more common in women.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Family history: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Research shows that many people with IBS have a first-degree relative (parent, child, or sibling) with the disorder.</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Infection: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Around 40% of people who develop IBS do so after an infection in their digestive system. After the infection clears, the symptoms remain (i.e., post-infectious IBS).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Psychological history: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studies indicate that psychological distress, especially anxiety, depres-sion, and childhood trauma, may be risk factors.</w:t>
      </w:r>
    </w:p>
    <w:p w:rsidR="00000000" w:rsidDel="00000000" w:rsidP="00000000" w:rsidRDefault="00000000" w:rsidRPr="00000000" w14:paraId="00000032">
      <w:pPr>
        <w:jc w:val="both"/>
        <w:rPr>
          <w:b w:val="1"/>
        </w:rPr>
      </w:pPr>
      <w:r w:rsidDel="00000000" w:rsidR="00000000" w:rsidRPr="00000000">
        <w:rPr>
          <w:b w:val="1"/>
          <w:rtl w:val="0"/>
        </w:rPr>
        <w:t xml:space="preserve">Symptoms</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The hallmark of IBS is abdominal pain or discomfort associated with either a change in bowel habits or disordered defecation. The pain or discomfort associated with IBS is frequently inadequately localized and may be migrant and variable. It may happen after a mess, during stress or at the time of monthlies. In addition to pain and discomfort, altered bowel habits are common, including diarrhea, constipation, and diarrhea interspersing with constipation. Cases also complain of bloating or abdominal distension, mucous in the coprolite, urgency, and a feeling of deficient evacuation. Some cases describe frequent occurrences, whereas others describe long symptom-free ages. Cases with perverse bowel constantly report symptoms of other functional gastrointestinal diseases as well, including casket pain, heartburn, nausea or dyspepsia, difficulty swallowing, or a sensation of a lump in the throat or ending of the throat Cases with IBS are generally classified according to the type of bowel habits that accompany pain. Some cases have diarrhea- predominant symptomatology, others constipation- predominant, and still others have a combination of the two. Some cases alternate between different groups. Symptoms may vary from slightly conspicuous to enervating, at times within the same case. In some cases, stress or life heads may be associated with the onset of symptoms, which may also vanish when the stress dissipates. Other cases feel to have arbitrary IBS occurrences with robotic remittals. Still others describe long ages of symptoms and long symptom-free ages( 20). In general, the symptoms of IBS wax and wane throughout life, but the maturity of cases seen by croakers</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 are 20 – 50 times old. In roughly 50% of cases, symptoms begin before age 35. The complaint is also honored in children, generally appearing in early childhood. numerous cases can trace the onset of symptoms back to nonage. The frequency of IBS is slightly lower in the senior, and in this patient population organic diseases must be barred.</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challenges</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The recent challenge is His platoon's laboratory and clinical studies reveal a medium that connects certain foods with activation of the cells that release histamine( called mast cells), and posterior pain and discomfort. Earlier work by Professor Boeckxstaens and his associates showed that blocking histamine, an important element of the vulnerable system, improves the condition of people with IBS. In a healthy intestine, the vulnerable system doesn't reply to foods, so the first step was to find out what might beget this forbearance to break down. Since people with IBS frequently report that their symptoms began after a gastrointestinal infection, similar as food poisoning, the experimenters started with the idea that an infection while a particular food is present in the gut might acclimatize the vulnerable system to that food. </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 The experimenters were also suitable to unpick the series of events in the vulnerable response that connected the ingestion of ovalbumin to activation of the mast cells. Significantly, this vulnerable response only passed in the part of the intestine infected by the disruptive bacteria. It didn't produce further general symptoms of a foodallergy.Professor Boeckxstaens speculates that this points to a diapason of food- related vulnerable conditions." At one end of the diapason, the vulnerable response to a food antigen is veritably original, as in IBS. At the other end of the diapason is food mislike, comprising a generalized condition of severe mast cell activation, with an impact on breathing, blood pressure, and so on." </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 The experimenters also went on to see if people with IBS replied in the same way. When food antigens associated with IBS( gluten, wheat, soy and cow milk) were fitted into the intestine wall of 12 IBS cases, they produced localized vulnerable responses analogous to that seen in the mice. No response was seen in healthyvolunteers.The fairly small number of people involved means this finding needs farther evidence, but it appears significant when considered alongside the before clinical trial showing enhancement during treatment of IBS cases with antihistamines." This is farther evidence that the medium we've unraveled has clinical applicability," Professor Boeckxstaenssays.A larger clinical trial of the antihistamine treatment is presently underway." But knowing the medium that leads to mast cell activation is pivotal, and will lead to new curatives for these cases," he goes on." Mast cells release numerous further composites and intercessors than just histamine, so if you can block the activation of these cells, I believe you'll have a much more effective remedy.</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Possible solution</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Add fiber to your diet to help your bowel serve typically. Fiber increases intestinal motility to reduce constipation by creating a largish bowel movement, and fiber decreases intestinal motility in diarrhea by absorbing redundant water from the coprolite. Salutary fiber includes complex carbohydrates, grains, fruits, vegetables, and sap, whole grain viands and cereals. Supplements similar as Metamucil ® or Citrucel ® are natural fiber and perhaps a helpful addition for fiber. When adding fiber to your diet, do it sluggishly to allow your bowel to acclimate. Avoid adipose, slithery foods in order to drop the cholecystokinin product. Cholecystokinin is a hormone that's a potent encouragement for propulsive condensation of the colon. It aggravates the colon. </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 Avoid gastric annoyances similar to caffeine, alcohol and nicotine. People with IBS don't produce further gas than people without IBS, but they frequently witness more cramping. Cover your own response to specific foods and acclimate consequently. Some people with IBS can not tolerate certain foods such as broccoli, cauliflower, onions, sap and cabbage. Large reflections can cause cramping and diarrhea in people withIBS.However, try eating four or five small reflections a day, If this happens to you. Or, have your usual three reflections, but eat less at each mess. Avoid swallowing inordinate quantities of air by biting and eating sluggishly in a relaxed environment.Avoid biting goo, mints, and tobacco products which increase air swallowing. Keep a food journal in order to find out which foods are easier for you to digest.Wear loose comfortable apparel. Do regular exercise to strengthen abdominal muscles; stronger abdominal muscles are more suitable to handle gas problems. Reduce stress. Stress is any stimulation that requires adaptation or change. It affects people in different ways. Fete the cause; learn what triggers your stress; learn different managing chops( exercise, share enterprises, biofeedback, contemplation, comforting).</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Anxiety and Depression</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For cases with IBD and IBS, anxiety and depression can make symptoms worse. Consultation with a psychologist or psychiatrist familiar with IBD and IBS can be veritably helpful in managing these conditions. Treating the physical symptoms of IBD and IBS may be more complicated when depression and anxiety are unbridled. There are pharmacological or psy- chological treatments for both of these conditions. Treatment of anxiety and depression can be an important part of IBD and IBS, and may make care more effective.</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b w:val="1"/>
          <w:sz w:val="20"/>
          <w:szCs w:val="20"/>
        </w:rPr>
      </w:pPr>
      <w:r w:rsidDel="00000000" w:rsidR="00000000" w:rsidRPr="00000000">
        <w:rPr>
          <w:b w:val="1"/>
          <w:rtl w:val="0"/>
        </w:rPr>
        <w:t xml:space="preserve"> Psychological Therapies</w:t>
      </w: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Cases treated with cerebral curatives may witness enhancement in their symptoms. Two forms of psychotherapy — cognitive behavioral remedy( CBT) and gut- directed hypnotherapy — have the most substantiation for reducing pain as well as the frequence, intensity, and duration of IBD and IBS symptoms.</w:t>
      </w:r>
    </w:p>
    <w:p w:rsidR="00000000" w:rsidDel="00000000" w:rsidP="00000000" w:rsidRDefault="00000000" w:rsidRPr="00000000" w14:paraId="00000044">
      <w:pPr>
        <w:jc w:val="both"/>
        <w:rPr>
          <w:b w:val="1"/>
        </w:rPr>
      </w:pPr>
      <w:r w:rsidDel="00000000" w:rsidR="00000000" w:rsidRPr="00000000">
        <w:rPr>
          <w:b w:val="1"/>
          <w:rtl w:val="0"/>
        </w:rPr>
        <w:t xml:space="preserve">CBT(cognitive behavioral therapy)</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 has shown promise for patients with moderate  to severe IBD and for those with IBS who also su•er from anxiety or mood disorders.7 CBT can help  patients learn coping strategies to control the symptoms brought on by anxiety.</w:t>
      </w:r>
    </w:p>
    <w:p w:rsidR="00000000" w:rsidDel="00000000" w:rsidP="00000000" w:rsidRDefault="00000000" w:rsidRPr="00000000" w14:paraId="00000046">
      <w:pPr>
        <w:jc w:val="both"/>
        <w:rPr>
          <w:sz w:val="20"/>
          <w:szCs w:val="20"/>
        </w:rPr>
      </w:pPr>
      <w:r w:rsidDel="00000000" w:rsidR="00000000" w:rsidRPr="00000000">
        <w:rPr>
          <w:b w:val="1"/>
          <w:rtl w:val="0"/>
        </w:rPr>
        <w:t xml:space="preserve">Gut-directed hypnotherapy</w:t>
      </w:r>
      <w:r w:rsidDel="00000000" w:rsidR="00000000" w:rsidRPr="00000000">
        <w:rPr>
          <w:sz w:val="20"/>
          <w:szCs w:val="20"/>
          <w:rtl w:val="0"/>
        </w:rPr>
        <w:t xml:space="preserve"> is one of the most successful treatment approaches for habitual IBS, both in the short- term and the long- term with numerous cases nding characteristic relief. Studies suggest that in addition to dwindling pain perception at the position of the brain, hypnotism may ameliorate vulnerable functions in IBD and IBS, increase relaxation, reduce stress, and ease passions of anxiety.</w:t>
      </w:r>
    </w:p>
    <w:p w:rsidR="00000000" w:rsidDel="00000000" w:rsidP="00000000" w:rsidRDefault="00000000" w:rsidRPr="00000000" w14:paraId="00000047">
      <w:pPr>
        <w:jc w:val="both"/>
        <w:rPr>
          <w:b w:val="1"/>
        </w:rPr>
      </w:pPr>
      <w:r w:rsidDel="00000000" w:rsidR="00000000" w:rsidRPr="00000000">
        <w:rPr>
          <w:b w:val="1"/>
          <w:rtl w:val="0"/>
        </w:rPr>
        <w:t xml:space="preserve">Reducing and Managing Stress</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Indeed in the absence of a psychiatric opinion, numerous people with IBD and IBS report that stress makes their symptoms worse. Relaxation ways and mind/ body exercises, similar as yoga, tai chi, and contemplation may help, particularly when used with other forms of treatment. </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 Other stress operation options include relaxation training, similar as contemplation, guided imagery, or biofeedback. </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 To manage stress, it helps to identify sources of stress. One strategy is to write down what's causing you to feel stressed-out and organize the list into problems that you have some control over(e.g., drawing the house, — finishing a design at work) and problems that you can not control(e.g., having a opinion of IBD or IBS). By doing this, cases can make adaptations in how they suppose about their stress, and change their geste </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 to be more adaptable to soluble versus unattainable problems. </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 A stress journal may help identify the regular stress- ors in life and the ways to deal with them. Over time, patterns and common themes will crop , as well as strategies to successfully manage with them. Below are fresh strategies to help manage stress.</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Talk to a trusted friend or make an appointment with a therapist</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Expressing what you're going through can be veritably helpful, indeed if there's nothing you can do to change the stressful situation. This can also include spending time with positive people who enhance your life, and therefore reduce stress. A strong support system will cushion you from the negative goods of stress.</w:t>
      </w:r>
    </w:p>
    <w:p w:rsidR="00000000" w:rsidDel="00000000" w:rsidP="00000000" w:rsidRDefault="00000000" w:rsidRPr="00000000" w14:paraId="00000050">
      <w:pPr>
        <w:jc w:val="both"/>
        <w:rPr>
          <w:b w:val="1"/>
        </w:rPr>
      </w:pPr>
      <w:r w:rsidDel="00000000" w:rsidR="00000000" w:rsidRPr="00000000">
        <w:rPr>
          <w:b w:val="1"/>
          <w:rtl w:val="0"/>
        </w:rPr>
        <w:t xml:space="preserve"> Nurture yourself</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Still, you'll be in a better place to handle life’s stressors when they inescapably come, If you regularly make time for fun and relaxation. similar conditioning can include pursuits, satisfying social relations, yoga, and contemplation.</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 Engage in physical activity</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Studies show that physical exertion plays a crucial part in reducing and precluding the goods of stress. Make time for at least 30 twinkles of exercise, — ve times per week.</w:t>
      </w:r>
    </w:p>
    <w:p w:rsidR="00000000" w:rsidDel="00000000" w:rsidP="00000000" w:rsidRDefault="00000000" w:rsidRPr="00000000" w14:paraId="00000055">
      <w:pPr>
        <w:jc w:val="both"/>
        <w:rPr>
          <w:b w:val="1"/>
        </w:rPr>
      </w:pPr>
      <w:r w:rsidDel="00000000" w:rsidR="00000000" w:rsidRPr="00000000">
        <w:rPr>
          <w:b w:val="1"/>
          <w:rtl w:val="0"/>
        </w:rPr>
        <w:t xml:space="preserve"> Eat a healthy diet</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 Well-nourished bodies are  better prepared to cope with stress, so be mindful  of what you eat. Start your day with breakfast,  and keep your energy up and your mind clear with  balanced, nutritious meals throughout the day.</w:t>
      </w:r>
    </w:p>
    <w:p w:rsidR="00000000" w:rsidDel="00000000" w:rsidP="00000000" w:rsidRDefault="00000000" w:rsidRPr="00000000" w14:paraId="00000057">
      <w:pPr>
        <w:jc w:val="both"/>
        <w:rPr>
          <w:b w:val="1"/>
        </w:rPr>
      </w:pPr>
      <w:r w:rsidDel="00000000" w:rsidR="00000000" w:rsidRPr="00000000">
        <w:rPr>
          <w:b w:val="1"/>
          <w:rtl w:val="0"/>
        </w:rPr>
        <w:t xml:space="preserve">Get enough sleep</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Acceptable sleep energies your mind, as well as your body. Feeling tired will increase your stress because it may make you think irrationally. Exercising colorful sleep ways(e.g., waking up at the same time each morning or going to bed only when sleepy) can be veritably effective for wakefulness.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Discussion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iBs is a current habitual or intermittent gastrointestinal condition that mainly affects cases ’ quality of life and is associated with a considerable health- care and profitable burden. although a dependable biomarker for the opinion of iBs is yet to be set up, the development of symptom- grounded individual criteria have enabled exploration studies to estimate the symptoms, patho physiologic mechanisms and treatment responses of a further homogenous group of cases than previous to the development of standardized criteria, and to move down from considering iBs as a opinion of rejection. Multiple treatment options are available for iBs( 48), although utmost don't effectively ameliorate symptoms in all cases indeed within a particular subtype. Predominant symptoms, inflexibility of the iBs and patient and guru preferences generally guide operation. Given the complex and multifactorial nature of iBs, the optimal treatment is frequently personalized and patient- centered. as the pathophysiology of iBs is defined more easily with unborn exploration, more effective individual and remedial strategies will come available. a number of arising curatives with new mechanisms of action are presently being delved in iBs.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Acknowledgement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Mam Afshan Arshad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 Nazia Kanwal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557C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9A6F57"/>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557C1"/>
    <w:rPr>
      <w:rFonts w:asciiTheme="majorHAnsi" w:cstheme="majorBidi" w:eastAsiaTheme="majorEastAsia" w:hAnsiTheme="majorHAnsi"/>
      <w:b w:val="1"/>
      <w:bCs w:val="1"/>
      <w:color w:val="365f91" w:themeColor="accent1" w:themeShade="0000BF"/>
      <w:sz w:val="28"/>
      <w:szCs w:val="28"/>
    </w:rPr>
  </w:style>
  <w:style w:type="character" w:styleId="Emphasis">
    <w:name w:val="Emphasis"/>
    <w:basedOn w:val="DefaultParagraphFont"/>
    <w:uiPriority w:val="20"/>
    <w:qFormat w:val="1"/>
    <w:rsid w:val="009A6F57"/>
    <w:rPr>
      <w:i w:val="1"/>
      <w:iCs w:val="1"/>
    </w:rPr>
  </w:style>
  <w:style w:type="character" w:styleId="Heading2Char" w:customStyle="1">
    <w:name w:val="Heading 2 Char"/>
    <w:basedOn w:val="DefaultParagraphFont"/>
    <w:link w:val="Heading2"/>
    <w:uiPriority w:val="9"/>
    <w:rsid w:val="009A6F57"/>
    <w:rPr>
      <w:rFonts w:asciiTheme="majorHAnsi" w:cstheme="majorBidi" w:eastAsiaTheme="majorEastAsia" w:hAnsiTheme="majorHAnsi"/>
      <w:b w:val="1"/>
      <w:bCs w:val="1"/>
      <w:color w:val="4f81bd" w:themeColor="accent1"/>
      <w:sz w:val="26"/>
      <w:szCs w:val="26"/>
    </w:rPr>
  </w:style>
  <w:style w:type="character" w:styleId="Strong">
    <w:name w:val="Strong"/>
    <w:basedOn w:val="DefaultParagraphFont"/>
    <w:uiPriority w:val="22"/>
    <w:qFormat w:val="1"/>
    <w:rsid w:val="009A6F57"/>
    <w:rPr>
      <w:b w:val="1"/>
      <w:bCs w:val="1"/>
    </w:rPr>
  </w:style>
  <w:style w:type="character" w:styleId="SubtleEmphasis">
    <w:name w:val="Subtle Emphasis"/>
    <w:basedOn w:val="DefaultParagraphFont"/>
    <w:uiPriority w:val="19"/>
    <w:qFormat w:val="1"/>
    <w:rsid w:val="009A6F57"/>
    <w:rPr>
      <w:i w:val="1"/>
      <w:iCs w:val="1"/>
      <w:color w:val="808080" w:themeColor="text1" w:themeTint="00007F"/>
    </w:rPr>
  </w:style>
  <w:style w:type="paragraph" w:styleId="Author" w:customStyle="1">
    <w:name w:val="Author"/>
    <w:basedOn w:val="Heading2"/>
    <w:link w:val="AuthorChar"/>
    <w:qFormat w:val="1"/>
    <w:rsid w:val="000E54FE"/>
    <w:pPr>
      <w:jc w:val="center"/>
    </w:pPr>
    <w:rPr>
      <w:rFonts w:asciiTheme="majorBidi" w:hAnsiTheme="majorBidi"/>
      <w:color w:val="404040" w:themeColor="text1" w:themeTint="0000BF"/>
    </w:rPr>
  </w:style>
  <w:style w:type="paragraph" w:styleId="affiliations" w:customStyle="1">
    <w:name w:val="affiliations"/>
    <w:basedOn w:val="Normal"/>
    <w:link w:val="affiliationsChar"/>
    <w:qFormat w:val="1"/>
    <w:rsid w:val="000E54FE"/>
    <w:pPr>
      <w:pBdr>
        <w:bottom w:color="auto" w:space="1" w:sz="4" w:val="single"/>
      </w:pBdr>
      <w:jc w:val="center"/>
    </w:pPr>
    <w:rPr>
      <w:rFonts w:asciiTheme="majorBidi" w:cstheme="majorBidi" w:hAnsiTheme="majorBidi"/>
      <w:sz w:val="20"/>
      <w:szCs w:val="20"/>
    </w:rPr>
  </w:style>
  <w:style w:type="character" w:styleId="AuthorChar" w:customStyle="1">
    <w:name w:val="Author Char"/>
    <w:basedOn w:val="Heading2Char"/>
    <w:link w:val="Author"/>
    <w:rsid w:val="000E54FE"/>
    <w:rPr>
      <w:rFonts w:asciiTheme="majorBidi" w:cstheme="majorBidi" w:eastAsiaTheme="majorEastAsia" w:hAnsiTheme="majorBidi"/>
      <w:b w:val="1"/>
      <w:bCs w:val="1"/>
      <w:color w:val="404040" w:themeColor="text1" w:themeTint="0000BF"/>
      <w:sz w:val="26"/>
      <w:szCs w:val="26"/>
    </w:rPr>
  </w:style>
  <w:style w:type="paragraph" w:styleId="Authors" w:customStyle="1">
    <w:name w:val="Authors"/>
    <w:basedOn w:val="Normal"/>
    <w:link w:val="AuthorsChar"/>
    <w:qFormat w:val="1"/>
    <w:rsid w:val="000E54FE"/>
    <w:rPr>
      <w:rFonts w:asciiTheme="majorBidi" w:cstheme="majorBidi" w:hAnsiTheme="majorBidi"/>
      <w:sz w:val="20"/>
      <w:szCs w:val="20"/>
    </w:rPr>
  </w:style>
  <w:style w:type="character" w:styleId="affiliationsChar" w:customStyle="1">
    <w:name w:val="affiliations Char"/>
    <w:basedOn w:val="DefaultParagraphFont"/>
    <w:link w:val="affiliations"/>
    <w:rsid w:val="000E54FE"/>
    <w:rPr>
      <w:rFonts w:asciiTheme="majorBidi" w:cstheme="majorBidi" w:hAnsiTheme="majorBidi"/>
      <w:sz w:val="20"/>
      <w:szCs w:val="20"/>
    </w:rPr>
  </w:style>
  <w:style w:type="paragraph" w:styleId="headings" w:customStyle="1">
    <w:name w:val="headings"/>
    <w:basedOn w:val="Normal"/>
    <w:link w:val="headingsChar"/>
    <w:qFormat w:val="1"/>
    <w:rsid w:val="002B04C5"/>
    <w:pPr>
      <w:jc w:val="both"/>
    </w:pPr>
    <w:rPr>
      <w:rFonts w:asciiTheme="majorBidi" w:cstheme="majorBidi" w:hAnsiTheme="majorBidi"/>
      <w:b w:val="1"/>
      <w:bCs w:val="1"/>
      <w:sz w:val="20"/>
      <w:szCs w:val="20"/>
    </w:rPr>
  </w:style>
  <w:style w:type="character" w:styleId="AuthorsChar" w:customStyle="1">
    <w:name w:val="Authors Char"/>
    <w:basedOn w:val="DefaultParagraphFont"/>
    <w:link w:val="Authors"/>
    <w:rsid w:val="000E54FE"/>
    <w:rPr>
      <w:rFonts w:asciiTheme="majorBidi" w:cstheme="majorBidi" w:hAnsiTheme="majorBidi"/>
      <w:sz w:val="20"/>
      <w:szCs w:val="20"/>
    </w:rPr>
  </w:style>
  <w:style w:type="table" w:styleId="TableGrid">
    <w:name w:val="Table Grid"/>
    <w:basedOn w:val="TableNormal"/>
    <w:uiPriority w:val="59"/>
    <w:rsid w:val="007442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sChar" w:customStyle="1">
    <w:name w:val="headings Char"/>
    <w:basedOn w:val="DefaultParagraphFont"/>
    <w:link w:val="headings"/>
    <w:rsid w:val="002B04C5"/>
    <w:rPr>
      <w:rFonts w:asciiTheme="majorBidi" w:cstheme="majorBidi" w:hAnsiTheme="majorBidi"/>
      <w:b w:val="1"/>
      <w:bCs w:val="1"/>
      <w:sz w:val="20"/>
      <w:szCs w:val="20"/>
    </w:rPr>
  </w:style>
  <w:style w:type="paragraph" w:styleId="ABSTRACT" w:customStyle="1">
    <w:name w:val="ABSTRACT"/>
    <w:basedOn w:val="Normal"/>
    <w:link w:val="ABSTRACTChar"/>
    <w:qFormat w:val="1"/>
    <w:rsid w:val="007442E4"/>
    <w:pPr>
      <w:spacing w:after="240" w:line="240" w:lineRule="auto"/>
    </w:pPr>
    <w:rPr>
      <w:rFonts w:asciiTheme="majorBidi" w:cstheme="majorBidi" w:hAnsiTheme="majorBidi"/>
      <w:b w:val="1"/>
      <w:bCs w:val="1"/>
      <w:iCs w:val="1"/>
      <w:spacing w:val="40"/>
      <w:sz w:val="18"/>
      <w:szCs w:val="28"/>
    </w:rPr>
  </w:style>
  <w:style w:type="paragraph" w:styleId="Abstractbody" w:customStyle="1">
    <w:name w:val="Abstract body"/>
    <w:basedOn w:val="Normal"/>
    <w:link w:val="AbstractbodyChar"/>
    <w:qFormat w:val="1"/>
    <w:rsid w:val="00B675A1"/>
    <w:pPr>
      <w:spacing w:after="0" w:line="220" w:lineRule="exact"/>
      <w:jc w:val="both"/>
    </w:pPr>
    <w:rPr>
      <w:rFonts w:asciiTheme="majorBidi" w:cstheme="majorBidi" w:hAnsiTheme="majorBidi"/>
      <w:b w:val="1"/>
      <w:bCs w:val="1"/>
      <w:iCs w:val="1"/>
      <w:sz w:val="15"/>
      <w:szCs w:val="28"/>
    </w:rPr>
  </w:style>
  <w:style w:type="character" w:styleId="ABSTRACTChar" w:customStyle="1">
    <w:name w:val="ABSTRACT Char"/>
    <w:basedOn w:val="DefaultParagraphFont"/>
    <w:link w:val="ABSTRACT"/>
    <w:rsid w:val="007442E4"/>
    <w:rPr>
      <w:rFonts w:asciiTheme="majorBidi" w:cstheme="majorBidi" w:hAnsiTheme="majorBidi"/>
      <w:b w:val="1"/>
      <w:bCs w:val="1"/>
      <w:iCs w:val="1"/>
      <w:spacing w:val="40"/>
      <w:sz w:val="18"/>
      <w:szCs w:val="28"/>
    </w:rPr>
  </w:style>
  <w:style w:type="paragraph" w:styleId="ListParagraph">
    <w:name w:val="List Paragraph"/>
    <w:basedOn w:val="Normal"/>
    <w:uiPriority w:val="34"/>
    <w:qFormat w:val="1"/>
    <w:rsid w:val="005B7AFE"/>
    <w:pPr>
      <w:ind w:left="720"/>
      <w:contextualSpacing w:val="1"/>
    </w:pPr>
  </w:style>
  <w:style w:type="character" w:styleId="AbstractbodyChar" w:customStyle="1">
    <w:name w:val="Abstract body Char"/>
    <w:basedOn w:val="DefaultParagraphFont"/>
    <w:link w:val="Abstractbody"/>
    <w:rsid w:val="00B675A1"/>
    <w:rPr>
      <w:rFonts w:asciiTheme="majorBidi" w:cstheme="majorBidi" w:hAnsiTheme="majorBidi"/>
      <w:b w:val="1"/>
      <w:bCs w:val="1"/>
      <w:iCs w:val="1"/>
      <w:sz w:val="15"/>
      <w:szCs w:val="28"/>
    </w:rPr>
  </w:style>
  <w:style w:type="paragraph" w:styleId="EndNoteBibliographyTitle" w:customStyle="1">
    <w:name w:val="EndNote Bibliography Title"/>
    <w:basedOn w:val="Normal"/>
    <w:link w:val="EndNoteBibliographyTitleChar"/>
    <w:rsid w:val="005A6C6C"/>
    <w:pPr>
      <w:spacing w:after="0"/>
      <w:jc w:val="center"/>
    </w:pPr>
    <w:rPr>
      <w:rFonts w:ascii="Times New Roman" w:cs="Times New Roman" w:hAnsi="Times New Roman"/>
      <w:noProof w:val="1"/>
      <w:sz w:val="20"/>
    </w:rPr>
  </w:style>
  <w:style w:type="character" w:styleId="EndNoteBibliographyTitleChar" w:customStyle="1">
    <w:name w:val="EndNote Bibliography Title Char"/>
    <w:basedOn w:val="DefaultParagraphFont"/>
    <w:link w:val="EndNoteBibliographyTitle"/>
    <w:rsid w:val="005A6C6C"/>
    <w:rPr>
      <w:rFonts w:ascii="Times New Roman" w:cs="Times New Roman" w:hAnsi="Times New Roman"/>
      <w:noProof w:val="1"/>
      <w:sz w:val="20"/>
    </w:rPr>
  </w:style>
  <w:style w:type="paragraph" w:styleId="EndNoteBibliography" w:customStyle="1">
    <w:name w:val="EndNote Bibliography"/>
    <w:basedOn w:val="Normal"/>
    <w:link w:val="EndNoteBibliographyChar"/>
    <w:rsid w:val="005A6C6C"/>
    <w:pPr>
      <w:spacing w:line="240" w:lineRule="auto"/>
      <w:jc w:val="both"/>
    </w:pPr>
    <w:rPr>
      <w:rFonts w:ascii="Times New Roman" w:cs="Times New Roman" w:hAnsi="Times New Roman"/>
      <w:noProof w:val="1"/>
      <w:sz w:val="20"/>
    </w:rPr>
  </w:style>
  <w:style w:type="character" w:styleId="EndNoteBibliographyChar" w:customStyle="1">
    <w:name w:val="EndNote Bibliography Char"/>
    <w:basedOn w:val="DefaultParagraphFont"/>
    <w:link w:val="EndNoteBibliography"/>
    <w:rsid w:val="005A6C6C"/>
    <w:rPr>
      <w:rFonts w:ascii="Times New Roman" w:cs="Times New Roman" w:hAnsi="Times New Roman"/>
      <w:noProof w:val="1"/>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v9e+75mh9a4DCP8HWE28vXa3QA==">AMUW2mWu6BBnIUGZ8qfXiA5HvOxRMNYQekVo/kfa8QEOd8Pxqj/fhkS6Wh8L9lekDBT7hDOHR6iwaFMJIG7I7VfQ4dXw/nw9w5vykZ7Zc+jHQ/hWzT9Ld54=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2022-11-25T06:52:00Z</dcterms:created>
  <dc:creator>kashmiri</dc:creator>
</cp:coreProperties>
</file>