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6E0" w:rsidRPr="00AE76E0" w:rsidRDefault="00432987" w:rsidP="00432987">
      <w:pPr>
        <w:pBdr>
          <w:bottom w:val="single" w:sz="12" w:space="1" w:color="auto"/>
        </w:pBdr>
        <w:jc w:val="center"/>
        <w:rPr>
          <w:rStyle w:val="fontstyle01"/>
          <w:b/>
          <w:sz w:val="30"/>
        </w:rPr>
      </w:pPr>
      <w:r w:rsidRPr="00AE76E0">
        <w:rPr>
          <w:rStyle w:val="fontstyle01"/>
          <w:b/>
          <w:sz w:val="30"/>
        </w:rPr>
        <w:t>MUHAMMAD HAMAD</w:t>
      </w:r>
    </w:p>
    <w:p w:rsidR="00432987" w:rsidRPr="0077378E" w:rsidRDefault="00AE76E0" w:rsidP="00432987">
      <w:pPr>
        <w:pBdr>
          <w:bottom w:val="single" w:sz="12" w:space="1" w:color="auto"/>
        </w:pBdr>
        <w:jc w:val="center"/>
        <w:rPr>
          <w:rStyle w:val="fontstyle01"/>
          <w:b/>
          <w:sz w:val="24"/>
        </w:rPr>
      </w:pPr>
      <w:r w:rsidRPr="0077378E">
        <w:rPr>
          <w:rStyle w:val="fontstyle01"/>
          <w:b/>
          <w:sz w:val="24"/>
        </w:rPr>
        <w:t>ASSIGNMENT 2:</w:t>
      </w:r>
      <w:r w:rsidR="00432987" w:rsidRPr="0077378E">
        <w:rPr>
          <w:rStyle w:val="fontstyle01"/>
          <w:b/>
          <w:sz w:val="24"/>
        </w:rPr>
        <w:t xml:space="preserve"> </w:t>
      </w:r>
      <w:r w:rsidR="007406CC" w:rsidRPr="0077378E">
        <w:rPr>
          <w:rStyle w:val="fontstyle01"/>
          <w:b/>
          <w:sz w:val="24"/>
        </w:rPr>
        <w:t xml:space="preserve">CHAPTER 7: </w:t>
      </w:r>
      <w:r w:rsidR="00432987" w:rsidRPr="0077378E">
        <w:rPr>
          <w:rStyle w:val="fontstyle01"/>
          <w:b/>
          <w:sz w:val="24"/>
        </w:rPr>
        <w:t>ACCOUNTING</w:t>
      </w:r>
    </w:p>
    <w:p w:rsidR="003129F0" w:rsidRDefault="00CB32B1" w:rsidP="00CB32B1">
      <w:pPr>
        <w:jc w:val="both"/>
        <w:rPr>
          <w:rStyle w:val="fontstyle01"/>
        </w:rPr>
      </w:pPr>
      <w:r>
        <w:rPr>
          <w:rStyle w:val="fontstyle01"/>
        </w:rPr>
        <w:t>E</w:t>
      </w:r>
      <w:r w:rsidR="003129F0">
        <w:rPr>
          <w:rStyle w:val="fontstyle01"/>
        </w:rPr>
        <w:t>arly decision support solutions focused on the analysis of financial data. Financial</w:t>
      </w:r>
      <w:r>
        <w:rPr>
          <w:rFonts w:ascii="BerkeleyStd-Medium" w:hAnsi="BerkeleyStd-Medium"/>
          <w:color w:val="231F20"/>
        </w:rPr>
        <w:t xml:space="preserve"> </w:t>
      </w:r>
      <w:r w:rsidR="003129F0">
        <w:rPr>
          <w:rStyle w:val="fontstyle01"/>
        </w:rPr>
        <w:t>analysts are some of the most data-literate and spreadsheet-savvy individuals.</w:t>
      </w:r>
      <w:r>
        <w:rPr>
          <w:rStyle w:val="fontstyle01"/>
        </w:rPr>
        <w:t xml:space="preserve"> The DW</w:t>
      </w:r>
      <w:r w:rsidR="003129F0">
        <w:rPr>
          <w:rStyle w:val="fontstyle01"/>
        </w:rPr>
        <w:t xml:space="preserve"> system can provide a single source of usable, understandable financial information, ensuring everyone is working o</w:t>
      </w:r>
      <w:r w:rsidR="003129F0">
        <w:rPr>
          <w:rStyle w:val="fontstyle01"/>
          <w:rFonts w:ascii="Cambria Math" w:hAnsi="Cambria Math" w:cs="Cambria Math"/>
        </w:rPr>
        <w:t>ﬀ</w:t>
      </w:r>
      <w:r w:rsidR="003129F0">
        <w:rPr>
          <w:rStyle w:val="fontstyle01"/>
        </w:rPr>
        <w:t xml:space="preserve"> the same data with common</w:t>
      </w:r>
      <w:r w:rsidR="003129F0">
        <w:rPr>
          <w:rFonts w:ascii="BerkeleyStd-Medium" w:hAnsi="BerkeleyStd-Medium"/>
          <w:color w:val="231F20"/>
        </w:rPr>
        <w:br/>
      </w:r>
      <w:r w:rsidR="003129F0">
        <w:rPr>
          <w:rStyle w:val="fontstyle01"/>
        </w:rPr>
        <w:t>definitions and common tools.</w:t>
      </w:r>
    </w:p>
    <w:p w:rsidR="003129F0" w:rsidRDefault="003129F0" w:rsidP="00CB32B1">
      <w:pPr>
        <w:jc w:val="both"/>
        <w:rPr>
          <w:rStyle w:val="fontstyle01"/>
        </w:rPr>
      </w:pPr>
      <w:r>
        <w:rPr>
          <w:rStyle w:val="fontstyle01"/>
        </w:rPr>
        <w:t xml:space="preserve">The </w:t>
      </w:r>
      <w:r w:rsidRPr="00CB32B1">
        <w:rPr>
          <w:rStyle w:val="fontstyle01"/>
          <w:b/>
        </w:rPr>
        <w:t>audience for financial data is quite diverse</w:t>
      </w:r>
      <w:r>
        <w:rPr>
          <w:rStyle w:val="fontstyle01"/>
        </w:rPr>
        <w:t xml:space="preserve"> in</w:t>
      </w:r>
      <w:r w:rsidR="00CB32B1">
        <w:rPr>
          <w:rFonts w:ascii="BerkeleyStd-Medium" w:hAnsi="BerkeleyStd-Medium"/>
          <w:color w:val="231F20"/>
        </w:rPr>
        <w:t xml:space="preserve"> </w:t>
      </w:r>
      <w:r>
        <w:rPr>
          <w:rStyle w:val="fontstyle01"/>
        </w:rPr>
        <w:t>many organiza</w:t>
      </w:r>
      <w:r w:rsidR="00CB32B1">
        <w:rPr>
          <w:rStyle w:val="fontstyle01"/>
        </w:rPr>
        <w:t xml:space="preserve">tions, ranging from analysts to </w:t>
      </w:r>
      <w:r>
        <w:rPr>
          <w:rStyle w:val="fontstyle01"/>
        </w:rPr>
        <w:t>operational managers to executives.</w:t>
      </w:r>
      <w:r w:rsidR="00CB32B1">
        <w:rPr>
          <w:rFonts w:ascii="BerkeleyStd-Medium" w:hAnsi="BerkeleyStd-Medium"/>
          <w:color w:val="231F20"/>
        </w:rPr>
        <w:t xml:space="preserve"> </w:t>
      </w:r>
      <w:r>
        <w:rPr>
          <w:rStyle w:val="fontstyle01"/>
        </w:rPr>
        <w:t>For each group, you need to determine which subset of corporate financial data is</w:t>
      </w:r>
      <w:r w:rsidR="00CB32B1">
        <w:rPr>
          <w:rFonts w:ascii="BerkeleyStd-Medium" w:hAnsi="BerkeleyStd-Medium"/>
          <w:color w:val="231F20"/>
        </w:rPr>
        <w:t xml:space="preserve"> </w:t>
      </w:r>
      <w:r>
        <w:rPr>
          <w:rStyle w:val="fontstyle01"/>
        </w:rPr>
        <w:t xml:space="preserve">needed, in which format, and with what frequency. </w:t>
      </w:r>
      <w:r w:rsidRPr="00CB32B1">
        <w:rPr>
          <w:rStyle w:val="fontstyle01"/>
          <w:b/>
        </w:rPr>
        <w:t>Analysts and managers</w:t>
      </w:r>
      <w:r>
        <w:rPr>
          <w:rStyle w:val="fontstyle01"/>
        </w:rPr>
        <w:t xml:space="preserve"> want to</w:t>
      </w:r>
      <w:r w:rsidR="00CB32B1">
        <w:rPr>
          <w:rFonts w:ascii="BerkeleyStd-Medium" w:hAnsi="BerkeleyStd-Medium"/>
          <w:color w:val="231F20"/>
        </w:rPr>
        <w:t xml:space="preserve"> </w:t>
      </w:r>
      <w:r>
        <w:rPr>
          <w:rStyle w:val="fontstyle01"/>
        </w:rPr>
        <w:t>view information at a high level and then drill to the journal entries for more detail.</w:t>
      </w:r>
      <w:r w:rsidR="00CB32B1">
        <w:rPr>
          <w:rFonts w:ascii="BerkeleyStd-Medium" w:hAnsi="BerkeleyStd-Medium"/>
          <w:color w:val="231F20"/>
        </w:rPr>
        <w:t xml:space="preserve"> </w:t>
      </w:r>
      <w:r w:rsidRPr="00CB32B1">
        <w:rPr>
          <w:rStyle w:val="fontstyle01"/>
          <w:b/>
        </w:rPr>
        <w:t>For executives</w:t>
      </w:r>
      <w:r>
        <w:rPr>
          <w:rStyle w:val="fontstyle01"/>
        </w:rPr>
        <w:t>, financial data from the DW/BI syste</w:t>
      </w:r>
      <w:r w:rsidR="00FA7EA9">
        <w:rPr>
          <w:rStyle w:val="fontstyle01"/>
        </w:rPr>
        <w:t xml:space="preserve">m often feeds their dashboard </w:t>
      </w:r>
      <w:r>
        <w:rPr>
          <w:rStyle w:val="fontstyle01"/>
        </w:rPr>
        <w:t>scorecard of key performance indicators. Armed with direct access to information,</w:t>
      </w:r>
      <w:r w:rsidR="00837CF4">
        <w:rPr>
          <w:rFonts w:ascii="BerkeleyStd-Medium" w:hAnsi="BerkeleyStd-Medium"/>
          <w:color w:val="231F20"/>
        </w:rPr>
        <w:t xml:space="preserve"> </w:t>
      </w:r>
      <w:r w:rsidRPr="00837CF4">
        <w:rPr>
          <w:rStyle w:val="fontstyle01"/>
          <w:b/>
        </w:rPr>
        <w:t>managers</w:t>
      </w:r>
      <w:r>
        <w:rPr>
          <w:rStyle w:val="fontstyle01"/>
        </w:rPr>
        <w:t xml:space="preserve"> can obtain answers to questions more readily than when forced to work</w:t>
      </w:r>
      <w:r w:rsidR="00837CF4">
        <w:rPr>
          <w:rFonts w:ascii="BerkeleyStd-Medium" w:hAnsi="BerkeleyStd-Medium"/>
          <w:color w:val="231F20"/>
        </w:rPr>
        <w:t xml:space="preserve"> </w:t>
      </w:r>
      <w:r>
        <w:rPr>
          <w:rStyle w:val="fontstyle01"/>
        </w:rPr>
        <w:t xml:space="preserve">through a middleman. Meanwhile, </w:t>
      </w:r>
      <w:r w:rsidRPr="00837CF4">
        <w:rPr>
          <w:rStyle w:val="fontstyle01"/>
          <w:b/>
        </w:rPr>
        <w:t>finance</w:t>
      </w:r>
      <w:r>
        <w:rPr>
          <w:rStyle w:val="fontstyle01"/>
        </w:rPr>
        <w:t xml:space="preserve"> can turn their attention to information</w:t>
      </w:r>
      <w:r>
        <w:rPr>
          <w:rFonts w:ascii="BerkeleyStd-Medium" w:hAnsi="BerkeleyStd-Medium"/>
          <w:color w:val="231F20"/>
        </w:rPr>
        <w:br/>
      </w:r>
      <w:r>
        <w:rPr>
          <w:rStyle w:val="fontstyle01"/>
        </w:rPr>
        <w:t>dissemination and value-added analysis, rather than focusing on report creation</w:t>
      </w:r>
    </w:p>
    <w:p w:rsidR="003129F0" w:rsidRDefault="003129F0" w:rsidP="00CB32B1">
      <w:pPr>
        <w:jc w:val="both"/>
        <w:rPr>
          <w:rStyle w:val="fontstyle01"/>
        </w:rPr>
      </w:pPr>
      <w:r>
        <w:rPr>
          <w:rStyle w:val="fontstyle01"/>
        </w:rPr>
        <w:t>Improved access to accounting data allows you to focus on opportunities to better</w:t>
      </w:r>
      <w:r w:rsidR="00837CF4">
        <w:rPr>
          <w:rFonts w:ascii="BerkeleyStd-Medium" w:hAnsi="BerkeleyStd-Medium"/>
          <w:color w:val="231F20"/>
        </w:rPr>
        <w:t xml:space="preserve"> </w:t>
      </w:r>
      <w:r>
        <w:rPr>
          <w:rStyle w:val="fontstyle01"/>
        </w:rPr>
        <w:t>manage risk, streamline operations, and identify potential cost savings.</w:t>
      </w:r>
    </w:p>
    <w:p w:rsidR="00126898" w:rsidRPr="003775D7" w:rsidRDefault="00126898" w:rsidP="00CB32B1">
      <w:pPr>
        <w:jc w:val="both"/>
        <w:rPr>
          <w:rFonts w:ascii="StoneSansStd-Medium" w:hAnsi="StoneSansStd-Medium"/>
          <w:color w:val="808285"/>
          <w:sz w:val="32"/>
          <w:szCs w:val="36"/>
        </w:rPr>
      </w:pPr>
      <w:r w:rsidRPr="003775D7">
        <w:rPr>
          <w:rFonts w:ascii="StoneSansStd-Medium" w:hAnsi="StoneSansStd-Medium"/>
          <w:color w:val="808285"/>
          <w:sz w:val="32"/>
          <w:szCs w:val="36"/>
        </w:rPr>
        <w:t xml:space="preserve">General Ledger Data </w:t>
      </w:r>
    </w:p>
    <w:p w:rsidR="003129F0" w:rsidRDefault="003129F0" w:rsidP="00CB32B1">
      <w:pPr>
        <w:jc w:val="both"/>
        <w:rPr>
          <w:rFonts w:ascii="BerkeleyStd-Medium" w:hAnsi="BerkeleyStd-Medium"/>
          <w:color w:val="231F20"/>
        </w:rPr>
      </w:pPr>
      <w:r w:rsidRPr="003129F0">
        <w:rPr>
          <w:rFonts w:ascii="BerkeleyStd-Book" w:hAnsi="BerkeleyStd-Book"/>
          <w:color w:val="231F20"/>
        </w:rPr>
        <w:t xml:space="preserve">The </w:t>
      </w:r>
      <w:r w:rsidRPr="003129F0">
        <w:rPr>
          <w:rFonts w:ascii="BerkeleyStd-Italic" w:hAnsi="BerkeleyStd-Italic"/>
          <w:i/>
          <w:iCs/>
          <w:color w:val="231F20"/>
        </w:rPr>
        <w:t xml:space="preserve">general ledger </w:t>
      </w:r>
      <w:r w:rsidRPr="003129F0">
        <w:rPr>
          <w:rFonts w:ascii="BerkeleyStd-Medium" w:hAnsi="BerkeleyStd-Medium"/>
          <w:color w:val="231F20"/>
        </w:rPr>
        <w:t>(</w:t>
      </w:r>
      <w:r w:rsidRPr="003129F0">
        <w:rPr>
          <w:rFonts w:ascii="BerkeleyStd-Italic" w:hAnsi="BerkeleyStd-Italic"/>
          <w:i/>
          <w:iCs/>
          <w:color w:val="231F20"/>
        </w:rPr>
        <w:t>G/L</w:t>
      </w:r>
      <w:r w:rsidRPr="003129F0">
        <w:rPr>
          <w:rFonts w:ascii="BerkeleyStd-Medium" w:hAnsi="BerkeleyStd-Medium"/>
          <w:color w:val="231F20"/>
        </w:rPr>
        <w:t>) is a core foundation financia</w:t>
      </w:r>
      <w:r w:rsidR="00585A35">
        <w:rPr>
          <w:rFonts w:ascii="BerkeleyStd-Medium" w:hAnsi="BerkeleyStd-Medium"/>
          <w:color w:val="231F20"/>
        </w:rPr>
        <w:t xml:space="preserve">l system that ties together the </w:t>
      </w:r>
      <w:r w:rsidRPr="003129F0">
        <w:rPr>
          <w:rFonts w:ascii="BerkeleyStd-Medium" w:hAnsi="BerkeleyStd-Medium"/>
          <w:color w:val="231F20"/>
        </w:rPr>
        <w:t xml:space="preserve">detailed information collected by </w:t>
      </w:r>
      <w:r w:rsidR="00585A35" w:rsidRPr="003129F0">
        <w:rPr>
          <w:rFonts w:ascii="BerkeleyStd-Medium" w:hAnsi="BerkeleyStd-Medium"/>
          <w:color w:val="231F20"/>
        </w:rPr>
        <w:t>sub ledgers</w:t>
      </w:r>
      <w:r w:rsidRPr="003129F0">
        <w:rPr>
          <w:rFonts w:ascii="BerkeleyStd-Medium" w:hAnsi="BerkeleyStd-Medium"/>
          <w:color w:val="231F20"/>
        </w:rPr>
        <w:t xml:space="preserve"> or s</w:t>
      </w:r>
      <w:r w:rsidR="00585A35">
        <w:rPr>
          <w:rFonts w:ascii="BerkeleyStd-Medium" w:hAnsi="BerkeleyStd-Medium"/>
          <w:color w:val="231F20"/>
        </w:rPr>
        <w:t xml:space="preserve">eparate systems for purchasing, </w:t>
      </w:r>
      <w:r w:rsidRPr="003129F0">
        <w:rPr>
          <w:rFonts w:ascii="BerkeleyStd-Medium" w:hAnsi="BerkeleyStd-Medium"/>
          <w:color w:val="231F20"/>
        </w:rPr>
        <w:t>payables (what you owe to others), and receivables (what others owe you).</w:t>
      </w:r>
    </w:p>
    <w:p w:rsidR="006D5B07" w:rsidRPr="003775D7" w:rsidRDefault="006D5B07" w:rsidP="00533338">
      <w:pPr>
        <w:tabs>
          <w:tab w:val="left" w:pos="3750"/>
        </w:tabs>
        <w:jc w:val="both"/>
        <w:rPr>
          <w:rFonts w:ascii="StoneSansStd-Medium" w:hAnsi="StoneSansStd-Medium"/>
          <w:color w:val="808080" w:themeColor="background1" w:themeShade="80"/>
          <w:sz w:val="32"/>
          <w:szCs w:val="36"/>
        </w:rPr>
      </w:pPr>
      <w:r w:rsidRPr="003775D7">
        <w:rPr>
          <w:rFonts w:ascii="StoneSansStd-Medium" w:hAnsi="StoneSansStd-Medium"/>
          <w:color w:val="808080" w:themeColor="background1" w:themeShade="80"/>
          <w:sz w:val="32"/>
          <w:szCs w:val="36"/>
        </w:rPr>
        <w:t>Chart of Accounts</w:t>
      </w:r>
      <w:r w:rsidR="00533338">
        <w:rPr>
          <w:rFonts w:ascii="StoneSansStd-Medium" w:hAnsi="StoneSansStd-Medium"/>
          <w:color w:val="808080" w:themeColor="background1" w:themeShade="80"/>
          <w:sz w:val="32"/>
          <w:szCs w:val="36"/>
        </w:rPr>
        <w:tab/>
      </w:r>
    </w:p>
    <w:p w:rsidR="003129F0" w:rsidRDefault="003129F0" w:rsidP="00CB32B1">
      <w:pPr>
        <w:jc w:val="both"/>
        <w:rPr>
          <w:rStyle w:val="fontstyle01"/>
        </w:rPr>
      </w:pPr>
      <w:r w:rsidRPr="003129F0">
        <w:rPr>
          <w:rFonts w:ascii="BerkeleyStd-Medium" w:hAnsi="BerkeleyStd-Medium"/>
          <w:color w:val="231F20"/>
        </w:rPr>
        <w:t>The cornerstone of the general ledger is the chart of accounts.</w:t>
      </w:r>
      <w:r w:rsidRPr="003129F0">
        <w:t xml:space="preserve"> </w:t>
      </w:r>
      <w:r w:rsidRPr="003129F0">
        <w:rPr>
          <w:rStyle w:val="fontstyle01"/>
        </w:rPr>
        <w:t>The chart of accounts is a listing of all accounts used in the general ledger of an organization. The chart is used by the accounting software to aggregate information into an entity's financial statements. The chart is usually sorted in order by account number, to ease the task of locating specific accounts</w:t>
      </w:r>
      <w:r w:rsidR="009B154A">
        <w:rPr>
          <w:rStyle w:val="fontstyle01"/>
        </w:rPr>
        <w:t>.</w:t>
      </w:r>
      <w:bookmarkStart w:id="0" w:name="_GoBack"/>
      <w:bookmarkEnd w:id="0"/>
    </w:p>
    <w:p w:rsidR="003129F0" w:rsidRDefault="003129F0" w:rsidP="00CB32B1">
      <w:pPr>
        <w:jc w:val="both"/>
        <w:rPr>
          <w:rStyle w:val="fontstyle01"/>
        </w:rPr>
      </w:pPr>
      <w:r>
        <w:rPr>
          <w:rStyle w:val="fontstyle01"/>
        </w:rPr>
        <w:t>If you are tasked with building a comprehensive general ledger spanning multiple</w:t>
      </w:r>
      <w:r w:rsidR="00794747">
        <w:rPr>
          <w:rFonts w:ascii="BerkeleyStd-Medium" w:hAnsi="BerkeleyStd-Medium"/>
          <w:color w:val="231F20"/>
        </w:rPr>
        <w:t xml:space="preserve"> </w:t>
      </w:r>
      <w:r>
        <w:rPr>
          <w:rStyle w:val="fontstyle01"/>
        </w:rPr>
        <w:t>organizations in the DW/BI system, you should try to conform the chart of accounts</w:t>
      </w:r>
      <w:r w:rsidR="00794747">
        <w:rPr>
          <w:rFonts w:ascii="BerkeleyStd-Medium" w:hAnsi="BerkeleyStd-Medium"/>
          <w:color w:val="231F20"/>
        </w:rPr>
        <w:t xml:space="preserve"> </w:t>
      </w:r>
      <w:r>
        <w:rPr>
          <w:rStyle w:val="fontstyle01"/>
        </w:rPr>
        <w:t>so the account types mean the same thing across organizations. At the data level,</w:t>
      </w:r>
      <w:r w:rsidR="00794747">
        <w:rPr>
          <w:rFonts w:ascii="BerkeleyStd-Medium" w:hAnsi="BerkeleyStd-Medium"/>
          <w:color w:val="231F20"/>
        </w:rPr>
        <w:t xml:space="preserve"> </w:t>
      </w:r>
      <w:r>
        <w:rPr>
          <w:rStyle w:val="fontstyle01"/>
        </w:rPr>
        <w:t>this means the master conformed account dimension contains carefully defined</w:t>
      </w:r>
      <w:r w:rsidR="00794747">
        <w:rPr>
          <w:rFonts w:ascii="BerkeleyStd-Medium" w:hAnsi="BerkeleyStd-Medium"/>
          <w:color w:val="231F20"/>
        </w:rPr>
        <w:t xml:space="preserve"> </w:t>
      </w:r>
      <w:r>
        <w:rPr>
          <w:rStyle w:val="fontstyle01"/>
        </w:rPr>
        <w:t xml:space="preserve">account names. </w:t>
      </w:r>
    </w:p>
    <w:p w:rsidR="003129F0" w:rsidRPr="00794747" w:rsidRDefault="003129F0" w:rsidP="00CB32B1">
      <w:pPr>
        <w:jc w:val="both"/>
        <w:rPr>
          <w:rFonts w:ascii="StoneSansStd-Medium" w:hAnsi="StoneSansStd-Medium"/>
          <w:color w:val="808080" w:themeColor="background1" w:themeShade="80"/>
          <w:sz w:val="32"/>
          <w:szCs w:val="32"/>
        </w:rPr>
      </w:pPr>
      <w:r w:rsidRPr="00794747">
        <w:rPr>
          <w:rFonts w:ascii="StoneSansStd-Medium" w:hAnsi="StoneSansStd-Medium"/>
          <w:color w:val="808080" w:themeColor="background1" w:themeShade="80"/>
          <w:sz w:val="32"/>
          <w:szCs w:val="32"/>
        </w:rPr>
        <w:t>Period Close</w:t>
      </w:r>
    </w:p>
    <w:p w:rsidR="003129F0" w:rsidRDefault="003129F0" w:rsidP="00CB32B1">
      <w:pPr>
        <w:jc w:val="both"/>
        <w:rPr>
          <w:rStyle w:val="fontstyle01"/>
        </w:rPr>
      </w:pPr>
      <w:r>
        <w:rPr>
          <w:rStyle w:val="fontstyle01"/>
        </w:rPr>
        <w:t>At the end of each accounting period, the finance organization is responsible for</w:t>
      </w:r>
      <w:r w:rsidR="009F3C88">
        <w:rPr>
          <w:rFonts w:ascii="BerkeleyStd-Medium" w:hAnsi="BerkeleyStd-Medium"/>
          <w:color w:val="231F20"/>
        </w:rPr>
        <w:t xml:space="preserve"> </w:t>
      </w:r>
      <w:r>
        <w:rPr>
          <w:rStyle w:val="fontstyle01"/>
        </w:rPr>
        <w:t xml:space="preserve">finalizing the financial results so that they can be </w:t>
      </w:r>
      <w:r w:rsidR="009F3C88">
        <w:rPr>
          <w:rStyle w:val="fontstyle01"/>
        </w:rPr>
        <w:t>officially</w:t>
      </w:r>
      <w:r>
        <w:rPr>
          <w:rStyle w:val="fontstyle01"/>
        </w:rPr>
        <w:t xml:space="preserve"> reported internally</w:t>
      </w:r>
      <w:r w:rsidR="009F3C88">
        <w:rPr>
          <w:rStyle w:val="fontstyle01"/>
        </w:rPr>
        <w:t xml:space="preserve"> </w:t>
      </w:r>
      <w:r>
        <w:rPr>
          <w:rStyle w:val="fontstyle01"/>
        </w:rPr>
        <w:t>and externally.</w:t>
      </w:r>
      <w:r w:rsidR="00CB1D21">
        <w:rPr>
          <w:rStyle w:val="fontstyle01"/>
        </w:rPr>
        <w:t xml:space="preserve"> </w:t>
      </w:r>
      <w:r>
        <w:rPr>
          <w:rStyle w:val="fontstyle01"/>
        </w:rPr>
        <w:t>However, in many organizations, general ledger trial balances are loaded</w:t>
      </w:r>
      <w:r w:rsidR="002E220F">
        <w:rPr>
          <w:rFonts w:ascii="BerkeleyStd-Medium" w:hAnsi="BerkeleyStd-Medium"/>
          <w:color w:val="231F20"/>
        </w:rPr>
        <w:t xml:space="preserve"> </w:t>
      </w:r>
      <w:r>
        <w:rPr>
          <w:rStyle w:val="fontstyle01"/>
        </w:rPr>
        <w:t>into the DW/BI system leveraging the capabilities of the DW/BI presentation area</w:t>
      </w:r>
      <w:r w:rsidR="002E220F">
        <w:rPr>
          <w:rStyle w:val="fontstyle01"/>
        </w:rPr>
        <w:t xml:space="preserve"> </w:t>
      </w:r>
      <w:r>
        <w:rPr>
          <w:rStyle w:val="fontstyle01"/>
        </w:rPr>
        <w:t>to find the needles in the general ledger haystack, and then making the appropriate</w:t>
      </w:r>
      <w:r w:rsidR="002E220F">
        <w:rPr>
          <w:rStyle w:val="fontstyle01"/>
        </w:rPr>
        <w:t xml:space="preserve"> </w:t>
      </w:r>
      <w:r>
        <w:rPr>
          <w:rStyle w:val="fontstyle01"/>
        </w:rPr>
        <w:t>operational adjustments before the period ends</w:t>
      </w:r>
    </w:p>
    <w:p w:rsidR="000703E2" w:rsidRDefault="000703E2" w:rsidP="000703E2">
      <w:pPr>
        <w:jc w:val="both"/>
        <w:rPr>
          <w:rStyle w:val="fontstyle01"/>
        </w:rPr>
      </w:pPr>
      <w:r>
        <w:rPr>
          <w:rStyle w:val="fontstyle01"/>
        </w:rPr>
        <w:t>Although the balance doesn’t represent G/L activity, we include the fact in the design because</w:t>
      </w:r>
      <w:r>
        <w:rPr>
          <w:rFonts w:ascii="BerkeleyStd-Medium" w:hAnsi="BerkeleyStd-Medium"/>
          <w:color w:val="231F20"/>
        </w:rPr>
        <w:t xml:space="preserve"> </w:t>
      </w:r>
      <w:r>
        <w:rPr>
          <w:rStyle w:val="fontstyle01"/>
        </w:rPr>
        <w:t>it is so useful. Otherwise, you would need to go back to the beginning of time to</w:t>
      </w:r>
      <w:r>
        <w:rPr>
          <w:rFonts w:ascii="BerkeleyStd-Medium" w:hAnsi="BerkeleyStd-Medium"/>
          <w:color w:val="231F20"/>
        </w:rPr>
        <w:t xml:space="preserve"> </w:t>
      </w:r>
      <w:r>
        <w:rPr>
          <w:rStyle w:val="fontstyle01"/>
        </w:rPr>
        <w:t>calculate an accurate end-of-period balance.</w:t>
      </w:r>
    </w:p>
    <w:p w:rsidR="000703E2" w:rsidRDefault="000703E2" w:rsidP="00CB32B1">
      <w:pPr>
        <w:jc w:val="both"/>
        <w:rPr>
          <w:rStyle w:val="fontstyle01"/>
        </w:rPr>
      </w:pPr>
    </w:p>
    <w:p w:rsidR="003129F0" w:rsidRDefault="003129F0" w:rsidP="00CB32B1">
      <w:pPr>
        <w:jc w:val="both"/>
        <w:rPr>
          <w:rStyle w:val="fontstyle01"/>
        </w:rPr>
      </w:pPr>
      <w:r>
        <w:rPr>
          <w:noProof/>
        </w:rPr>
        <w:drawing>
          <wp:inline distT="0" distB="0" distL="0" distR="0" wp14:anchorId="60DEE74F" wp14:editId="54392B40">
            <wp:extent cx="594360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9415"/>
                    </a:xfrm>
                    <a:prstGeom prst="rect">
                      <a:avLst/>
                    </a:prstGeom>
                  </pic:spPr>
                </pic:pic>
              </a:graphicData>
            </a:graphic>
          </wp:inline>
        </w:drawing>
      </w:r>
    </w:p>
    <w:p w:rsidR="003129F0" w:rsidRPr="00284C23" w:rsidRDefault="003129F0" w:rsidP="00CB32B1">
      <w:pPr>
        <w:jc w:val="both"/>
        <w:rPr>
          <w:rFonts w:ascii="StoneSansStd-Medium" w:hAnsi="StoneSansStd-Medium"/>
          <w:color w:val="808080" w:themeColor="background1" w:themeShade="80"/>
          <w:sz w:val="32"/>
          <w:szCs w:val="32"/>
        </w:rPr>
      </w:pPr>
      <w:r w:rsidRPr="00284C23">
        <w:rPr>
          <w:rFonts w:ascii="StoneSansStd-Medium" w:hAnsi="StoneSansStd-Medium"/>
          <w:color w:val="808080" w:themeColor="background1" w:themeShade="80"/>
          <w:sz w:val="32"/>
          <w:szCs w:val="32"/>
        </w:rPr>
        <w:t>Year-to-Date Facts</w:t>
      </w:r>
    </w:p>
    <w:p w:rsidR="003129F0" w:rsidRDefault="003129F0" w:rsidP="00CB32B1">
      <w:pPr>
        <w:jc w:val="both"/>
        <w:rPr>
          <w:rStyle w:val="fontstyle01"/>
        </w:rPr>
      </w:pPr>
      <w:r>
        <w:rPr>
          <w:rStyle w:val="fontstyle01"/>
        </w:rPr>
        <w:t>Designers are often tempted to store “to-date” columns in fact tables. They think</w:t>
      </w:r>
      <w:r w:rsidR="00284C23">
        <w:rPr>
          <w:rFonts w:ascii="BerkeleyStd-Medium" w:hAnsi="BerkeleyStd-Medium"/>
          <w:color w:val="231F20"/>
        </w:rPr>
        <w:t xml:space="preserve"> </w:t>
      </w:r>
      <w:r>
        <w:rPr>
          <w:rStyle w:val="fontstyle01"/>
        </w:rPr>
        <w:t>it would be helpful to store quarter-to-date or year-to-date additive totals on each</w:t>
      </w:r>
      <w:r w:rsidR="00284C23">
        <w:rPr>
          <w:rFonts w:ascii="BerkeleyStd-Medium" w:hAnsi="BerkeleyStd-Medium"/>
          <w:color w:val="231F20"/>
        </w:rPr>
        <w:t xml:space="preserve"> </w:t>
      </w:r>
      <w:r>
        <w:rPr>
          <w:rStyle w:val="fontstyle01"/>
        </w:rPr>
        <w:t>fact row so they don’t need to calculate them.</w:t>
      </w:r>
      <w:r w:rsidR="00284C23">
        <w:rPr>
          <w:rStyle w:val="fontstyle01"/>
        </w:rPr>
        <w:t xml:space="preserve"> </w:t>
      </w:r>
      <w:r>
        <w:rPr>
          <w:rStyle w:val="fontstyle01"/>
        </w:rPr>
        <w:t>When fact rows are queried and summarized in arbitrary ways, these</w:t>
      </w:r>
      <w:r w:rsidR="00284C23">
        <w:rPr>
          <w:rFonts w:ascii="BerkeleyStd-Medium" w:hAnsi="BerkeleyStd-Medium"/>
          <w:color w:val="231F20"/>
        </w:rPr>
        <w:t xml:space="preserve"> </w:t>
      </w:r>
      <w:r>
        <w:rPr>
          <w:rStyle w:val="fontstyle01"/>
        </w:rPr>
        <w:t>untrue-to-the-grain facts produce nonsensical, overstated results. They should be</w:t>
      </w:r>
      <w:r w:rsidR="00284C23">
        <w:rPr>
          <w:rFonts w:ascii="BerkeleyStd-Medium" w:hAnsi="BerkeleyStd-Medium"/>
          <w:color w:val="231F20"/>
        </w:rPr>
        <w:t xml:space="preserve"> </w:t>
      </w:r>
      <w:r>
        <w:rPr>
          <w:rStyle w:val="fontstyle01"/>
        </w:rPr>
        <w:t>left out of the relational schema design and calculated in the BI reporting application</w:t>
      </w:r>
      <w:r w:rsidR="00284C23">
        <w:rPr>
          <w:rFonts w:ascii="BerkeleyStd-Medium" w:hAnsi="BerkeleyStd-Medium"/>
          <w:color w:val="231F20"/>
        </w:rPr>
        <w:t xml:space="preserve"> </w:t>
      </w:r>
      <w:r>
        <w:rPr>
          <w:rStyle w:val="fontstyle01"/>
        </w:rPr>
        <w:t>instead</w:t>
      </w:r>
    </w:p>
    <w:p w:rsidR="00CA0466" w:rsidRPr="00CA0466" w:rsidRDefault="003129F0" w:rsidP="00CB32B1">
      <w:pPr>
        <w:jc w:val="both"/>
        <w:rPr>
          <w:rFonts w:ascii="BerkeleyStd-Medium" w:hAnsi="BerkeleyStd-Medium"/>
          <w:color w:val="808080" w:themeColor="background1" w:themeShade="80"/>
          <w:sz w:val="32"/>
          <w:szCs w:val="32"/>
        </w:rPr>
      </w:pPr>
      <w:r w:rsidRPr="00CA0466">
        <w:rPr>
          <w:rFonts w:ascii="StoneSansStd-Medium" w:hAnsi="StoneSansStd-Medium"/>
          <w:color w:val="808080" w:themeColor="background1" w:themeShade="80"/>
          <w:sz w:val="32"/>
          <w:szCs w:val="32"/>
        </w:rPr>
        <w:t>Multiple Currencies Revisited</w:t>
      </w:r>
      <w:r w:rsidR="00CA0466" w:rsidRPr="00CA0466">
        <w:rPr>
          <w:rFonts w:ascii="BerkeleyStd-Medium" w:hAnsi="BerkeleyStd-Medium"/>
          <w:color w:val="808080" w:themeColor="background1" w:themeShade="80"/>
          <w:sz w:val="32"/>
          <w:szCs w:val="32"/>
        </w:rPr>
        <w:t xml:space="preserve"> </w:t>
      </w:r>
    </w:p>
    <w:p w:rsidR="00052C65" w:rsidRDefault="003129F0" w:rsidP="00CB32B1">
      <w:pPr>
        <w:jc w:val="both"/>
        <w:rPr>
          <w:rStyle w:val="fontstyle01"/>
        </w:rPr>
      </w:pPr>
      <w:r>
        <w:rPr>
          <w:rStyle w:val="fontstyle01"/>
        </w:rPr>
        <w:t>With financial data, you typically want to represent the facts both in terms of the</w:t>
      </w:r>
      <w:r w:rsidR="00D0186C">
        <w:rPr>
          <w:rFonts w:ascii="BerkeleyStd-Medium" w:hAnsi="BerkeleyStd-Medium"/>
          <w:color w:val="231F20"/>
        </w:rPr>
        <w:t xml:space="preserve"> </w:t>
      </w:r>
      <w:r>
        <w:rPr>
          <w:rStyle w:val="fontstyle01"/>
        </w:rPr>
        <w:t>local currency, as well as a standardized corporate currency. In this case, each</w:t>
      </w:r>
      <w:r w:rsidR="00D0186C">
        <w:rPr>
          <w:rFonts w:ascii="BerkeleyStd-Medium" w:hAnsi="BerkeleyStd-Medium"/>
          <w:color w:val="231F20"/>
        </w:rPr>
        <w:t xml:space="preserve"> </w:t>
      </w:r>
      <w:r>
        <w:rPr>
          <w:rStyle w:val="fontstyle01"/>
        </w:rPr>
        <w:t>fact table row would represent one set of fact amounts expressed in local currency</w:t>
      </w:r>
      <w:r w:rsidR="00D0186C">
        <w:rPr>
          <w:rFonts w:ascii="BerkeleyStd-Medium" w:hAnsi="BerkeleyStd-Medium"/>
          <w:color w:val="231F20"/>
        </w:rPr>
        <w:t xml:space="preserve"> </w:t>
      </w:r>
      <w:r>
        <w:rPr>
          <w:rStyle w:val="fontstyle01"/>
        </w:rPr>
        <w:t>and a separate set of fact amounts on the same row expressed in the equivalent</w:t>
      </w:r>
      <w:r>
        <w:rPr>
          <w:rFonts w:ascii="BerkeleyStd-Medium" w:hAnsi="BerkeleyStd-Medium"/>
          <w:color w:val="231F20"/>
        </w:rPr>
        <w:br/>
      </w:r>
      <w:r>
        <w:rPr>
          <w:rStyle w:val="fontstyle01"/>
        </w:rPr>
        <w:t>corporate currency. Doing so allows you to easily summarize the facts in a common corporate currency without jumping through hoops in the BI applications.</w:t>
      </w:r>
    </w:p>
    <w:p w:rsidR="00D0186C" w:rsidRDefault="00192E45" w:rsidP="00D0186C">
      <w:pPr>
        <w:jc w:val="both"/>
        <w:rPr>
          <w:rFonts w:ascii="StoneSansStd-Medium" w:hAnsi="StoneSansStd-Medium"/>
          <w:color w:val="808080" w:themeColor="background1" w:themeShade="80"/>
          <w:sz w:val="32"/>
          <w:szCs w:val="32"/>
        </w:rPr>
      </w:pPr>
      <w:r w:rsidRPr="00D0186C">
        <w:rPr>
          <w:rFonts w:ascii="StoneSansStd-Medium" w:hAnsi="StoneSansStd-Medium"/>
          <w:color w:val="808080" w:themeColor="background1" w:themeShade="80"/>
          <w:sz w:val="32"/>
          <w:szCs w:val="32"/>
        </w:rPr>
        <w:t>General Ledger Journal Transactions</w:t>
      </w:r>
    </w:p>
    <w:p w:rsidR="003129F0" w:rsidRDefault="00D0186C" w:rsidP="00D0186C">
      <w:pPr>
        <w:jc w:val="both"/>
        <w:rPr>
          <w:rFonts w:ascii="BerkeleyStd-Medium" w:hAnsi="BerkeleyStd-Medium"/>
          <w:color w:val="231F20"/>
        </w:rPr>
      </w:pPr>
      <w:r>
        <w:rPr>
          <w:rFonts w:ascii="BerkeleyStd-Medium" w:hAnsi="BerkeleyStd-Medium"/>
          <w:color w:val="231F20"/>
        </w:rPr>
        <w:t>M</w:t>
      </w:r>
      <w:r w:rsidR="001F0E38">
        <w:rPr>
          <w:rFonts w:ascii="BerkeleyStd-Medium" w:hAnsi="BerkeleyStd-Medium"/>
          <w:color w:val="231F20"/>
        </w:rPr>
        <w:t xml:space="preserve">any </w:t>
      </w:r>
      <w:r w:rsidR="00192E45" w:rsidRPr="00192E45">
        <w:rPr>
          <w:rFonts w:ascii="BerkeleyStd-Medium" w:hAnsi="BerkeleyStd-Medium"/>
          <w:color w:val="231F20"/>
        </w:rPr>
        <w:t>users need to dive into the underlying details. If an anomaly is identified at the</w:t>
      </w:r>
      <w:r w:rsidR="001F0E38">
        <w:t xml:space="preserve"> </w:t>
      </w:r>
      <w:r w:rsidR="00192E45" w:rsidRPr="00192E45">
        <w:rPr>
          <w:rFonts w:ascii="BerkeleyStd-Medium" w:hAnsi="BerkeleyStd-Medium"/>
          <w:color w:val="231F20"/>
        </w:rPr>
        <w:t>summary level, analysts want to look at the detail</w:t>
      </w:r>
      <w:r w:rsidR="001F0E38">
        <w:rPr>
          <w:rFonts w:ascii="BerkeleyStd-Medium" w:hAnsi="BerkeleyStd-Medium"/>
          <w:color w:val="231F20"/>
        </w:rPr>
        <w:t xml:space="preserve">ed transactions to sort through </w:t>
      </w:r>
      <w:r w:rsidR="00192E45" w:rsidRPr="00192E45">
        <w:rPr>
          <w:rFonts w:ascii="BerkeleyStd-Medium" w:hAnsi="BerkeleyStd-Medium"/>
          <w:color w:val="231F20"/>
        </w:rPr>
        <w:t>the issue. Others need access to the details because the summarized monthly balances may obscure large disparities at the granular transaction level. Again,</w:t>
      </w:r>
      <w:r w:rsidR="001F0E38">
        <w:rPr>
          <w:rFonts w:ascii="BerkeleyStd-Medium" w:hAnsi="BerkeleyStd-Medium"/>
          <w:color w:val="231F20"/>
        </w:rPr>
        <w:t xml:space="preserve"> you</w:t>
      </w:r>
      <w:r w:rsidR="005A4EA6">
        <w:rPr>
          <w:rFonts w:ascii="BerkeleyStd-Medium" w:hAnsi="BerkeleyStd-Medium"/>
          <w:color w:val="231F20"/>
        </w:rPr>
        <w:t xml:space="preserve"> </w:t>
      </w:r>
      <w:r w:rsidR="00192E45" w:rsidRPr="00192E45">
        <w:rPr>
          <w:rFonts w:ascii="BerkeleyStd-Medium" w:hAnsi="BerkeleyStd-Medium"/>
          <w:color w:val="231F20"/>
        </w:rPr>
        <w:t>can complement the periodic snapshot with a detailed journal entry transaction</w:t>
      </w:r>
      <w:r w:rsidR="00192E45" w:rsidRPr="00192E45">
        <w:rPr>
          <w:rFonts w:ascii="BerkeleyStd-Medium" w:hAnsi="BerkeleyStd-Medium"/>
          <w:color w:val="231F20"/>
        </w:rPr>
        <w:br/>
        <w:t>schema. Of course, the accounts payable and re</w:t>
      </w:r>
      <w:r w:rsidR="005A4EA6">
        <w:rPr>
          <w:rFonts w:ascii="BerkeleyStd-Medium" w:hAnsi="BerkeleyStd-Medium"/>
          <w:color w:val="231F20"/>
        </w:rPr>
        <w:t xml:space="preserve">ceivable subledgers may contain </w:t>
      </w:r>
      <w:r w:rsidR="00192E45" w:rsidRPr="00192E45">
        <w:rPr>
          <w:rFonts w:ascii="BerkeleyStd-Medium" w:hAnsi="BerkeleyStd-Medium"/>
          <w:color w:val="231F20"/>
        </w:rPr>
        <w:t>transactions at progressively lower levels of det</w:t>
      </w:r>
      <w:r w:rsidR="005A4EA6">
        <w:rPr>
          <w:rFonts w:ascii="BerkeleyStd-Medium" w:hAnsi="BerkeleyStd-Medium"/>
          <w:color w:val="231F20"/>
        </w:rPr>
        <w:t xml:space="preserve">ail, which would be captured in </w:t>
      </w:r>
      <w:r w:rsidR="00192E45" w:rsidRPr="00192E45">
        <w:rPr>
          <w:rFonts w:ascii="BerkeleyStd-Medium" w:hAnsi="BerkeleyStd-Medium"/>
          <w:color w:val="231F20"/>
        </w:rPr>
        <w:t>separate fact tables with additional dimensionality</w:t>
      </w:r>
    </w:p>
    <w:p w:rsidR="00192E45" w:rsidRDefault="00192E45" w:rsidP="00CB32B1">
      <w:pPr>
        <w:jc w:val="both"/>
        <w:rPr>
          <w:rStyle w:val="fontstyle01"/>
        </w:rPr>
      </w:pPr>
      <w:r>
        <w:rPr>
          <w:rStyle w:val="fontstyle01"/>
        </w:rPr>
        <w:t>The grain of the fact table is now one row for every general ledger journal entry</w:t>
      </w:r>
      <w:r w:rsidR="005823F5">
        <w:rPr>
          <w:rFonts w:ascii="BerkeleyStd-Medium" w:hAnsi="BerkeleyStd-Medium"/>
          <w:color w:val="231F20"/>
        </w:rPr>
        <w:t xml:space="preserve"> </w:t>
      </w:r>
      <w:r>
        <w:rPr>
          <w:rStyle w:val="fontstyle01"/>
        </w:rPr>
        <w:t>transaction. The journal entry transaction identifies the G/L account and the applicable debit or credit amount.</w:t>
      </w:r>
      <w:r w:rsidR="00437A92" w:rsidRPr="00437A92">
        <w:rPr>
          <w:rStyle w:val="fontstyle01"/>
        </w:rPr>
        <w:t xml:space="preserve"> </w:t>
      </w:r>
      <w:r w:rsidR="00437A92">
        <w:rPr>
          <w:rStyle w:val="fontstyle01"/>
        </w:rPr>
        <w:t>Each row in the journal entry fact table is identified as either a credit or a debit.</w:t>
      </w:r>
    </w:p>
    <w:p w:rsidR="00192E45" w:rsidRPr="00944E4A" w:rsidRDefault="00192E45" w:rsidP="00CB32B1">
      <w:pPr>
        <w:jc w:val="both"/>
        <w:rPr>
          <w:rStyle w:val="fontstyle01"/>
          <w:rFonts w:asciiTheme="minorHAnsi" w:hAnsiTheme="minorHAnsi"/>
          <w:color w:val="auto"/>
        </w:rPr>
      </w:pPr>
      <w:r>
        <w:rPr>
          <w:noProof/>
        </w:rPr>
        <w:lastRenderedPageBreak/>
        <w:drawing>
          <wp:inline distT="0" distB="0" distL="0" distR="0" wp14:anchorId="77128829" wp14:editId="73CAC004">
            <wp:extent cx="5943600" cy="2197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7735"/>
                    </a:xfrm>
                    <a:prstGeom prst="rect">
                      <a:avLst/>
                    </a:prstGeom>
                  </pic:spPr>
                </pic:pic>
              </a:graphicData>
            </a:graphic>
          </wp:inline>
        </w:drawing>
      </w:r>
      <w:r>
        <w:rPr>
          <w:rFonts w:ascii="BerkeleyStd-Medium" w:hAnsi="BerkeleyStd-Medium"/>
          <w:color w:val="231F20"/>
        </w:rPr>
        <w:br/>
      </w:r>
    </w:p>
    <w:p w:rsidR="00192E45" w:rsidRPr="0020230A" w:rsidRDefault="00192E45" w:rsidP="00CB32B1">
      <w:pPr>
        <w:jc w:val="both"/>
        <w:rPr>
          <w:rFonts w:ascii="StoneSansStd-Medium" w:hAnsi="StoneSansStd-Medium"/>
          <w:color w:val="808080" w:themeColor="background1" w:themeShade="80"/>
          <w:sz w:val="32"/>
          <w:szCs w:val="32"/>
        </w:rPr>
      </w:pPr>
      <w:r w:rsidRPr="0020230A">
        <w:rPr>
          <w:rFonts w:ascii="StoneSansStd-Medium" w:hAnsi="StoneSansStd-Medium"/>
          <w:color w:val="808080" w:themeColor="background1" w:themeShade="80"/>
          <w:sz w:val="32"/>
          <w:szCs w:val="32"/>
        </w:rPr>
        <w:t>Multiple Fiscal Accounting Calendars</w:t>
      </w:r>
    </w:p>
    <w:p w:rsidR="00192E45" w:rsidRDefault="0020230A" w:rsidP="00CB32B1">
      <w:pPr>
        <w:jc w:val="both"/>
        <w:rPr>
          <w:rStyle w:val="fontstyle01"/>
        </w:rPr>
      </w:pPr>
      <w:r>
        <w:rPr>
          <w:rStyle w:val="fontstyle01"/>
        </w:rPr>
        <w:t>Now</w:t>
      </w:r>
      <w:r w:rsidR="00192E45">
        <w:rPr>
          <w:rStyle w:val="fontstyle01"/>
        </w:rPr>
        <w:t xml:space="preserve"> the data is captured by posting date, but users may also want to</w:t>
      </w:r>
      <w:r>
        <w:rPr>
          <w:rFonts w:ascii="BerkeleyStd-Medium" w:hAnsi="BerkeleyStd-Medium"/>
          <w:color w:val="231F20"/>
        </w:rPr>
        <w:t xml:space="preserve"> </w:t>
      </w:r>
      <w:r w:rsidR="00192E45">
        <w:rPr>
          <w:rStyle w:val="fontstyle01"/>
        </w:rPr>
        <w:t>summarize the data by fiscal account period. Unfortunately, fiscal accounting periods often do not align w</w:t>
      </w:r>
      <w:r>
        <w:rPr>
          <w:rStyle w:val="fontstyle01"/>
        </w:rPr>
        <w:t xml:space="preserve">ith standard Gregorian calendar </w:t>
      </w:r>
      <w:r w:rsidR="00192E45">
        <w:rPr>
          <w:rStyle w:val="fontstyle01"/>
        </w:rPr>
        <w:t>months. For example, a</w:t>
      </w:r>
      <w:r>
        <w:rPr>
          <w:rFonts w:ascii="BerkeleyStd-Medium" w:hAnsi="BerkeleyStd-Medium"/>
          <w:color w:val="231F20"/>
        </w:rPr>
        <w:t xml:space="preserve"> </w:t>
      </w:r>
      <w:r w:rsidR="00192E45">
        <w:rPr>
          <w:rStyle w:val="fontstyle01"/>
        </w:rPr>
        <w:t>company may have 13 4-week accounting periods in a fiscal year that begins on</w:t>
      </w:r>
      <w:r>
        <w:rPr>
          <w:rFonts w:ascii="BerkeleyStd-Medium" w:hAnsi="BerkeleyStd-Medium"/>
          <w:color w:val="231F20"/>
        </w:rPr>
        <w:t xml:space="preserve"> </w:t>
      </w:r>
      <w:r w:rsidR="00192E45">
        <w:rPr>
          <w:rStyle w:val="fontstyle01"/>
        </w:rPr>
        <w:t>September 1 rather than 12 monthly periods beginning on January 1. If you deal</w:t>
      </w:r>
      <w:r>
        <w:rPr>
          <w:rFonts w:ascii="BerkeleyStd-Medium" w:hAnsi="BerkeleyStd-Medium"/>
          <w:color w:val="231F20"/>
        </w:rPr>
        <w:t xml:space="preserve"> </w:t>
      </w:r>
      <w:r w:rsidR="00192E45">
        <w:rPr>
          <w:rStyle w:val="fontstyle01"/>
        </w:rPr>
        <w:t>with a single fiscal calendar, then each day in a year corresponds to a single calendar</w:t>
      </w:r>
      <w:r>
        <w:rPr>
          <w:rFonts w:ascii="BerkeleyStd-Medium" w:hAnsi="BerkeleyStd-Medium"/>
          <w:color w:val="231F20"/>
        </w:rPr>
        <w:t xml:space="preserve"> </w:t>
      </w:r>
      <w:r w:rsidR="00192E45">
        <w:rPr>
          <w:rStyle w:val="fontstyle01"/>
        </w:rPr>
        <w:t>month,</w:t>
      </w:r>
      <w:r>
        <w:rPr>
          <w:rStyle w:val="fontstyle01"/>
        </w:rPr>
        <w:t xml:space="preserve"> as well as a single accounting </w:t>
      </w:r>
      <w:r w:rsidR="00192E45">
        <w:rPr>
          <w:rStyle w:val="fontstyle01"/>
        </w:rPr>
        <w:t>period. Given these relationships, the calendar</w:t>
      </w:r>
      <w:r>
        <w:rPr>
          <w:rFonts w:ascii="BerkeleyStd-Medium" w:hAnsi="BerkeleyStd-Medium"/>
          <w:color w:val="231F20"/>
        </w:rPr>
        <w:t xml:space="preserve"> </w:t>
      </w:r>
      <w:r w:rsidR="00192E45">
        <w:rPr>
          <w:rStyle w:val="fontstyle01"/>
        </w:rPr>
        <w:t>and accounting periods are merely hierarchical attributes on the daily date dimension. The daily date dimension table would simultaneously conform to a calendar</w:t>
      </w:r>
      <w:r w:rsidR="00192E45">
        <w:rPr>
          <w:rFonts w:ascii="BerkeleyStd-Medium" w:hAnsi="BerkeleyStd-Medium"/>
          <w:color w:val="231F20"/>
        </w:rPr>
        <w:br/>
      </w:r>
      <w:r w:rsidR="00192E45">
        <w:rPr>
          <w:rStyle w:val="fontstyle01"/>
        </w:rPr>
        <w:t>month dimension table, as well as to a fiscal accounting period dimension table</w:t>
      </w:r>
    </w:p>
    <w:p w:rsidR="00192E45" w:rsidRDefault="00192E45" w:rsidP="00CB32B1">
      <w:pPr>
        <w:jc w:val="both"/>
        <w:rPr>
          <w:rStyle w:val="fontstyle01"/>
        </w:rPr>
      </w:pPr>
      <w:r>
        <w:rPr>
          <w:rStyle w:val="fontstyle01"/>
        </w:rPr>
        <w:t>In other situations, you may deal with multiple fiscal accounting calendars that</w:t>
      </w:r>
      <w:r w:rsidR="0020230A">
        <w:rPr>
          <w:rFonts w:ascii="BerkeleyStd-Medium" w:hAnsi="BerkeleyStd-Medium"/>
          <w:color w:val="231F20"/>
        </w:rPr>
        <w:t xml:space="preserve"> </w:t>
      </w:r>
      <w:r>
        <w:rPr>
          <w:rStyle w:val="fontstyle01"/>
        </w:rPr>
        <w:t>vary by subsidiary or line of business.</w:t>
      </w:r>
      <w:r w:rsidR="0020230A">
        <w:rPr>
          <w:rStyle w:val="fontstyle01"/>
        </w:rPr>
        <w:t xml:space="preserve"> </w:t>
      </w:r>
      <w:r>
        <w:rPr>
          <w:rStyle w:val="fontstyle01"/>
        </w:rPr>
        <w:t>A given row in the daily date dimension would</w:t>
      </w:r>
      <w:r w:rsidR="0020230A">
        <w:rPr>
          <w:rFonts w:ascii="BerkeleyStd-Medium" w:hAnsi="BerkeleyStd-Medium"/>
          <w:color w:val="231F20"/>
        </w:rPr>
        <w:t xml:space="preserve"> </w:t>
      </w:r>
      <w:r>
        <w:rPr>
          <w:rStyle w:val="fontstyle01"/>
        </w:rPr>
        <w:t>be identified as belonging to accounting period 1 for subsidiary A but accounting</w:t>
      </w:r>
      <w:r w:rsidR="0020230A">
        <w:rPr>
          <w:rFonts w:ascii="BerkeleyStd-Medium" w:hAnsi="BerkeleyStd-Medium"/>
          <w:color w:val="231F20"/>
        </w:rPr>
        <w:t xml:space="preserve"> </w:t>
      </w:r>
      <w:r>
        <w:rPr>
          <w:rStyle w:val="fontstyle01"/>
        </w:rPr>
        <w:t>period 7 for subsidiary B.</w:t>
      </w:r>
    </w:p>
    <w:p w:rsidR="00192E45" w:rsidRDefault="00192E45" w:rsidP="00CB32B1">
      <w:pPr>
        <w:jc w:val="both"/>
        <w:rPr>
          <w:rStyle w:val="fontstyle01"/>
        </w:rPr>
      </w:pPr>
      <w:r>
        <w:rPr>
          <w:rStyle w:val="fontstyle01"/>
        </w:rPr>
        <w:t>The</w:t>
      </w:r>
      <w:r w:rsidR="00331C80">
        <w:rPr>
          <w:rFonts w:ascii="BerkeleyStd-Medium" w:hAnsi="BerkeleyStd-Medium"/>
          <w:color w:val="231F20"/>
        </w:rPr>
        <w:t xml:space="preserve"> </w:t>
      </w:r>
      <w:r>
        <w:rPr>
          <w:rStyle w:val="fontstyle01"/>
        </w:rPr>
        <w:t>most common approach is to create a date dimension outrigger with a multipart key</w:t>
      </w:r>
      <w:r w:rsidR="005F54E3">
        <w:rPr>
          <w:rFonts w:ascii="BerkeleyStd-Medium" w:hAnsi="BerkeleyStd-Medium"/>
          <w:color w:val="231F20"/>
        </w:rPr>
        <w:t xml:space="preserve"> </w:t>
      </w:r>
      <w:r>
        <w:rPr>
          <w:rStyle w:val="fontstyle01"/>
        </w:rPr>
        <w:t>consisting of the date and subsidiary keys. There would be one row in this table for</w:t>
      </w:r>
      <w:r w:rsidR="005F54E3">
        <w:rPr>
          <w:rFonts w:ascii="BerkeleyStd-Medium" w:hAnsi="BerkeleyStd-Medium"/>
          <w:color w:val="231F20"/>
        </w:rPr>
        <w:t xml:space="preserve"> </w:t>
      </w:r>
      <w:r>
        <w:rPr>
          <w:rStyle w:val="fontstyle01"/>
        </w:rPr>
        <w:t xml:space="preserve">each day for each subsidiary. The attributes in this outrigger would consist of fiscal groupings (such as fiscal week end date and fiscal period end date). </w:t>
      </w:r>
    </w:p>
    <w:p w:rsidR="00192E45" w:rsidRDefault="00192E45" w:rsidP="00CB32B1">
      <w:pPr>
        <w:jc w:val="both"/>
        <w:rPr>
          <w:rStyle w:val="fontstyle01"/>
        </w:rPr>
      </w:pPr>
      <w:r>
        <w:rPr>
          <w:rStyle w:val="fontstyle01"/>
        </w:rPr>
        <w:t>A second approach for tackling the subsidiary-specific calendars would be to</w:t>
      </w:r>
      <w:r w:rsidR="001478AC">
        <w:rPr>
          <w:rFonts w:ascii="BerkeleyStd-Medium" w:hAnsi="BerkeleyStd-Medium"/>
          <w:color w:val="231F20"/>
        </w:rPr>
        <w:t xml:space="preserve"> </w:t>
      </w:r>
      <w:r>
        <w:rPr>
          <w:rStyle w:val="fontstyle01"/>
        </w:rPr>
        <w:t>create separate physical date dimensions for each subsidiary calendar, using a</w:t>
      </w:r>
      <w:r w:rsidR="001478AC">
        <w:rPr>
          <w:rFonts w:ascii="BerkeleyStd-Medium" w:hAnsi="BerkeleyStd-Medium"/>
          <w:color w:val="231F20"/>
        </w:rPr>
        <w:t xml:space="preserve"> </w:t>
      </w:r>
      <w:r>
        <w:rPr>
          <w:rStyle w:val="fontstyle01"/>
        </w:rPr>
        <w:t>common set of surrogate date keys.</w:t>
      </w:r>
    </w:p>
    <w:p w:rsidR="00593AEB" w:rsidRPr="00F349AE" w:rsidRDefault="00192E45" w:rsidP="00CB32B1">
      <w:pPr>
        <w:jc w:val="both"/>
        <w:rPr>
          <w:rFonts w:ascii="StoneSansStd-Medium" w:hAnsi="StoneSansStd-Medium"/>
          <w:color w:val="231F20"/>
          <w:sz w:val="32"/>
          <w:szCs w:val="32"/>
        </w:rPr>
      </w:pPr>
      <w:r w:rsidRPr="00F349AE">
        <w:rPr>
          <w:rFonts w:ascii="StoneSansStd-Medium" w:hAnsi="StoneSansStd-Medium"/>
          <w:color w:val="808080" w:themeColor="background1" w:themeShade="80"/>
          <w:sz w:val="32"/>
          <w:szCs w:val="32"/>
        </w:rPr>
        <w:t>Drilling Down Through a Multilevel Hierarchy</w:t>
      </w:r>
    </w:p>
    <w:p w:rsidR="00593AEB" w:rsidRDefault="00F349AE" w:rsidP="00CB32B1">
      <w:pPr>
        <w:jc w:val="both"/>
        <w:rPr>
          <w:rStyle w:val="fontstyle01"/>
        </w:rPr>
      </w:pPr>
      <w:r>
        <w:rPr>
          <w:rStyle w:val="fontstyle01"/>
        </w:rPr>
        <w:t>L</w:t>
      </w:r>
      <w:r w:rsidR="00192E45">
        <w:rPr>
          <w:rStyle w:val="fontstyle01"/>
        </w:rPr>
        <w:t>arge enterprises may have multiple ledgers arranged</w:t>
      </w:r>
      <w:r>
        <w:rPr>
          <w:rFonts w:ascii="BerkeleyStd-Medium" w:hAnsi="BerkeleyStd-Medium"/>
          <w:color w:val="231F20"/>
        </w:rPr>
        <w:t xml:space="preserve"> </w:t>
      </w:r>
      <w:r w:rsidR="00192E45">
        <w:rPr>
          <w:rStyle w:val="fontstyle01"/>
        </w:rPr>
        <w:t>in an ascending hierarchy, perhaps by enterprise, division, and department. At the</w:t>
      </w:r>
      <w:r>
        <w:rPr>
          <w:rStyle w:val="fontstyle01"/>
        </w:rPr>
        <w:t xml:space="preserve"> </w:t>
      </w:r>
      <w:r w:rsidR="00192E45">
        <w:rPr>
          <w:rStyle w:val="fontstyle01"/>
        </w:rPr>
        <w:t>lowest level, department ledger entries may be consolidated to roll up to a single</w:t>
      </w:r>
      <w:r>
        <w:rPr>
          <w:rFonts w:ascii="BerkeleyStd-Medium" w:hAnsi="BerkeleyStd-Medium"/>
          <w:color w:val="231F20"/>
        </w:rPr>
        <w:t xml:space="preserve"> </w:t>
      </w:r>
      <w:r w:rsidR="00192E45">
        <w:rPr>
          <w:rStyle w:val="fontstyle01"/>
        </w:rPr>
        <w:t>division ledger entry. Then the division ledger entries may be consolidated to the</w:t>
      </w:r>
      <w:r w:rsidR="00192E45">
        <w:rPr>
          <w:rFonts w:ascii="BerkeleyStd-Medium" w:hAnsi="BerkeleyStd-Medium"/>
          <w:color w:val="231F20"/>
        </w:rPr>
        <w:br/>
      </w:r>
      <w:r w:rsidR="00192E45">
        <w:rPr>
          <w:rStyle w:val="fontstyle01"/>
        </w:rPr>
        <w:t xml:space="preserve">enterprise level. </w:t>
      </w:r>
      <w:r>
        <w:rPr>
          <w:rStyle w:val="fontstyle01"/>
        </w:rPr>
        <w:t xml:space="preserve"> </w:t>
      </w:r>
      <w:r w:rsidR="00192E45" w:rsidRPr="00F349AE">
        <w:rPr>
          <w:rStyle w:val="fontstyle01"/>
          <w:b/>
        </w:rPr>
        <w:t xml:space="preserve">One way to model </w:t>
      </w:r>
      <w:r w:rsidR="00192E45">
        <w:rPr>
          <w:rStyle w:val="fontstyle01"/>
        </w:rPr>
        <w:t>this hierarchy is by introducing the parent snapshot’s fact table surrogate key in the fact table</w:t>
      </w:r>
      <w:r>
        <w:rPr>
          <w:rStyle w:val="fontstyle01"/>
        </w:rPr>
        <w:t xml:space="preserve">. </w:t>
      </w:r>
      <w:r w:rsidR="00192E45">
        <w:rPr>
          <w:rStyle w:val="fontstyle01"/>
        </w:rPr>
        <w:t>In this case,</w:t>
      </w:r>
      <w:r>
        <w:rPr>
          <w:rStyle w:val="fontstyle01"/>
        </w:rPr>
        <w:t xml:space="preserve"> </w:t>
      </w:r>
      <w:r w:rsidR="00192E45">
        <w:rPr>
          <w:rStyle w:val="fontstyle01"/>
        </w:rPr>
        <w:t>because you define a parent/child relationship between rows, you add an explicit</w:t>
      </w:r>
      <w:r>
        <w:rPr>
          <w:rFonts w:ascii="BerkeleyStd-Medium" w:hAnsi="BerkeleyStd-Medium"/>
          <w:color w:val="231F20"/>
        </w:rPr>
        <w:t xml:space="preserve"> </w:t>
      </w:r>
      <w:r w:rsidR="00192E45">
        <w:rPr>
          <w:rStyle w:val="fontstyle01"/>
        </w:rPr>
        <w:t>fact table surrogate key, a single column numeric identifier incremented as you add</w:t>
      </w:r>
      <w:r w:rsidR="00192E45">
        <w:rPr>
          <w:rFonts w:ascii="BerkeleyStd-Medium" w:hAnsi="BerkeleyStd-Medium"/>
          <w:color w:val="231F20"/>
        </w:rPr>
        <w:br/>
      </w:r>
      <w:r w:rsidR="00192E45">
        <w:rPr>
          <w:rStyle w:val="fontstyle01"/>
        </w:rPr>
        <w:t>rows to the fact table.</w:t>
      </w:r>
      <w:r w:rsidR="00B6713C">
        <w:rPr>
          <w:rStyle w:val="fontstyle01"/>
        </w:rPr>
        <w:t xml:space="preserve"> </w:t>
      </w:r>
      <w:r w:rsidR="00593AEB">
        <w:rPr>
          <w:rStyle w:val="fontstyle01"/>
        </w:rPr>
        <w:t>Suppose that you detect a large travel amount at the top level of the</w:t>
      </w:r>
      <w:r w:rsidR="00B6713C">
        <w:rPr>
          <w:rFonts w:ascii="BerkeleyStd-Medium" w:hAnsi="BerkeleyStd-Medium"/>
          <w:color w:val="231F20"/>
        </w:rPr>
        <w:t xml:space="preserve"> </w:t>
      </w:r>
      <w:r w:rsidR="00593AEB">
        <w:rPr>
          <w:rStyle w:val="fontstyle01"/>
        </w:rPr>
        <w:t>ledger. You grab the surrogate key for that high-level entry and then fetch all the entries</w:t>
      </w:r>
      <w:r w:rsidR="00B6713C">
        <w:rPr>
          <w:rFonts w:ascii="BerkeleyStd-Medium" w:hAnsi="BerkeleyStd-Medium"/>
          <w:color w:val="231F20"/>
        </w:rPr>
        <w:t xml:space="preserve"> </w:t>
      </w:r>
      <w:r w:rsidR="00593AEB">
        <w:rPr>
          <w:rStyle w:val="fontstyle01"/>
        </w:rPr>
        <w:t>whose parent snapshot key equals that key.</w:t>
      </w:r>
    </w:p>
    <w:p w:rsidR="00593AEB" w:rsidRDefault="00593AEB" w:rsidP="00CB32B1">
      <w:pPr>
        <w:jc w:val="both"/>
        <w:rPr>
          <w:rFonts w:ascii="StoneSansStd-Medium" w:hAnsi="StoneSansStd-Medium"/>
          <w:color w:val="231F20"/>
          <w:sz w:val="30"/>
          <w:szCs w:val="30"/>
        </w:rPr>
      </w:pPr>
      <w:r>
        <w:rPr>
          <w:noProof/>
        </w:rPr>
        <w:lastRenderedPageBreak/>
        <w:drawing>
          <wp:inline distT="0" distB="0" distL="0" distR="0" wp14:anchorId="166AE2D9" wp14:editId="0101C978">
            <wp:extent cx="594360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0150"/>
                    </a:xfrm>
                    <a:prstGeom prst="rect">
                      <a:avLst/>
                    </a:prstGeom>
                  </pic:spPr>
                </pic:pic>
              </a:graphicData>
            </a:graphic>
          </wp:inline>
        </w:drawing>
      </w:r>
    </w:p>
    <w:p w:rsidR="00593AEB" w:rsidRPr="005E1732" w:rsidRDefault="00593AEB" w:rsidP="00CB32B1">
      <w:pPr>
        <w:jc w:val="both"/>
        <w:rPr>
          <w:rFonts w:ascii="StoneSansStd-Medium" w:hAnsi="StoneSansStd-Medium"/>
          <w:color w:val="808080" w:themeColor="background1" w:themeShade="80"/>
          <w:sz w:val="32"/>
          <w:szCs w:val="32"/>
        </w:rPr>
      </w:pPr>
      <w:r w:rsidRPr="005E1732">
        <w:rPr>
          <w:rFonts w:ascii="StoneSansStd-Medium" w:hAnsi="StoneSansStd-Medium"/>
          <w:color w:val="808080" w:themeColor="background1" w:themeShade="80"/>
          <w:sz w:val="32"/>
          <w:szCs w:val="32"/>
        </w:rPr>
        <w:t>Financial Statements</w:t>
      </w:r>
    </w:p>
    <w:p w:rsidR="00593AEB" w:rsidRDefault="00593AEB" w:rsidP="00CB32B1">
      <w:pPr>
        <w:jc w:val="both"/>
        <w:rPr>
          <w:rFonts w:ascii="StoneSansStd-Medium" w:hAnsi="StoneSansStd-Medium"/>
          <w:color w:val="231F20"/>
          <w:sz w:val="30"/>
          <w:szCs w:val="30"/>
        </w:rPr>
      </w:pPr>
      <w:r>
        <w:rPr>
          <w:rStyle w:val="fontstyle01"/>
        </w:rPr>
        <w:t>Rather than looking at general</w:t>
      </w:r>
      <w:r w:rsidR="005E1732">
        <w:rPr>
          <w:rFonts w:ascii="BerkeleyStd-Medium" w:hAnsi="BerkeleyStd-Medium"/>
          <w:color w:val="231F20"/>
        </w:rPr>
        <w:t xml:space="preserve"> </w:t>
      </w:r>
      <w:r>
        <w:rPr>
          <w:rStyle w:val="fontstyle01"/>
        </w:rPr>
        <w:t>ledger account level data, the fact data would be aggregated and tagged with the</w:t>
      </w:r>
      <w:r w:rsidR="005E1732">
        <w:rPr>
          <w:rFonts w:ascii="BerkeleyStd-Medium" w:hAnsi="BerkeleyStd-Medium"/>
          <w:color w:val="231F20"/>
        </w:rPr>
        <w:t xml:space="preserve"> </w:t>
      </w:r>
      <w:r>
        <w:rPr>
          <w:rStyle w:val="fontstyle01"/>
        </w:rPr>
        <w:t>appropriate financial statement line number and label. In this manner, managers</w:t>
      </w:r>
      <w:r w:rsidR="005E1732">
        <w:rPr>
          <w:rFonts w:ascii="BerkeleyStd-Medium" w:hAnsi="BerkeleyStd-Medium"/>
          <w:color w:val="231F20"/>
        </w:rPr>
        <w:t xml:space="preserve"> </w:t>
      </w:r>
      <w:r>
        <w:rPr>
          <w:rStyle w:val="fontstyle01"/>
        </w:rPr>
        <w:t>could easily look at performance trends for a given line in the financial statement</w:t>
      </w:r>
      <w:r w:rsidR="005E1732">
        <w:rPr>
          <w:rFonts w:ascii="BerkeleyStd-Medium" w:hAnsi="BerkeleyStd-Medium"/>
          <w:color w:val="231F20"/>
        </w:rPr>
        <w:t xml:space="preserve"> </w:t>
      </w:r>
      <w:r>
        <w:rPr>
          <w:rStyle w:val="fontstyle01"/>
        </w:rPr>
        <w:t>over time for their organization</w:t>
      </w:r>
    </w:p>
    <w:p w:rsidR="00593AEB" w:rsidRPr="00AE1744" w:rsidRDefault="00593AEB" w:rsidP="00CB32B1">
      <w:pPr>
        <w:jc w:val="both"/>
        <w:rPr>
          <w:rFonts w:ascii="StoneSansStd-Medium" w:hAnsi="StoneSansStd-Medium"/>
          <w:color w:val="808285"/>
          <w:sz w:val="32"/>
          <w:szCs w:val="32"/>
        </w:rPr>
      </w:pPr>
      <w:r w:rsidRPr="00AE1744">
        <w:rPr>
          <w:rFonts w:ascii="StoneSansStd-Medium" w:hAnsi="StoneSansStd-Medium"/>
          <w:color w:val="808285"/>
          <w:sz w:val="32"/>
          <w:szCs w:val="32"/>
        </w:rPr>
        <w:t>Budgeting Process</w:t>
      </w:r>
    </w:p>
    <w:p w:rsidR="00593AEB" w:rsidRDefault="00593AEB" w:rsidP="00CB32B1">
      <w:pPr>
        <w:jc w:val="both"/>
        <w:rPr>
          <w:rStyle w:val="fontstyle01"/>
        </w:rPr>
      </w:pPr>
      <w:r>
        <w:rPr>
          <w:rStyle w:val="fontstyle01"/>
        </w:rPr>
        <w:t>Within most organizations, the budgeting process can be viewed as a series of</w:t>
      </w:r>
      <w:r w:rsidR="006E7279">
        <w:rPr>
          <w:rFonts w:ascii="BerkeleyStd-Medium" w:hAnsi="BerkeleyStd-Medium"/>
          <w:color w:val="231F20"/>
        </w:rPr>
        <w:t xml:space="preserve"> </w:t>
      </w:r>
      <w:r>
        <w:rPr>
          <w:rStyle w:val="fontstyle01"/>
        </w:rPr>
        <w:t>events. Prior to the start of a fiscal year, each cost center manager typically creates a</w:t>
      </w:r>
      <w:r w:rsidR="006E7279">
        <w:rPr>
          <w:rFonts w:ascii="BerkeleyStd-Medium" w:hAnsi="BerkeleyStd-Medium"/>
          <w:color w:val="231F20"/>
        </w:rPr>
        <w:t xml:space="preserve"> </w:t>
      </w:r>
      <w:r>
        <w:rPr>
          <w:rStyle w:val="fontstyle01"/>
        </w:rPr>
        <w:t xml:space="preserve">budget, broken down by budget line items, which is then approved. In reality, budgeting is seldom simply a once-per-year event. </w:t>
      </w:r>
    </w:p>
    <w:p w:rsidR="00593AEB" w:rsidRDefault="00593AEB" w:rsidP="00CB32B1">
      <w:pPr>
        <w:jc w:val="both"/>
        <w:rPr>
          <w:rStyle w:val="fontstyle01"/>
        </w:rPr>
      </w:pPr>
      <w:r>
        <w:rPr>
          <w:rFonts w:ascii="BerkeleyStd-Medium" w:hAnsi="BerkeleyStd-Medium"/>
          <w:color w:val="231F20"/>
        </w:rPr>
        <w:br/>
      </w:r>
      <w:r>
        <w:rPr>
          <w:rStyle w:val="fontstyle01"/>
        </w:rPr>
        <w:t>Managers want to see the current budget’s status, as well as how the budget has</w:t>
      </w:r>
      <w:r w:rsidR="006E7279">
        <w:rPr>
          <w:rFonts w:ascii="BerkeleyStd-Medium" w:hAnsi="BerkeleyStd-Medium"/>
          <w:color w:val="231F20"/>
        </w:rPr>
        <w:t xml:space="preserve"> </w:t>
      </w:r>
      <w:r>
        <w:rPr>
          <w:rStyle w:val="fontstyle01"/>
        </w:rPr>
        <w:t>been altered since the first approved version. As the year unfolds, commitments to</w:t>
      </w:r>
      <w:r w:rsidR="006E7279">
        <w:rPr>
          <w:rFonts w:ascii="BerkeleyStd-Medium" w:hAnsi="BerkeleyStd-Medium"/>
          <w:color w:val="231F20"/>
        </w:rPr>
        <w:t xml:space="preserve"> </w:t>
      </w:r>
      <w:r>
        <w:rPr>
          <w:rStyle w:val="fontstyle01"/>
        </w:rPr>
        <w:t>spend the budgeted monies are made. Finally, payments are processed.</w:t>
      </w:r>
      <w:r w:rsidR="006E7279">
        <w:rPr>
          <w:rStyle w:val="fontstyle01"/>
        </w:rPr>
        <w:t xml:space="preserve"> </w:t>
      </w:r>
      <w:r w:rsidRPr="006E7279">
        <w:rPr>
          <w:rStyle w:val="fontstyle01"/>
          <w:b/>
        </w:rPr>
        <w:t>As a dimensional modeler</w:t>
      </w:r>
      <w:r>
        <w:rPr>
          <w:rStyle w:val="fontstyle01"/>
        </w:rPr>
        <w:t>, you can view the budgeting chain as a series of fact</w:t>
      </w:r>
      <w:r>
        <w:rPr>
          <w:rFonts w:ascii="BerkeleyStd-Medium" w:hAnsi="BerkeleyStd-Medium"/>
          <w:color w:val="231F20"/>
        </w:rPr>
        <w:br/>
      </w:r>
      <w:r>
        <w:rPr>
          <w:rStyle w:val="fontstyle01"/>
        </w:rPr>
        <w:t>tables</w:t>
      </w:r>
      <w:r w:rsidR="006E7279">
        <w:rPr>
          <w:rStyle w:val="fontstyle01"/>
        </w:rPr>
        <w:t>.</w:t>
      </w:r>
    </w:p>
    <w:p w:rsidR="00DE6753" w:rsidRDefault="00DE6753" w:rsidP="00CB32B1">
      <w:pPr>
        <w:jc w:val="both"/>
        <w:rPr>
          <w:rStyle w:val="fontstyle01"/>
        </w:rPr>
      </w:pPr>
      <w:r>
        <w:rPr>
          <w:noProof/>
        </w:rPr>
        <w:drawing>
          <wp:inline distT="0" distB="0" distL="0" distR="0" wp14:anchorId="53B63F08" wp14:editId="119CF824">
            <wp:extent cx="5943600"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8060"/>
                    </a:xfrm>
                    <a:prstGeom prst="rect">
                      <a:avLst/>
                    </a:prstGeom>
                  </pic:spPr>
                </pic:pic>
              </a:graphicData>
            </a:graphic>
          </wp:inline>
        </w:drawing>
      </w:r>
    </w:p>
    <w:p w:rsidR="00593AEB" w:rsidRDefault="00593AEB" w:rsidP="00E7605B">
      <w:pPr>
        <w:jc w:val="center"/>
        <w:rPr>
          <w:rFonts w:ascii="StoneSansStd-Medium" w:hAnsi="StoneSansStd-Medium"/>
          <w:color w:val="231F20"/>
          <w:sz w:val="30"/>
          <w:szCs w:val="30"/>
        </w:rPr>
      </w:pPr>
      <w:r>
        <w:rPr>
          <w:noProof/>
        </w:rPr>
        <w:lastRenderedPageBreak/>
        <w:drawing>
          <wp:inline distT="0" distB="0" distL="0" distR="0" wp14:anchorId="25E3E626" wp14:editId="7401EB97">
            <wp:extent cx="49911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4105275"/>
                    </a:xfrm>
                    <a:prstGeom prst="rect">
                      <a:avLst/>
                    </a:prstGeom>
                  </pic:spPr>
                </pic:pic>
              </a:graphicData>
            </a:graphic>
          </wp:inline>
        </w:drawing>
      </w:r>
    </w:p>
    <w:p w:rsidR="00593AEB" w:rsidRDefault="00593AEB" w:rsidP="00CB32B1">
      <w:pPr>
        <w:jc w:val="both"/>
        <w:rPr>
          <w:rFonts w:ascii="StoneSansStd-Medium" w:hAnsi="StoneSansStd-Medium"/>
          <w:color w:val="231F20"/>
          <w:sz w:val="30"/>
          <w:szCs w:val="30"/>
        </w:rPr>
      </w:pPr>
    </w:p>
    <w:p w:rsidR="00E65687" w:rsidRDefault="00E65687" w:rsidP="00CB32B1">
      <w:pPr>
        <w:jc w:val="both"/>
        <w:rPr>
          <w:rStyle w:val="fontstyle01"/>
        </w:rPr>
      </w:pPr>
      <w:r>
        <w:rPr>
          <w:rStyle w:val="fontstyle01"/>
        </w:rPr>
        <w:t>The budget line item identifies the purpose of the proposed spending, such as</w:t>
      </w:r>
      <w:r w:rsidR="005A4BA7">
        <w:rPr>
          <w:rFonts w:ascii="BerkeleyStd-Medium" w:hAnsi="BerkeleyStd-Medium"/>
          <w:color w:val="231F20"/>
        </w:rPr>
        <w:t xml:space="preserve"> </w:t>
      </w:r>
      <w:r>
        <w:rPr>
          <w:rStyle w:val="fontstyle01"/>
        </w:rPr>
        <w:t>employee wages or office supplies</w:t>
      </w:r>
      <w:r w:rsidR="005A4BA7">
        <w:rPr>
          <w:rStyle w:val="fontstyle01"/>
        </w:rPr>
        <w:t xml:space="preserve">. </w:t>
      </w:r>
      <w:r>
        <w:rPr>
          <w:rStyle w:val="fontstyle01"/>
        </w:rPr>
        <w:t>The e</w:t>
      </w:r>
      <w:r>
        <w:rPr>
          <w:rStyle w:val="fontstyle01"/>
          <w:rFonts w:ascii="Cambria Math" w:hAnsi="Cambria Math" w:cs="Cambria Math"/>
        </w:rPr>
        <w:t>ﬀ</w:t>
      </w:r>
      <w:r>
        <w:rPr>
          <w:rStyle w:val="fontstyle01"/>
        </w:rPr>
        <w:t>ective month is the month during which the budget changes are posted.</w:t>
      </w:r>
      <w:r w:rsidR="005A4BA7">
        <w:rPr>
          <w:rFonts w:ascii="BerkeleyStd-Medium" w:hAnsi="BerkeleyStd-Medium"/>
          <w:color w:val="231F20"/>
        </w:rPr>
        <w:t xml:space="preserve"> </w:t>
      </w:r>
      <w:r>
        <w:rPr>
          <w:rStyle w:val="fontstyle01"/>
        </w:rPr>
        <w:t>The first entries for a given budget year would show the e</w:t>
      </w:r>
      <w:r>
        <w:rPr>
          <w:rStyle w:val="fontstyle01"/>
          <w:rFonts w:ascii="Cambria Math" w:hAnsi="Cambria Math" w:cs="Cambria Math"/>
        </w:rPr>
        <w:t>ﬀ</w:t>
      </w:r>
      <w:r>
        <w:rPr>
          <w:rStyle w:val="fontstyle01"/>
        </w:rPr>
        <w:t>ective month when the</w:t>
      </w:r>
      <w:r w:rsidR="005A4BA7">
        <w:rPr>
          <w:rFonts w:ascii="BerkeleyStd-Medium" w:hAnsi="BerkeleyStd-Medium"/>
          <w:color w:val="231F20"/>
        </w:rPr>
        <w:t xml:space="preserve"> </w:t>
      </w:r>
      <w:r>
        <w:rPr>
          <w:rStyle w:val="fontstyle01"/>
        </w:rPr>
        <w:t>budget is first approved.</w:t>
      </w:r>
    </w:p>
    <w:p w:rsidR="00E65687" w:rsidRDefault="00E65687" w:rsidP="00CB32B1">
      <w:pPr>
        <w:jc w:val="both"/>
        <w:rPr>
          <w:rStyle w:val="fontstyle01"/>
        </w:rPr>
      </w:pPr>
      <w:r>
        <w:rPr>
          <w:rStyle w:val="fontstyle01"/>
        </w:rPr>
        <w:t>If the budget amount</w:t>
      </w:r>
      <w:r w:rsidR="00450240">
        <w:rPr>
          <w:rFonts w:ascii="BerkeleyStd-Medium" w:hAnsi="BerkeleyStd-Medium"/>
          <w:color w:val="231F20"/>
        </w:rPr>
        <w:t xml:space="preserve"> </w:t>
      </w:r>
      <w:r>
        <w:rPr>
          <w:rStyle w:val="fontstyle01"/>
        </w:rPr>
        <w:t>for a given budget line and account is modified during the year, an additional row</w:t>
      </w:r>
      <w:r>
        <w:rPr>
          <w:rFonts w:ascii="BerkeleyStd-Medium" w:hAnsi="BerkeleyStd-Medium"/>
          <w:color w:val="231F20"/>
        </w:rPr>
        <w:br/>
      </w:r>
      <w:r>
        <w:rPr>
          <w:rStyle w:val="fontstyle01"/>
        </w:rPr>
        <w:t>is added to the budget fact table representing the net change</w:t>
      </w:r>
    </w:p>
    <w:p w:rsidR="00E65687" w:rsidRDefault="00E65687" w:rsidP="00CB32B1">
      <w:pPr>
        <w:jc w:val="both"/>
        <w:rPr>
          <w:rStyle w:val="fontstyle01"/>
        </w:rPr>
      </w:pPr>
      <w:r>
        <w:rPr>
          <w:rStyle w:val="fontstyle01"/>
        </w:rPr>
        <w:t xml:space="preserve">When the budget year begins, managers make commitments to </w:t>
      </w:r>
      <w:r w:rsidRPr="00450240">
        <w:rPr>
          <w:rStyle w:val="fontstyle01"/>
          <w:b/>
        </w:rPr>
        <w:t>spend the budget</w:t>
      </w:r>
      <w:r w:rsidR="00450240">
        <w:rPr>
          <w:rFonts w:ascii="BerkeleyStd-Medium" w:hAnsi="BerkeleyStd-Medium"/>
          <w:color w:val="231F20"/>
        </w:rPr>
        <w:t xml:space="preserve"> </w:t>
      </w:r>
      <w:r>
        <w:rPr>
          <w:rStyle w:val="fontstyle01"/>
        </w:rPr>
        <w:t>through purchase orders, work orders, or other forms of contracts. Managers are</w:t>
      </w:r>
      <w:r w:rsidR="00450240">
        <w:rPr>
          <w:rFonts w:ascii="BerkeleyStd-Medium" w:hAnsi="BerkeleyStd-Medium"/>
          <w:color w:val="231F20"/>
        </w:rPr>
        <w:t xml:space="preserve"> </w:t>
      </w:r>
      <w:r>
        <w:rPr>
          <w:rStyle w:val="fontstyle01"/>
        </w:rPr>
        <w:t>keenly interested in monitoring their commitments and comparing them to the</w:t>
      </w:r>
      <w:r w:rsidR="00450240">
        <w:rPr>
          <w:rFonts w:ascii="BerkeleyStd-Medium" w:hAnsi="BerkeleyStd-Medium"/>
          <w:color w:val="231F20"/>
        </w:rPr>
        <w:t xml:space="preserve"> </w:t>
      </w:r>
      <w:r>
        <w:rPr>
          <w:rStyle w:val="fontstyle01"/>
        </w:rPr>
        <w:t>annual budget to manage their spending. We can envision a second fact table for</w:t>
      </w:r>
      <w:r w:rsidR="00450240">
        <w:rPr>
          <w:rStyle w:val="fontstyle01"/>
        </w:rPr>
        <w:t xml:space="preserve"> </w:t>
      </w:r>
      <w:r>
        <w:rPr>
          <w:rStyle w:val="fontstyle01"/>
        </w:rPr>
        <w:t xml:space="preserve">the commitments that shares the same dimensions, </w:t>
      </w:r>
    </w:p>
    <w:p w:rsidR="00E65687" w:rsidRDefault="00E65687" w:rsidP="00E07167">
      <w:pPr>
        <w:jc w:val="center"/>
        <w:rPr>
          <w:rFonts w:ascii="StoneSansStd-Medium" w:hAnsi="StoneSansStd-Medium"/>
          <w:color w:val="808285"/>
          <w:sz w:val="36"/>
          <w:szCs w:val="36"/>
        </w:rPr>
      </w:pPr>
      <w:r w:rsidRPr="00E65687">
        <w:rPr>
          <w:rFonts w:ascii="StoneSansStd-Medium" w:hAnsi="StoneSansStd-Medium"/>
          <w:color w:val="808285"/>
          <w:sz w:val="36"/>
          <w:szCs w:val="36"/>
        </w:rPr>
        <w:t>Dimension Attribute Hierarchies</w:t>
      </w:r>
    </w:p>
    <w:p w:rsidR="00B619E4" w:rsidRPr="00E07167" w:rsidRDefault="00052C28" w:rsidP="00CB32B1">
      <w:pPr>
        <w:jc w:val="both"/>
        <w:rPr>
          <w:rFonts w:ascii="StoneSansStd-Medium" w:hAnsi="StoneSansStd-Medium"/>
          <w:color w:val="808080" w:themeColor="background1" w:themeShade="80"/>
          <w:sz w:val="32"/>
          <w:szCs w:val="32"/>
        </w:rPr>
      </w:pPr>
      <w:r w:rsidRPr="00E07167">
        <w:rPr>
          <w:rFonts w:ascii="StoneSansStd-Medium" w:hAnsi="StoneSansStd-Medium"/>
          <w:color w:val="808080" w:themeColor="background1" w:themeShade="80"/>
          <w:sz w:val="32"/>
          <w:szCs w:val="32"/>
        </w:rPr>
        <w:t>Fix</w:t>
      </w:r>
      <w:r w:rsidR="00B619E4" w:rsidRPr="00E07167">
        <w:rPr>
          <w:rFonts w:ascii="StoneSansStd-Medium" w:hAnsi="StoneSansStd-Medium"/>
          <w:color w:val="808080" w:themeColor="background1" w:themeShade="80"/>
          <w:sz w:val="32"/>
          <w:szCs w:val="32"/>
        </w:rPr>
        <w:t>ed Depth Positional Hierarchies</w:t>
      </w:r>
    </w:p>
    <w:p w:rsidR="00E65687" w:rsidRDefault="00B619E4" w:rsidP="00CB32B1">
      <w:pPr>
        <w:jc w:val="both"/>
        <w:rPr>
          <w:rFonts w:ascii="BerkeleyStd-Medium" w:hAnsi="BerkeleyStd-Medium"/>
          <w:color w:val="231F20"/>
        </w:rPr>
      </w:pPr>
      <w:r>
        <w:rPr>
          <w:rFonts w:ascii="BerkeleyStd-Medium" w:hAnsi="BerkeleyStd-Medium"/>
          <w:color w:val="231F20"/>
        </w:rPr>
        <w:t xml:space="preserve">A </w:t>
      </w:r>
      <w:r w:rsidR="00052C28" w:rsidRPr="00052C28">
        <w:rPr>
          <w:rFonts w:ascii="BerkeleyStd-Medium" w:hAnsi="BerkeleyStd-Medium"/>
          <w:color w:val="231F20"/>
        </w:rPr>
        <w:t xml:space="preserve">fixed position hierarchy has </w:t>
      </w:r>
      <w:r>
        <w:rPr>
          <w:rFonts w:ascii="BerkeleyStd-Medium" w:hAnsi="BerkeleyStd-Medium"/>
          <w:color w:val="231F20"/>
        </w:rPr>
        <w:t xml:space="preserve">a fixed set of levels, all with </w:t>
      </w:r>
      <w:r w:rsidR="00052C28" w:rsidRPr="00052C28">
        <w:rPr>
          <w:rFonts w:ascii="BerkeleyStd-Medium" w:hAnsi="BerkeleyStd-Medium"/>
          <w:color w:val="231F20"/>
        </w:rPr>
        <w:t>meaningful labels.</w:t>
      </w:r>
      <w:r w:rsidR="00052C28" w:rsidRPr="00052C28">
        <w:rPr>
          <w:rStyle w:val="fontstyle01"/>
        </w:rPr>
        <w:t xml:space="preserve"> </w:t>
      </w:r>
      <w:r w:rsidR="00052C28" w:rsidRPr="00052C28">
        <w:rPr>
          <w:rFonts w:ascii="BerkeleyStd-Medium" w:hAnsi="BerkeleyStd-Medium"/>
          <w:color w:val="231F20"/>
        </w:rPr>
        <w:t>One calendar hierarchy may</w:t>
      </w:r>
      <w:r w:rsidR="00052C28" w:rsidRPr="00052C28">
        <w:rPr>
          <w:rFonts w:ascii="BerkeleyStd-Medium" w:hAnsi="BerkeleyStd-Medium"/>
          <w:color w:val="231F20"/>
        </w:rPr>
        <w:br/>
        <w:t xml:space="preserve">be day </w:t>
      </w:r>
      <w:r w:rsidR="00052C28" w:rsidRPr="00052C28">
        <w:rPr>
          <w:rFonts w:ascii="Segoe UI Symbol" w:hAnsi="Segoe UI Symbol" w:cs="Segoe UI Symbol"/>
          <w:color w:val="231F20"/>
        </w:rPr>
        <w:t>➪</w:t>
      </w:r>
      <w:r w:rsidR="00052C28" w:rsidRPr="00052C28">
        <w:rPr>
          <w:rFonts w:ascii="ZapfDingbatsStd" w:hAnsi="ZapfDingbatsStd"/>
          <w:color w:val="231F20"/>
        </w:rPr>
        <w:t xml:space="preserve"> </w:t>
      </w:r>
      <w:r w:rsidR="00052C28" w:rsidRPr="00052C28">
        <w:rPr>
          <w:rFonts w:ascii="BerkeleyStd-Medium" w:hAnsi="BerkeleyStd-Medium"/>
          <w:color w:val="231F20"/>
        </w:rPr>
        <w:t xml:space="preserve">fiscal period </w:t>
      </w:r>
      <w:r w:rsidR="00052C28" w:rsidRPr="00052C28">
        <w:rPr>
          <w:rFonts w:ascii="Segoe UI Symbol" w:hAnsi="Segoe UI Symbol" w:cs="Segoe UI Symbol"/>
          <w:color w:val="231F20"/>
        </w:rPr>
        <w:t>➪</w:t>
      </w:r>
      <w:r w:rsidR="00052C28" w:rsidRPr="00052C28">
        <w:rPr>
          <w:rFonts w:ascii="ZapfDingbatsStd" w:hAnsi="ZapfDingbatsStd"/>
          <w:color w:val="231F20"/>
        </w:rPr>
        <w:t xml:space="preserve"> </w:t>
      </w:r>
      <w:r w:rsidR="00052C28" w:rsidRPr="00052C28">
        <w:rPr>
          <w:rFonts w:ascii="BerkeleyStd-Medium" w:hAnsi="BerkeleyStd-Medium"/>
          <w:color w:val="231F20"/>
        </w:rPr>
        <w:t xml:space="preserve">year. Another could be day </w:t>
      </w:r>
      <w:r w:rsidR="00052C28" w:rsidRPr="00052C28">
        <w:rPr>
          <w:rFonts w:ascii="Segoe UI Symbol" w:hAnsi="Segoe UI Symbol" w:cs="Segoe UI Symbol"/>
          <w:color w:val="231F20"/>
        </w:rPr>
        <w:t>➪</w:t>
      </w:r>
      <w:r w:rsidR="00052C28" w:rsidRPr="00052C28">
        <w:rPr>
          <w:rFonts w:ascii="ZapfDingbatsStd" w:hAnsi="ZapfDingbatsStd"/>
          <w:color w:val="231F20"/>
        </w:rPr>
        <w:t xml:space="preserve"> </w:t>
      </w:r>
      <w:r w:rsidR="00052C28" w:rsidRPr="00052C28">
        <w:rPr>
          <w:rFonts w:ascii="BerkeleyStd-Medium" w:hAnsi="BerkeleyStd-Medium"/>
          <w:color w:val="231F20"/>
        </w:rPr>
        <w:t xml:space="preserve">month </w:t>
      </w:r>
      <w:r w:rsidR="00052C28" w:rsidRPr="00052C28">
        <w:rPr>
          <w:rFonts w:ascii="Segoe UI Symbol" w:hAnsi="Segoe UI Symbol" w:cs="Segoe UI Symbol"/>
          <w:color w:val="231F20"/>
        </w:rPr>
        <w:t>➪</w:t>
      </w:r>
      <w:r w:rsidR="00052C28" w:rsidRPr="00052C28">
        <w:rPr>
          <w:rFonts w:ascii="ZapfDingbatsStd" w:hAnsi="ZapfDingbatsStd"/>
          <w:color w:val="231F20"/>
        </w:rPr>
        <w:t xml:space="preserve"> </w:t>
      </w:r>
      <w:r w:rsidR="00052C28" w:rsidRPr="00052C28">
        <w:rPr>
          <w:rFonts w:ascii="BerkeleyStd-Medium" w:hAnsi="BerkeleyStd-Medium"/>
          <w:color w:val="231F20"/>
        </w:rPr>
        <w:t>year.</w:t>
      </w:r>
      <w:r w:rsidR="00052C28" w:rsidRPr="00052C28">
        <w:rPr>
          <w:rStyle w:val="fontstyle01"/>
        </w:rPr>
        <w:t xml:space="preserve"> </w:t>
      </w:r>
      <w:r w:rsidR="00052C28" w:rsidRPr="00052C28">
        <w:rPr>
          <w:rFonts w:ascii="BerkeleyStd-Medium" w:hAnsi="BerkeleyStd-Medium"/>
          <w:color w:val="231F20"/>
        </w:rPr>
        <w:t xml:space="preserve">The account </w:t>
      </w:r>
      <w:r>
        <w:rPr>
          <w:rFonts w:ascii="BerkeleyStd-Medium" w:hAnsi="BerkeleyStd-Medium"/>
          <w:color w:val="231F20"/>
        </w:rPr>
        <w:t xml:space="preserve">dimension may also </w:t>
      </w:r>
      <w:r w:rsidR="00052C28" w:rsidRPr="00052C28">
        <w:rPr>
          <w:rFonts w:ascii="BerkeleyStd-Medium" w:hAnsi="BerkeleyStd-Medium"/>
          <w:color w:val="231F20"/>
        </w:rPr>
        <w:t>have a fixe</w:t>
      </w:r>
      <w:r>
        <w:rPr>
          <w:rFonts w:ascii="BerkeleyStd-Medium" w:hAnsi="BerkeleyStd-Medium"/>
          <w:color w:val="231F20"/>
        </w:rPr>
        <w:t xml:space="preserve">d many-to-one hierarchy such as </w:t>
      </w:r>
      <w:r w:rsidR="00052C28" w:rsidRPr="00052C28">
        <w:rPr>
          <w:rFonts w:ascii="BerkeleyStd-Medium" w:hAnsi="BerkeleyStd-Medium"/>
          <w:color w:val="231F20"/>
        </w:rPr>
        <w:t>executive level, director level, and manager level accounts.</w:t>
      </w:r>
      <w:r w:rsidR="00052C28" w:rsidRPr="00052C28">
        <w:rPr>
          <w:rStyle w:val="fontstyle01"/>
        </w:rPr>
        <w:t xml:space="preserve"> </w:t>
      </w:r>
      <w:r w:rsidR="00DE5D4F">
        <w:rPr>
          <w:rFonts w:ascii="BerkeleyStd-Medium" w:hAnsi="BerkeleyStd-Medium"/>
          <w:color w:val="231F20"/>
        </w:rPr>
        <w:t xml:space="preserve">In </w:t>
      </w:r>
      <w:r w:rsidR="00052C28" w:rsidRPr="00052C28">
        <w:rPr>
          <w:rFonts w:ascii="BerkeleyStd-Medium" w:hAnsi="BerkeleyStd-Medium"/>
          <w:color w:val="231F20"/>
        </w:rPr>
        <w:t>a fixed position hierarchy, it is important that each level have a specific name.</w:t>
      </w:r>
    </w:p>
    <w:p w:rsidR="00052C28" w:rsidRPr="00E07167" w:rsidRDefault="00052C28" w:rsidP="00CB32B1">
      <w:pPr>
        <w:jc w:val="both"/>
        <w:rPr>
          <w:rFonts w:ascii="StoneSansStd-Medium" w:hAnsi="StoneSansStd-Medium"/>
          <w:color w:val="808080" w:themeColor="background1" w:themeShade="80"/>
          <w:sz w:val="32"/>
          <w:szCs w:val="32"/>
        </w:rPr>
      </w:pPr>
      <w:r w:rsidRPr="00E07167">
        <w:rPr>
          <w:rFonts w:ascii="StoneSansStd-Medium" w:hAnsi="StoneSansStd-Medium"/>
          <w:color w:val="808080" w:themeColor="background1" w:themeShade="80"/>
          <w:sz w:val="32"/>
          <w:szCs w:val="32"/>
        </w:rPr>
        <w:lastRenderedPageBreak/>
        <w:t>Slightly Ragged Variable Depth Hierarchies</w:t>
      </w:r>
    </w:p>
    <w:p w:rsidR="00052C28" w:rsidRDefault="00052C28" w:rsidP="00CB32B1">
      <w:pPr>
        <w:jc w:val="both"/>
        <w:rPr>
          <w:rFonts w:ascii="BerkeleyStd-Medium" w:hAnsi="BerkeleyStd-Medium"/>
          <w:color w:val="231F20"/>
        </w:rPr>
      </w:pPr>
      <w:r w:rsidRPr="00052C28">
        <w:rPr>
          <w:rFonts w:ascii="BerkeleyStd-Medium" w:hAnsi="BerkeleyStd-Medium"/>
          <w:color w:val="231F20"/>
        </w:rPr>
        <w:t>The simple location has four levels: add</w:t>
      </w:r>
      <w:r w:rsidR="00CF05F6">
        <w:rPr>
          <w:rFonts w:ascii="BerkeleyStd-Medium" w:hAnsi="BerkeleyStd-Medium"/>
          <w:color w:val="231F20"/>
        </w:rPr>
        <w:t xml:space="preserve">ress, city, state, and country. </w:t>
      </w:r>
      <w:r w:rsidRPr="00052C28">
        <w:rPr>
          <w:rFonts w:ascii="BerkeleyStd-Medium" w:hAnsi="BerkeleyStd-Medium"/>
          <w:color w:val="231F20"/>
        </w:rPr>
        <w:t>The medium complex location adds a zone level</w:t>
      </w:r>
      <w:r w:rsidR="00CF05F6">
        <w:rPr>
          <w:rFonts w:ascii="BerkeleyStd-Medium" w:hAnsi="BerkeleyStd-Medium"/>
          <w:color w:val="231F20"/>
        </w:rPr>
        <w:t xml:space="preserve">, and the complex location adds </w:t>
      </w:r>
      <w:r w:rsidRPr="00052C28">
        <w:rPr>
          <w:rFonts w:ascii="BerkeleyStd-Medium" w:hAnsi="BerkeleyStd-Medium"/>
          <w:color w:val="231F20"/>
        </w:rPr>
        <w:t>both district and zone levels. If you need to represent all three types of locations</w:t>
      </w:r>
      <w:r>
        <w:rPr>
          <w:rFonts w:ascii="BerkeleyStd-Medium" w:hAnsi="BerkeleyStd-Medium"/>
          <w:color w:val="231F20"/>
        </w:rPr>
        <w:t xml:space="preserve"> </w:t>
      </w:r>
      <w:r w:rsidRPr="00052C28">
        <w:rPr>
          <w:rFonts w:ascii="BerkeleyStd-Medium" w:hAnsi="BerkeleyStd-Medium"/>
          <w:color w:val="231F20"/>
        </w:rPr>
        <w:t>in a single geographic hierarchy, you have a slightly variable hierarchy. You can</w:t>
      </w:r>
      <w:r w:rsidRPr="00052C28">
        <w:rPr>
          <w:rFonts w:ascii="BerkeleyStd-Medium" w:hAnsi="BerkeleyStd-Medium"/>
          <w:color w:val="231F20"/>
        </w:rPr>
        <w:br/>
        <w:t>combine all three types if you are willing to make a compromise.</w:t>
      </w:r>
      <w:r w:rsidRPr="00052C28">
        <w:rPr>
          <w:rStyle w:val="fontstyle01"/>
        </w:rPr>
        <w:t xml:space="preserve"> </w:t>
      </w:r>
      <w:r w:rsidRPr="00052C28">
        <w:rPr>
          <w:rFonts w:ascii="BerkeleyStd-Medium" w:hAnsi="BerkeleyStd-Medium"/>
          <w:color w:val="231F20"/>
        </w:rPr>
        <w:t>The key to this compromise is</w:t>
      </w:r>
      <w:r w:rsidR="00CF05F6">
        <w:rPr>
          <w:rFonts w:ascii="BerkeleyStd-Medium" w:hAnsi="BerkeleyStd-Medium"/>
          <w:color w:val="231F20"/>
        </w:rPr>
        <w:t xml:space="preserve"> the narrow range of geographic </w:t>
      </w:r>
      <w:r w:rsidRPr="00052C28">
        <w:rPr>
          <w:rFonts w:ascii="BerkeleyStd-Medium" w:hAnsi="BerkeleyStd-Medium"/>
          <w:color w:val="231F20"/>
        </w:rPr>
        <w:t>hierarchies, ranging from four levels to only six levels. If the data ranged from</w:t>
      </w:r>
      <w:r w:rsidRPr="00052C28">
        <w:rPr>
          <w:rFonts w:ascii="BerkeleyStd-Medium" w:hAnsi="BerkeleyStd-Medium"/>
          <w:color w:val="231F20"/>
        </w:rPr>
        <w:br/>
        <w:t>four levels to eight or ten or even more, this design compromise would not work.</w:t>
      </w:r>
      <w:r w:rsidRPr="00052C28">
        <w:rPr>
          <w:rFonts w:ascii="BerkeleyStd-Medium" w:hAnsi="BerkeleyStd-Medium"/>
          <w:color w:val="231F20"/>
        </w:rPr>
        <w:br/>
        <w:t>Remember the attribute names need to make sense</w:t>
      </w:r>
    </w:p>
    <w:p w:rsidR="00052C28" w:rsidRPr="00CF05F6" w:rsidRDefault="00052C28" w:rsidP="00CB32B1">
      <w:pPr>
        <w:jc w:val="both"/>
        <w:rPr>
          <w:rFonts w:ascii="StoneSansStd-Medium" w:hAnsi="StoneSansStd-Medium"/>
          <w:color w:val="808080" w:themeColor="background1" w:themeShade="80"/>
          <w:sz w:val="32"/>
          <w:szCs w:val="32"/>
        </w:rPr>
      </w:pPr>
      <w:r w:rsidRPr="00CF05F6">
        <w:rPr>
          <w:rFonts w:ascii="StoneSansStd-Medium" w:hAnsi="StoneSansStd-Medium"/>
          <w:color w:val="808080" w:themeColor="background1" w:themeShade="80"/>
          <w:sz w:val="32"/>
          <w:szCs w:val="32"/>
        </w:rPr>
        <w:t>Ragged Variable Depth Hierarchies</w:t>
      </w:r>
    </w:p>
    <w:p w:rsidR="00052C28" w:rsidRDefault="00CF05F6" w:rsidP="00CB32B1">
      <w:pPr>
        <w:jc w:val="both"/>
        <w:rPr>
          <w:rFonts w:ascii="BerkeleyStd-Medium" w:hAnsi="BerkeleyStd-Medium"/>
          <w:color w:val="231F20"/>
        </w:rPr>
      </w:pPr>
      <w:r>
        <w:rPr>
          <w:rFonts w:ascii="BerkeleyStd-Medium" w:hAnsi="BerkeleyStd-Medium"/>
          <w:color w:val="231F20"/>
        </w:rPr>
        <w:t>T</w:t>
      </w:r>
      <w:r w:rsidR="00052C28" w:rsidRPr="00052C28">
        <w:rPr>
          <w:rFonts w:ascii="BerkeleyStd-Medium" w:hAnsi="BerkeleyStd-Medium"/>
          <w:color w:val="231F20"/>
        </w:rPr>
        <w:t>he organization structure is a</w:t>
      </w:r>
      <w:r>
        <w:rPr>
          <w:rFonts w:ascii="BerkeleyStd-Medium" w:hAnsi="BerkeleyStd-Medium"/>
          <w:color w:val="231F20"/>
        </w:rPr>
        <w:t xml:space="preserve">n excellent example of a ragged </w:t>
      </w:r>
      <w:r w:rsidR="00052C28" w:rsidRPr="00052C28">
        <w:rPr>
          <w:rFonts w:ascii="BerkeleyStd-Medium" w:hAnsi="BerkeleyStd-Medium"/>
          <w:color w:val="231F20"/>
        </w:rPr>
        <w:t>hierarchy of indeterminate depth</w:t>
      </w:r>
      <w:r w:rsidR="00052C28">
        <w:rPr>
          <w:rFonts w:ascii="BerkeleyStd-Medium" w:hAnsi="BerkeleyStd-Medium"/>
          <w:color w:val="231F20"/>
        </w:rPr>
        <w:t>.</w:t>
      </w:r>
      <w:r w:rsidR="00052C28" w:rsidRPr="00052C28">
        <w:rPr>
          <w:rStyle w:val="fontstyle01"/>
        </w:rPr>
        <w:t xml:space="preserve"> </w:t>
      </w:r>
      <w:r>
        <w:rPr>
          <w:rFonts w:ascii="BerkeleyStd-Medium" w:hAnsi="BerkeleyStd-Medium"/>
          <w:color w:val="231F20"/>
        </w:rPr>
        <w:t xml:space="preserve">Imagine your </w:t>
      </w:r>
      <w:r w:rsidR="00052C28" w:rsidRPr="00052C28">
        <w:rPr>
          <w:rFonts w:ascii="BerkeleyStd-Medium" w:hAnsi="BerkeleyStd-Medium"/>
          <w:color w:val="231F20"/>
        </w:rPr>
        <w:t>enterpri</w:t>
      </w:r>
      <w:r>
        <w:rPr>
          <w:rFonts w:ascii="BerkeleyStd-Medium" w:hAnsi="BerkeleyStd-Medium"/>
          <w:color w:val="231F20"/>
        </w:rPr>
        <w:t xml:space="preserve">se consists of 13 organizations. </w:t>
      </w:r>
      <w:r w:rsidR="00052C28" w:rsidRPr="00052C28">
        <w:rPr>
          <w:rFonts w:ascii="BerkeleyStd-Medium" w:hAnsi="BerkeleyStd-Medium"/>
          <w:color w:val="231F20"/>
        </w:rPr>
        <w:t>Each of these organizations has its own budget, commitments, and payments</w:t>
      </w:r>
      <w:r>
        <w:rPr>
          <w:rFonts w:ascii="BerkeleyStd-Medium" w:hAnsi="BerkeleyStd-Medium"/>
          <w:color w:val="231F20"/>
        </w:rPr>
        <w:t xml:space="preserve">. </w:t>
      </w:r>
      <w:r w:rsidR="00052C28" w:rsidRPr="00052C28">
        <w:rPr>
          <w:rFonts w:ascii="BerkeleyStd-Medium" w:hAnsi="BerkeleyStd-Medium"/>
          <w:color w:val="231F20"/>
        </w:rPr>
        <w:t>The classic way to represent a parent/child tree structure is by placing recursive pointers in the organization dimension from each row to its parent</w:t>
      </w:r>
      <w:r w:rsidR="00052C28">
        <w:rPr>
          <w:rFonts w:ascii="BerkeleyStd-Medium" w:hAnsi="BerkeleyStd-Medium"/>
          <w:color w:val="231F20"/>
        </w:rPr>
        <w:t xml:space="preserve">. </w:t>
      </w:r>
      <w:r w:rsidR="00052C28" w:rsidRPr="00052C28">
        <w:rPr>
          <w:rFonts w:ascii="BerkeleyStd-Medium" w:hAnsi="BerkeleyStd-Medium"/>
          <w:color w:val="231F20"/>
        </w:rPr>
        <w:t>The solution to the problem of representing arbitrar</w:t>
      </w:r>
      <w:r>
        <w:rPr>
          <w:rFonts w:ascii="BerkeleyStd-Medium" w:hAnsi="BerkeleyStd-Medium"/>
          <w:color w:val="231F20"/>
        </w:rPr>
        <w:t xml:space="preserve">y rollup structures is to build </w:t>
      </w:r>
      <w:r w:rsidR="00052C28" w:rsidRPr="00052C28">
        <w:rPr>
          <w:rFonts w:ascii="BerkeleyStd-Medium" w:hAnsi="BerkeleyStd-Medium"/>
          <w:color w:val="231F20"/>
        </w:rPr>
        <w:t>a special kind of bridge table that is independent from the primary dimension table</w:t>
      </w:r>
      <w:r>
        <w:rPr>
          <w:rFonts w:ascii="BerkeleyStd-Medium" w:hAnsi="BerkeleyStd-Medium"/>
          <w:color w:val="231F20"/>
        </w:rPr>
        <w:t xml:space="preserve"> </w:t>
      </w:r>
      <w:r w:rsidR="00052C28" w:rsidRPr="00052C28">
        <w:rPr>
          <w:rFonts w:ascii="BerkeleyStd-Medium" w:hAnsi="BerkeleyStd-Medium"/>
          <w:color w:val="231F20"/>
        </w:rPr>
        <w:t>and contains all the information about the rollup.</w:t>
      </w:r>
    </w:p>
    <w:p w:rsidR="00052C28" w:rsidRPr="006A118A" w:rsidRDefault="00052C28" w:rsidP="00CB32B1">
      <w:pPr>
        <w:jc w:val="both"/>
        <w:rPr>
          <w:rFonts w:ascii="StoneSansStd-Medium" w:hAnsi="StoneSansStd-Medium"/>
          <w:color w:val="808080" w:themeColor="background1" w:themeShade="80"/>
          <w:sz w:val="32"/>
          <w:szCs w:val="32"/>
        </w:rPr>
      </w:pPr>
      <w:r w:rsidRPr="006A118A">
        <w:rPr>
          <w:rFonts w:ascii="StoneSansStd-Medium" w:hAnsi="StoneSansStd-Medium"/>
          <w:color w:val="808080" w:themeColor="background1" w:themeShade="80"/>
          <w:sz w:val="32"/>
          <w:szCs w:val="32"/>
        </w:rPr>
        <w:t>Time Varying Ragged Hierarchies</w:t>
      </w:r>
    </w:p>
    <w:p w:rsidR="00052C28" w:rsidRDefault="00052C28" w:rsidP="00CB32B1">
      <w:pPr>
        <w:jc w:val="both"/>
        <w:rPr>
          <w:rFonts w:ascii="BerkeleyStd-Medium" w:hAnsi="BerkeleyStd-Medium"/>
          <w:color w:val="231F20"/>
        </w:rPr>
      </w:pPr>
      <w:r w:rsidRPr="00052C28">
        <w:rPr>
          <w:rFonts w:ascii="BerkeleyStd-Medium" w:hAnsi="BerkeleyStd-Medium"/>
          <w:color w:val="231F20"/>
        </w:rPr>
        <w:t>The ragged hierarchy bridge table can accommod</w:t>
      </w:r>
      <w:r w:rsidR="002B406F">
        <w:rPr>
          <w:rFonts w:ascii="BerkeleyStd-Medium" w:hAnsi="BerkeleyStd-Medium"/>
          <w:color w:val="231F20"/>
        </w:rPr>
        <w:t xml:space="preserve">ate slowly changing hierarchies </w:t>
      </w:r>
      <w:r w:rsidRPr="00052C28">
        <w:rPr>
          <w:rFonts w:ascii="BerkeleyStd-Medium" w:hAnsi="BerkeleyStd-Medium"/>
          <w:color w:val="231F20"/>
        </w:rPr>
        <w:t>with the a</w:t>
      </w:r>
      <w:r>
        <w:rPr>
          <w:rFonts w:ascii="BerkeleyStd-Medium" w:hAnsi="BerkeleyStd-Medium"/>
          <w:color w:val="231F20"/>
        </w:rPr>
        <w:t>ddition of two date/time stamps</w:t>
      </w:r>
      <w:r w:rsidR="002B406F">
        <w:rPr>
          <w:rFonts w:ascii="BerkeleyStd-Medium" w:hAnsi="BerkeleyStd-Medium"/>
          <w:color w:val="231F20"/>
        </w:rPr>
        <w:t xml:space="preserve">. When a given </w:t>
      </w:r>
      <w:r w:rsidRPr="00052C28">
        <w:rPr>
          <w:rFonts w:ascii="BerkeleyStd-Medium" w:hAnsi="BerkeleyStd-Medium"/>
          <w:color w:val="231F20"/>
        </w:rPr>
        <w:t>node no longer is a child of another node, the end e</w:t>
      </w:r>
      <w:r w:rsidRPr="00052C28">
        <w:rPr>
          <w:rFonts w:ascii="Cambria Math" w:hAnsi="Cambria Math" w:cs="Cambria Math"/>
          <w:color w:val="231F20"/>
        </w:rPr>
        <w:t>ﬀ</w:t>
      </w:r>
      <w:r w:rsidR="002B406F">
        <w:rPr>
          <w:rFonts w:ascii="BerkeleyStd-Medium" w:hAnsi="BerkeleyStd-Medium"/>
          <w:color w:val="231F20"/>
        </w:rPr>
        <w:t xml:space="preserve">ective date/time of the old </w:t>
      </w:r>
      <w:r w:rsidRPr="00052C28">
        <w:rPr>
          <w:rFonts w:ascii="BerkeleyStd-Medium" w:hAnsi="BerkeleyStd-Medium"/>
          <w:color w:val="231F20"/>
        </w:rPr>
        <w:t>relationship must be set to the date/time of the change, and new path rows inserted</w:t>
      </w:r>
      <w:r w:rsidRPr="00052C28">
        <w:rPr>
          <w:rFonts w:ascii="BerkeleyStd-Medium" w:hAnsi="BerkeleyStd-Medium"/>
          <w:color w:val="231F20"/>
        </w:rPr>
        <w:br/>
        <w:t>into the bridge table with the correct begin e</w:t>
      </w:r>
      <w:r w:rsidRPr="00052C28">
        <w:rPr>
          <w:rFonts w:ascii="Cambria Math" w:hAnsi="Cambria Math" w:cs="Cambria Math"/>
          <w:color w:val="231F20"/>
        </w:rPr>
        <w:t>ﬀ</w:t>
      </w:r>
      <w:r w:rsidRPr="00052C28">
        <w:rPr>
          <w:rFonts w:ascii="BerkeleyStd-Medium" w:hAnsi="BerkeleyStd-Medium"/>
          <w:color w:val="231F20"/>
        </w:rPr>
        <w:t>ective date/time</w:t>
      </w:r>
    </w:p>
    <w:p w:rsidR="00052C28" w:rsidRDefault="00052C28" w:rsidP="00CB32B1">
      <w:pPr>
        <w:jc w:val="both"/>
        <w:rPr>
          <w:rFonts w:ascii="BerkeleyStd-Medium" w:hAnsi="BerkeleyStd-Medium"/>
          <w:color w:val="231F20"/>
        </w:rPr>
      </w:pPr>
      <w:r w:rsidRPr="00052C28">
        <w:rPr>
          <w:rFonts w:ascii="StoneSansStd-Medium" w:hAnsi="StoneSansStd-Medium"/>
          <w:color w:val="808285"/>
          <w:sz w:val="36"/>
          <w:szCs w:val="36"/>
        </w:rPr>
        <w:t>Consolidated Fact Tables</w:t>
      </w:r>
    </w:p>
    <w:p w:rsidR="00052C28" w:rsidRDefault="00052C28" w:rsidP="00CB32B1">
      <w:pPr>
        <w:jc w:val="both"/>
        <w:rPr>
          <w:rFonts w:ascii="BerkeleyStd-Medium" w:hAnsi="BerkeleyStd-Medium"/>
          <w:color w:val="231F20"/>
        </w:rPr>
      </w:pPr>
      <w:r w:rsidRPr="00052C28">
        <w:rPr>
          <w:rFonts w:ascii="BerkeleyStd-Medium" w:hAnsi="BerkeleyStd-Medium"/>
          <w:color w:val="231F20"/>
        </w:rPr>
        <w:t>Fact tables that combine metrics from multiple business processes at a com</w:t>
      </w:r>
      <w:r w:rsidR="002B406F">
        <w:rPr>
          <w:rFonts w:ascii="BerkeleyStd-Medium" w:hAnsi="BerkeleyStd-Medium"/>
          <w:color w:val="231F20"/>
        </w:rPr>
        <w:t xml:space="preserve">mon granularity are referred to </w:t>
      </w:r>
      <w:r w:rsidRPr="00052C28">
        <w:rPr>
          <w:rFonts w:ascii="BerkeleyStd-Medium" w:hAnsi="BerkeleyStd-Medium"/>
          <w:color w:val="231F20"/>
        </w:rPr>
        <w:t xml:space="preserve">as </w:t>
      </w:r>
      <w:r w:rsidRPr="00052C28">
        <w:rPr>
          <w:rFonts w:ascii="BerkeleyStd-Italic" w:hAnsi="BerkeleyStd-Italic"/>
          <w:i/>
          <w:iCs/>
          <w:color w:val="231F20"/>
        </w:rPr>
        <w:t>consolidated fact tables</w:t>
      </w:r>
      <w:r w:rsidR="002B406F">
        <w:rPr>
          <w:rFonts w:ascii="BerkeleyStd-Medium" w:hAnsi="BerkeleyStd-Medium"/>
          <w:color w:val="231F20"/>
        </w:rPr>
        <w:t xml:space="preserve">. Although consolidated </w:t>
      </w:r>
      <w:r w:rsidRPr="00052C28">
        <w:rPr>
          <w:rFonts w:ascii="BerkeleyStd-Medium" w:hAnsi="BerkeleyStd-Medium"/>
          <w:color w:val="231F20"/>
        </w:rPr>
        <w:t>fact tables can be useful, both in terms of perfor</w:t>
      </w:r>
      <w:r w:rsidR="002B406F">
        <w:rPr>
          <w:rFonts w:ascii="BerkeleyStd-Medium" w:hAnsi="BerkeleyStd-Medium"/>
          <w:color w:val="231F20"/>
        </w:rPr>
        <w:t xml:space="preserve">mance and usability, they often </w:t>
      </w:r>
      <w:r w:rsidRPr="00052C28">
        <w:rPr>
          <w:rFonts w:ascii="BerkeleyStd-Medium" w:hAnsi="BerkeleyStd-Medium"/>
          <w:color w:val="231F20"/>
        </w:rPr>
        <w:t>represent a dimensionality compromise as they consolidate facts at the “least</w:t>
      </w:r>
      <w:r w:rsidRPr="00052C28">
        <w:rPr>
          <w:rFonts w:ascii="BerkeleyStd-Medium" w:hAnsi="BerkeleyStd-Medium"/>
          <w:color w:val="231F20"/>
        </w:rPr>
        <w:br/>
        <w:t>common denominator” of dimensionality.</w:t>
      </w:r>
    </w:p>
    <w:p w:rsidR="00052C28" w:rsidRDefault="00052C28" w:rsidP="00CB32B1">
      <w:pPr>
        <w:jc w:val="both"/>
        <w:rPr>
          <w:rFonts w:ascii="BerkeleyStd-Medium" w:hAnsi="BerkeleyStd-Medium"/>
          <w:color w:val="231F20"/>
        </w:rPr>
      </w:pPr>
      <w:r w:rsidRPr="00052C28">
        <w:rPr>
          <w:rFonts w:ascii="StoneSansStd-Medium" w:hAnsi="StoneSansStd-Medium"/>
          <w:color w:val="808285"/>
          <w:sz w:val="36"/>
          <w:szCs w:val="36"/>
        </w:rPr>
        <w:t xml:space="preserve">Role of OLAP </w:t>
      </w:r>
    </w:p>
    <w:p w:rsidR="00052C28" w:rsidRDefault="00052C28" w:rsidP="00CB32B1">
      <w:pPr>
        <w:pBdr>
          <w:bottom w:val="single" w:sz="12" w:space="1" w:color="auto"/>
        </w:pBdr>
        <w:jc w:val="both"/>
        <w:rPr>
          <w:rFonts w:ascii="BerkeleyStd-Medium" w:hAnsi="BerkeleyStd-Medium"/>
          <w:color w:val="231F20"/>
        </w:rPr>
      </w:pPr>
      <w:r w:rsidRPr="00052C28">
        <w:rPr>
          <w:rFonts w:ascii="BerkeleyStd-Medium" w:hAnsi="BerkeleyStd-Medium"/>
          <w:color w:val="231F20"/>
        </w:rPr>
        <w:t>OLAP products have been used exten</w:t>
      </w:r>
      <w:r w:rsidR="00735684">
        <w:rPr>
          <w:rFonts w:ascii="BerkeleyStd-Medium" w:hAnsi="BerkeleyStd-Medium"/>
          <w:color w:val="231F20"/>
        </w:rPr>
        <w:t xml:space="preserve">sively for financial reporting, </w:t>
      </w:r>
      <w:r w:rsidRPr="00052C28">
        <w:rPr>
          <w:rFonts w:ascii="BerkeleyStd-Medium" w:hAnsi="BerkeleyStd-Medium"/>
          <w:color w:val="231F20"/>
        </w:rPr>
        <w:t>budgeting, and consolidation applications. Relationa</w:t>
      </w:r>
      <w:r w:rsidR="00735684">
        <w:rPr>
          <w:rFonts w:ascii="BerkeleyStd-Medium" w:hAnsi="BerkeleyStd-Medium"/>
          <w:color w:val="231F20"/>
        </w:rPr>
        <w:t xml:space="preserve">l dimensional models often feed </w:t>
      </w:r>
      <w:r w:rsidRPr="00052C28">
        <w:rPr>
          <w:rFonts w:ascii="BerkeleyStd-Medium" w:hAnsi="BerkeleyStd-Medium"/>
          <w:color w:val="231F20"/>
        </w:rPr>
        <w:t>financial OLAP cubes. OLAP cubes can deliver fast que</w:t>
      </w:r>
      <w:r w:rsidR="00735684">
        <w:rPr>
          <w:rFonts w:ascii="BerkeleyStd-Medium" w:hAnsi="BerkeleyStd-Medium"/>
          <w:color w:val="231F20"/>
        </w:rPr>
        <w:t xml:space="preserve">ry performance that is critical </w:t>
      </w:r>
      <w:r w:rsidRPr="00052C28">
        <w:rPr>
          <w:rFonts w:ascii="BerkeleyStd-Medium" w:hAnsi="BerkeleyStd-Medium"/>
          <w:color w:val="231F20"/>
        </w:rPr>
        <w:t>for executive usage.</w:t>
      </w:r>
      <w:r w:rsidRPr="00052C28">
        <w:rPr>
          <w:rStyle w:val="fontstyle01"/>
        </w:rPr>
        <w:t xml:space="preserve"> </w:t>
      </w:r>
      <w:r w:rsidRPr="00052C28">
        <w:rPr>
          <w:rFonts w:ascii="BerkeleyStd-Medium" w:hAnsi="BerkeleyStd-Medium"/>
          <w:color w:val="231F20"/>
        </w:rPr>
        <w:t>OLAP is well suited to handle complicated organizational rollups, as well as complex calculations</w:t>
      </w:r>
      <w:r w:rsidR="00735684">
        <w:rPr>
          <w:rFonts w:ascii="BerkeleyStd-Medium" w:hAnsi="BerkeleyStd-Medium"/>
          <w:color w:val="231F20"/>
        </w:rPr>
        <w:t>.</w:t>
      </w:r>
    </w:p>
    <w:p w:rsidR="00735684" w:rsidRPr="00052C28" w:rsidRDefault="00735684" w:rsidP="00735684">
      <w:pPr>
        <w:jc w:val="center"/>
        <w:rPr>
          <w:rFonts w:ascii="StoneSansStd-Medium" w:hAnsi="StoneSansStd-Medium"/>
          <w:color w:val="231F20"/>
          <w:sz w:val="30"/>
          <w:szCs w:val="30"/>
        </w:rPr>
      </w:pPr>
      <w:r>
        <w:rPr>
          <w:rFonts w:ascii="StoneSansStd-Medium" w:hAnsi="StoneSansStd-Medium"/>
          <w:color w:val="231F20"/>
          <w:sz w:val="30"/>
          <w:szCs w:val="30"/>
        </w:rPr>
        <w:t>THE END</w:t>
      </w:r>
    </w:p>
    <w:sectPr w:rsidR="00735684" w:rsidRPr="0005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keleyStd-Medium">
    <w:altName w:val="Times New Roman"/>
    <w:panose1 w:val="00000000000000000000"/>
    <w:charset w:val="00"/>
    <w:family w:val="roman"/>
    <w:notTrueType/>
    <w:pitch w:val="default"/>
  </w:font>
  <w:font w:name="BerkeleyStd-Book">
    <w:altName w:val="Times New Roman"/>
    <w:panose1 w:val="00000000000000000000"/>
    <w:charset w:val="00"/>
    <w:family w:val="roman"/>
    <w:notTrueType/>
    <w:pitch w:val="default"/>
  </w:font>
  <w:font w:name="BerkeleySt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oneSansStd-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ZapfDingbatsSt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15"/>
    <w:rsid w:val="00052C28"/>
    <w:rsid w:val="00052C65"/>
    <w:rsid w:val="000703E2"/>
    <w:rsid w:val="00126898"/>
    <w:rsid w:val="001478AC"/>
    <w:rsid w:val="00192E45"/>
    <w:rsid w:val="001F0E38"/>
    <w:rsid w:val="0020230A"/>
    <w:rsid w:val="00270F12"/>
    <w:rsid w:val="00284C23"/>
    <w:rsid w:val="002B406F"/>
    <w:rsid w:val="002E220F"/>
    <w:rsid w:val="003129F0"/>
    <w:rsid w:val="00331C80"/>
    <w:rsid w:val="003775D7"/>
    <w:rsid w:val="004174C1"/>
    <w:rsid w:val="00432515"/>
    <w:rsid w:val="00432987"/>
    <w:rsid w:val="00437A92"/>
    <w:rsid w:val="0044422B"/>
    <w:rsid w:val="00450240"/>
    <w:rsid w:val="00533338"/>
    <w:rsid w:val="005823F5"/>
    <w:rsid w:val="00585A35"/>
    <w:rsid w:val="00593AEB"/>
    <w:rsid w:val="005A4BA7"/>
    <w:rsid w:val="005A4EA6"/>
    <w:rsid w:val="005E1732"/>
    <w:rsid w:val="005F54E3"/>
    <w:rsid w:val="006A118A"/>
    <w:rsid w:val="006D5B07"/>
    <w:rsid w:val="006E7279"/>
    <w:rsid w:val="00735684"/>
    <w:rsid w:val="007406CC"/>
    <w:rsid w:val="00740971"/>
    <w:rsid w:val="0075417F"/>
    <w:rsid w:val="0077378E"/>
    <w:rsid w:val="00794747"/>
    <w:rsid w:val="007A76F3"/>
    <w:rsid w:val="00837CF4"/>
    <w:rsid w:val="00944E4A"/>
    <w:rsid w:val="009B154A"/>
    <w:rsid w:val="009F3C88"/>
    <w:rsid w:val="00AE1744"/>
    <w:rsid w:val="00AE76E0"/>
    <w:rsid w:val="00B619E4"/>
    <w:rsid w:val="00B6713C"/>
    <w:rsid w:val="00CA0466"/>
    <w:rsid w:val="00CB1D21"/>
    <w:rsid w:val="00CB32B1"/>
    <w:rsid w:val="00CF05F6"/>
    <w:rsid w:val="00D0186C"/>
    <w:rsid w:val="00DE5D4F"/>
    <w:rsid w:val="00DE6753"/>
    <w:rsid w:val="00E07167"/>
    <w:rsid w:val="00E15E0A"/>
    <w:rsid w:val="00E65687"/>
    <w:rsid w:val="00E7605B"/>
    <w:rsid w:val="00F349AE"/>
    <w:rsid w:val="00FA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49311-BEFB-4EF6-BA2F-2204397D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129F0"/>
    <w:rPr>
      <w:rFonts w:ascii="BerkeleyStd-Medium" w:hAnsi="BerkeleyStd-Medium" w:hint="default"/>
      <w:b w:val="0"/>
      <w:bCs w:val="0"/>
      <w:i w:val="0"/>
      <w:iCs w:val="0"/>
      <w:color w:val="231F20"/>
      <w:sz w:val="22"/>
      <w:szCs w:val="22"/>
    </w:rPr>
  </w:style>
  <w:style w:type="character" w:customStyle="1" w:styleId="fontstyle21">
    <w:name w:val="fontstyle21"/>
    <w:basedOn w:val="DefaultParagraphFont"/>
    <w:rsid w:val="003129F0"/>
    <w:rPr>
      <w:rFonts w:ascii="BerkeleyStd-Book" w:hAnsi="BerkeleyStd-Book" w:hint="default"/>
      <w:b w:val="0"/>
      <w:bCs w:val="0"/>
      <w:i w:val="0"/>
      <w:iCs w:val="0"/>
      <w:color w:val="231F20"/>
      <w:sz w:val="22"/>
      <w:szCs w:val="22"/>
    </w:rPr>
  </w:style>
  <w:style w:type="character" w:customStyle="1" w:styleId="fontstyle31">
    <w:name w:val="fontstyle31"/>
    <w:basedOn w:val="DefaultParagraphFont"/>
    <w:rsid w:val="003129F0"/>
    <w:rPr>
      <w:rFonts w:ascii="BerkeleyStd-Italic" w:hAnsi="BerkeleyStd-Italic" w:hint="default"/>
      <w:b w:val="0"/>
      <w:bCs w:val="0"/>
      <w:i/>
      <w:iCs/>
      <w:color w:val="231F20"/>
      <w:sz w:val="22"/>
      <w:szCs w:val="22"/>
    </w:rPr>
  </w:style>
  <w:style w:type="character" w:customStyle="1" w:styleId="fontstyle41">
    <w:name w:val="fontstyle41"/>
    <w:basedOn w:val="DefaultParagraphFont"/>
    <w:rsid w:val="003129F0"/>
    <w:rPr>
      <w:rFonts w:ascii="BerkeleyStd-Medium" w:hAnsi="BerkeleyStd-Medium"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hamad</dc:creator>
  <cp:keywords/>
  <dc:description/>
  <cp:lastModifiedBy>muhammad hamad</cp:lastModifiedBy>
  <cp:revision>55</cp:revision>
  <dcterms:created xsi:type="dcterms:W3CDTF">2018-03-16T06:27:00Z</dcterms:created>
  <dcterms:modified xsi:type="dcterms:W3CDTF">2018-03-17T05:27:00Z</dcterms:modified>
</cp:coreProperties>
</file>