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Kullanıcı Erişim Yönetimi Uygulama Esasları</w:t>
      </w:r>
    </w:p>
    <w:p>
      <w:r>
        <w:t>ÖRNEK BANKA A.Ş. — Sentetik test belgesidir; gerçek bir kuruma ait değildir.</w:t>
      </w:r>
    </w:p>
    <w:p>
      <w:pPr>
        <w:pStyle w:val="Heading1"/>
      </w:pPr>
      <w:r>
        <w:t>1. Amaç ve Kapsam</w:t>
      </w:r>
    </w:p>
    <w:p>
      <w:r>
        <w:t>Bu esaslar, bankanın tüm bilgi sistemlerine kullanıcı erişimlerinin tanımlanması, değiştirilmesi ve kaldırılmasına ilişkin kuralları belirler.</w:t>
      </w:r>
    </w:p>
    <w:p>
      <w:r>
        <w:t>Temel bankacılık sistemi, ödeme sistemleri, kredi başvuru sistemi ve doküman yönetim sistemi kapsamdadır.</w:t>
      </w:r>
    </w:p>
    <w:p>
      <w:pPr>
        <w:pStyle w:val="Heading1"/>
      </w:pPr>
      <w:r>
        <w:t>2. Kullanıcı Tanımlama</w:t>
      </w:r>
    </w:p>
    <w:p>
      <w:r>
        <w:t>Yeni kullanıcı talepleri İnsan Kaynakları tarafından işe giriş kaydı oluşturulduktan sonra erişim talep sistemine girilir.</w:t>
      </w:r>
    </w:p>
    <w:p>
      <w:r>
        <w:t>Talep, kullanıcının yöneticisi tarafından onaylanmadan Bilgi Güvenliği birimine iletilmez.</w:t>
      </w:r>
    </w:p>
    <w:p>
      <w:r>
        <w:t>Kullanıcıya yalnız görev tanımının gerektirdiği roller atanır; rol dışı yetki talepleri gerekçeli olarak Bilgi Güvenliği onayına sunulur.</w:t>
      </w:r>
    </w:p>
    <w:p>
      <w:r>
        <w:t>İlk parola kullanıcıya kapalı zarfla veya SMS ile iletilir ve ilk girişte değiştirilmesi zorunludur.</w:t>
      </w:r>
    </w:p>
    <w:p>
      <w:pPr>
        <w:pStyle w:val="Heading1"/>
      </w:pPr>
      <w:r>
        <w:t>3. Yetki Matrisi</w:t>
      </w:r>
    </w:p>
    <w:p>
      <w:r>
        <w:t>Aşağıdaki tablo, kritik işlemler için rol bazlı yetkileri gösterir. Aynı kullanıcıya hem 'giriş' hem 'onay' rolü verilemez.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İşlem</w:t>
            </w:r>
          </w:p>
        </w:tc>
        <w:tc>
          <w:tcPr>
            <w:tcW w:type="dxa" w:w="2160"/>
          </w:tcPr>
          <w:p>
            <w:r>
              <w:t>Giriş rolü</w:t>
            </w:r>
          </w:p>
        </w:tc>
        <w:tc>
          <w:tcPr>
            <w:tcW w:type="dxa" w:w="2160"/>
          </w:tcPr>
          <w:p>
            <w:r>
              <w:t>Onay rolü</w:t>
            </w:r>
          </w:p>
        </w:tc>
        <w:tc>
          <w:tcPr>
            <w:tcW w:type="dxa" w:w="2160"/>
          </w:tcPr>
          <w:p>
            <w:r>
              <w:t>Limit</w:t>
            </w:r>
          </w:p>
        </w:tc>
      </w:tr>
      <w:tr>
        <w:tc>
          <w:tcPr>
            <w:tcW w:type="dxa" w:w="2160"/>
          </w:tcPr>
          <w:p>
            <w:r>
              <w:t>Kredi tahsisi</w:t>
            </w:r>
          </w:p>
        </w:tc>
        <w:tc>
          <w:tcPr>
            <w:tcW w:type="dxa" w:w="2160"/>
          </w:tcPr>
          <w:p>
            <w:r>
              <w:t>Portföy yöneticisi</w:t>
            </w:r>
          </w:p>
        </w:tc>
        <w:tc>
          <w:tcPr>
            <w:tcW w:type="dxa" w:w="2160"/>
          </w:tcPr>
          <w:p>
            <w:r>
              <w:t>Şube müdürü / Kredi komitesi</w:t>
            </w:r>
          </w:p>
        </w:tc>
        <w:tc>
          <w:tcPr>
            <w:tcW w:type="dxa" w:w="2160"/>
          </w:tcPr>
          <w:p>
            <w:r>
              <w:t>Yetki tablosuna göre</w:t>
            </w:r>
          </w:p>
        </w:tc>
      </w:tr>
      <w:tr>
        <w:tc>
          <w:tcPr>
            <w:tcW w:type="dxa" w:w="2160"/>
          </w:tcPr>
          <w:p>
            <w:r>
              <w:t>EFT / Havale</w:t>
            </w:r>
          </w:p>
        </w:tc>
        <w:tc>
          <w:tcPr>
            <w:tcW w:type="dxa" w:w="2160"/>
          </w:tcPr>
          <w:p>
            <w:r>
              <w:t>Operasyon personeli</w:t>
            </w:r>
          </w:p>
        </w:tc>
        <w:tc>
          <w:tcPr>
            <w:tcW w:type="dxa" w:w="2160"/>
          </w:tcPr>
          <w:p>
            <w:r>
              <w:t>Operasyon yetkilisi</w:t>
            </w:r>
          </w:p>
        </w:tc>
        <w:tc>
          <w:tcPr>
            <w:tcW w:type="dxa" w:w="2160"/>
          </w:tcPr>
          <w:p>
            <w:r>
              <w:t>250.000 TL'ye kadar</w:t>
            </w:r>
          </w:p>
        </w:tc>
      </w:tr>
      <w:tr>
        <w:tc>
          <w:tcPr>
            <w:tcW w:type="dxa" w:w="2160"/>
          </w:tcPr>
          <w:p>
            <w:r>
              <w:t>Parametre değişikliği</w:t>
            </w:r>
          </w:p>
        </w:tc>
        <w:tc>
          <w:tcPr>
            <w:tcW w:type="dxa" w:w="2160"/>
          </w:tcPr>
          <w:p>
            <w:r>
              <w:t>Sistem analisti</w:t>
            </w:r>
          </w:p>
        </w:tc>
        <w:tc>
          <w:tcPr>
            <w:tcW w:type="dxa" w:w="2160"/>
          </w:tcPr>
          <w:p>
            <w:r>
              <w:t>Bilgi Sistemleri müdürü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Kullanıcı yetki atama</w:t>
            </w:r>
          </w:p>
        </w:tc>
        <w:tc>
          <w:tcPr>
            <w:tcW w:type="dxa" w:w="2160"/>
          </w:tcPr>
          <w:p>
            <w:r>
              <w:t>Bilgi Güvenliği uzmanı</w:t>
            </w:r>
          </w:p>
        </w:tc>
        <w:tc>
          <w:tcPr>
            <w:tcW w:type="dxa" w:w="2160"/>
          </w:tcPr>
          <w:p>
            <w:r>
              <w:t>Bilgi Güvenliği müdürü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1"/>
      </w:pPr>
      <w:r>
        <w:t>4. Periyodik Yetki Gözden Geçirme</w:t>
      </w:r>
    </w:p>
    <w:p>
      <w:r>
        <w:t>Birim yöneticileri, ekiplerindeki kullanıcıların yetkilerini altı ayda bir gözden geçirir ve onaylar.</w:t>
      </w:r>
    </w:p>
    <w:p>
      <w:r>
        <w:t>Gözden geçirme sonucunda gereksiz bulunan yetkiler on iş günü içinde kaldırılır.</w:t>
      </w:r>
    </w:p>
    <w:p>
      <w:r>
        <w:t>Gözden geçirme kayıtları Bilgi Güvenliği birimi tarafından saklanır.</w:t>
      </w:r>
    </w:p>
    <w:p>
      <w:pPr>
        <w:pStyle w:val="Heading1"/>
      </w:pPr>
      <w:r>
        <w:t>5. Görev Değişikliği ve Ayrılan Personel</w:t>
      </w:r>
    </w:p>
    <w:p>
      <w:r>
        <w:t>Görev değişikliğinde eski göreve ait yetkiler yeni yetkiler tanımlanmadan önce kaldırılır.</w:t>
      </w:r>
    </w:p>
    <w:p>
      <w:r>
        <w:t>İşten ayrılan personelin tüm erişimleri ayrılış tarihinde gün sonuna kadar kapatılır.</w:t>
      </w:r>
    </w:p>
    <w:p>
      <w:r>
        <w:t>İnsan Kaynakları, ayrılan personel listesini her gün Bilgi Güvenliği birimine otomatik olarak iletir.</w:t>
      </w:r>
    </w:p>
    <w:p>
      <w:pPr>
        <w:pStyle w:val="Heading1"/>
      </w:pPr>
      <w:r>
        <w:t>6. Ayrıcalıklı Hesaplar</w:t>
      </w:r>
    </w:p>
    <w:p>
      <w:r>
        <w:t>Veritabanı yöneticisi ve sistem yöneticisi gibi ayrıcalıklı hesaplar kişiye özel tanımlanır; ortak hesap kullanılmaz.</w:t>
      </w:r>
    </w:p>
    <w:p>
      <w:r>
        <w:t>Ayrıcalıklı hesaplarla yapılan tüm işlemler kayıt altına alınır ve Bilgi Güvenliği tarafından haftalık incelenir.</w:t>
      </w:r>
    </w:p>
    <w:p>
      <w:r>
        <w:t>Acil erişim (break-glass) hesabı yalnız kayıtlı bir olay numarasıyla açılır ve kullanım sonrası parolası değiştirilir.</w:t>
      </w:r>
    </w:p>
    <w:p>
      <w:pPr>
        <w:pStyle w:val="Heading1"/>
      </w:pPr>
      <w:r>
        <w:t>7. Log İzleme</w:t>
      </w:r>
    </w:p>
    <w:p>
      <w:r>
        <w:t>Başarısız oturum açma denemeleri beşi aştığında hesap otomatik kilitlenir.</w:t>
      </w:r>
    </w:p>
    <w:p>
      <w:r>
        <w:t>Mesai dışı yapılan kritik işlemler ve yetki değişiklikleri günlük rapor halinde Bilgi Güvenliği birimine sunulur.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