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240"/>
        <w:rPr/>
      </w:pPr>
      <w:r>
        <w:rPr>
          <w:rFonts w:ascii="Arial" w:hAnsi="Arial"/>
          <w:b/>
          <w:color w:val="2E86AB"/>
          <w:sz w:val="22"/>
        </w:rPr>
        <w:t>INTERNSHIP TECHNICAL REPORT — WEEK 3</w:t>
      </w:r>
    </w:p>
    <w:p>
      <w:pPr>
        <w:pStyle w:val="Normal"/>
        <w:spacing w:before="120" w:after="160"/>
        <w:rPr/>
      </w:pPr>
      <w:r>
        <w:rPr>
          <w:rFonts w:ascii="Arial" w:hAnsi="Arial"/>
          <w:b/>
          <w:color w:val="1B365D"/>
          <w:sz w:val="44"/>
        </w:rPr>
        <w:t>Unsupervised Learning &amp; Customer Behavioral Clustering Analysis</w:t>
      </w:r>
    </w:p>
    <w:p>
      <w:pPr>
        <w:pStyle w:val="Normal"/>
        <w:spacing w:before="40" w:after="560"/>
        <w:rPr>
          <w:rFonts w:ascii="Arial" w:hAnsi="Arial"/>
          <w:i/>
          <w:color w:val="333333"/>
          <w:sz w:val="24"/>
        </w:rPr>
      </w:pPr>
      <w:r>
        <w:rPr>
          <w:rFonts w:ascii="Arial" w:hAnsi="Arial"/>
          <w:i/>
          <w:color w:val="333333"/>
          <w:sz w:val="24"/>
        </w:rPr>
        <w:t>Latent Customer Typology Discovery, Variance-Stabilizing Feature Engineering, and Multi-Criteria Cluster Validation on E-Commerce Transaction Data</w:t>
      </w:r>
    </w:p>
    <w:p>
      <w:pPr>
        <w:pStyle w:val="Normal"/>
        <w:spacing w:before="40" w:after="560"/>
        <w:rPr>
          <w:rFonts w:ascii="Arial" w:hAnsi="Arial"/>
          <w:i/>
          <w:color w:val="333333"/>
          <w:sz w:val="24"/>
        </w:rPr>
      </w:pPr>
      <w:r>
        <w:rPr>
          <w:rFonts w:ascii="Arial" w:hAnsi="Arial"/>
          <w:i/>
          <w:color w:val="333333"/>
          <w:sz w:val="24"/>
        </w:rPr>
      </w:r>
    </w:p>
    <w:tbl>
      <w:tblPr>
        <w:tblW w:w="9360" w:type="dxa"/>
        <w:jc w:val="center"/>
        <w:tblInd w:w="0" w:type="dxa"/>
        <w:tblLayout w:type="fixed"/>
        <w:tblCellMar>
          <w:top w:w="60" w:type="dxa"/>
          <w:start w:w="120" w:type="dxa"/>
          <w:bottom w:w="60" w:type="dxa"/>
          <w:end w:w="120" w:type="dxa"/>
        </w:tblCellMar>
        <w:tblLook w:noHBand="0" w:noVBand="1" w:firstColumn="1" w:lastRow="0" w:lastColumn="0" w:firstRow="1" w:val="04a0"/>
      </w:tblPr>
      <w:tblGrid>
        <w:gridCol w:w="4680"/>
        <w:gridCol w:w="4680"/>
      </w:tblGrid>
      <w:tr>
        <w:trPr/>
        <w:tc>
          <w:tcPr>
            <w:tcW w:w="4680" w:type="dxa"/>
            <w:tcBorders/>
            <w:shd w:fill="F0F4F8" w:val="clear"/>
          </w:tcPr>
          <w:p>
            <w:pPr>
              <w:pStyle w:val="Normal"/>
              <w:widowControl/>
              <w:bidi w:val="0"/>
              <w:spacing w:lineRule="auto" w:line="276" w:before="0" w:after="200"/>
              <w:jc w:val="start"/>
              <w:rPr>
                <w:b/>
                <w:color w:val="1B365D"/>
                <w:sz w:val="19"/>
              </w:rPr>
            </w:pPr>
            <w:r>
              <w:rPr>
                <w:b/>
                <w:color w:val="1B365D"/>
                <w:sz w:val="19"/>
              </w:rPr>
              <w:t>Internship Candidate:</w:t>
            </w:r>
          </w:p>
        </w:tc>
        <w:tc>
          <w:tcPr>
            <w:tcW w:w="4680" w:type="dxa"/>
            <w:tcBorders/>
            <w:shd w:fill="FFFFFF" w:val="clear"/>
          </w:tcPr>
          <w:p>
            <w:pPr>
              <w:pStyle w:val="Normal"/>
              <w:spacing w:before="0" w:after="200"/>
              <w:rPr/>
            </w:pPr>
            <w:r>
              <w:rPr>
                <w:color w:val="2C3E50"/>
                <w:sz w:val="19"/>
              </w:rPr>
              <w:t>Navinya Suresh Sukhdeve</w:t>
            </w:r>
          </w:p>
        </w:tc>
      </w:tr>
      <w:tr>
        <w:trPr/>
        <w:tc>
          <w:tcPr>
            <w:tcW w:w="4680" w:type="dxa"/>
            <w:tcBorders/>
            <w:shd w:fill="F0F4F8" w:val="clear"/>
          </w:tcPr>
          <w:p>
            <w:pPr>
              <w:pStyle w:val="Normal"/>
              <w:widowControl/>
              <w:bidi w:val="0"/>
              <w:spacing w:lineRule="auto" w:line="276" w:before="0" w:after="200"/>
              <w:jc w:val="start"/>
              <w:rPr/>
            </w:pPr>
            <w:r>
              <w:rPr>
                <w:b/>
                <w:color w:val="1B365D"/>
                <w:sz w:val="19"/>
              </w:rPr>
              <w:t>Organization:</w:t>
            </w:r>
          </w:p>
        </w:tc>
        <w:tc>
          <w:tcPr>
            <w:tcW w:w="4680" w:type="dxa"/>
            <w:tcBorders/>
            <w:shd w:fill="FFFFFF" w:val="clear"/>
          </w:tcPr>
          <w:p>
            <w:pPr>
              <w:pStyle w:val="Normal"/>
              <w:spacing w:before="0" w:after="200"/>
              <w:rPr/>
            </w:pPr>
            <w:r>
              <w:rPr>
                <w:color w:val="2C3E50"/>
                <w:sz w:val="19"/>
              </w:rPr>
              <w:t>YuvaIntern</w:t>
            </w:r>
          </w:p>
        </w:tc>
      </w:tr>
      <w:tr>
        <w:trPr/>
        <w:tc>
          <w:tcPr>
            <w:tcW w:w="4680" w:type="dxa"/>
            <w:tcBorders/>
            <w:shd w:fill="F0F4F8" w:val="clear"/>
          </w:tcPr>
          <w:p>
            <w:pPr>
              <w:pStyle w:val="Normal"/>
              <w:widowControl/>
              <w:bidi w:val="0"/>
              <w:spacing w:lineRule="auto" w:line="276" w:before="0" w:after="200"/>
              <w:jc w:val="start"/>
              <w:rPr/>
            </w:pPr>
            <w:r>
              <w:rPr>
                <w:b/>
                <w:color w:val="1B365D"/>
                <w:sz w:val="19"/>
              </w:rPr>
              <w:t>Program Track:</w:t>
            </w:r>
          </w:p>
        </w:tc>
        <w:tc>
          <w:tcPr>
            <w:tcW w:w="4680" w:type="dxa"/>
            <w:tcBorders/>
            <w:shd w:fill="FFFFFF" w:val="clear"/>
          </w:tcPr>
          <w:p>
            <w:pPr>
              <w:pStyle w:val="Normal"/>
              <w:widowControl/>
              <w:bidi w:val="0"/>
              <w:spacing w:lineRule="auto" w:line="276" w:before="0" w:after="200"/>
              <w:jc w:val="start"/>
              <w:rPr/>
            </w:pPr>
            <w:r>
              <w:rPr>
                <w:color w:val="2C3E50"/>
                <w:sz w:val="19"/>
              </w:rPr>
              <w:t>Data Engineering &amp; Applied Machine Learning</w:t>
            </w:r>
          </w:p>
        </w:tc>
      </w:tr>
      <w:tr>
        <w:trPr/>
        <w:tc>
          <w:tcPr>
            <w:tcW w:w="4680" w:type="dxa"/>
            <w:tcBorders/>
            <w:shd w:fill="F0F4F8" w:val="clear"/>
          </w:tcPr>
          <w:p>
            <w:pPr>
              <w:pStyle w:val="Normal"/>
              <w:widowControl/>
              <w:bidi w:val="0"/>
              <w:spacing w:lineRule="auto" w:line="276" w:before="0" w:after="200"/>
              <w:jc w:val="start"/>
              <w:rPr/>
            </w:pPr>
            <w:r>
              <w:rPr>
                <w:b/>
                <w:color w:val="1B365D"/>
                <w:sz w:val="19"/>
              </w:rPr>
              <w:t>Primary Dataset:</w:t>
            </w:r>
          </w:p>
        </w:tc>
        <w:tc>
          <w:tcPr>
            <w:tcW w:w="4680" w:type="dxa"/>
            <w:tcBorders/>
            <w:shd w:fill="FFFFFF" w:val="clear"/>
          </w:tcPr>
          <w:p>
            <w:pPr>
              <w:pStyle w:val="Normal"/>
              <w:widowControl/>
              <w:bidi w:val="0"/>
              <w:spacing w:lineRule="auto" w:line="276" w:before="0" w:after="200"/>
              <w:jc w:val="start"/>
              <w:rPr/>
            </w:pPr>
            <w:r>
              <w:rPr>
                <w:color w:val="2C3E50"/>
                <w:sz w:val="19"/>
              </w:rPr>
              <w:t>U</w:t>
            </w:r>
            <w:r>
              <w:rPr>
                <w:color w:val="2C3E50"/>
                <w:sz w:val="19"/>
              </w:rPr>
              <w:t>CI Online Retail dataset</w:t>
            </w:r>
          </w:p>
        </w:tc>
      </w:tr>
    </w:tbl>
    <w:p>
      <w:pPr>
        <w:pStyle w:val="Normal"/>
        <w:rPr/>
      </w:pPr>
      <w:r>
        <w:rPr/>
      </w:r>
      <w:r>
        <w:br w:type="page"/>
      </w:r>
    </w:p>
    <w:p>
      <w:pPr>
        <w:pStyle w:val="Heading1"/>
        <w:spacing w:before="0" w:after="120"/>
        <w:rPr/>
      </w:pPr>
      <w:r>
        <w:rPr/>
        <w:t>1. Executive Summary</w:t>
      </w:r>
    </w:p>
    <w:p>
      <w:pPr>
        <w:pStyle w:val="Normal"/>
        <w:rPr/>
      </w:pPr>
      <w:r>
        <w:rPr/>
        <w:t>This project presents an end-to-end unsupervised machine learning investigation conducted for the Week 3 internship milestone. The core objective is the discovery, rigorous validation, and commercial profiling of latent customer behavioral segments within a real-world transactional database. Utilizing the publicly available UCI Online Retail dataset comprising 541,909 individual purchase records, the analysis extracts 4,334 distinct customer profiles across seven behavioral dimensions: Recency (days since last purchase), Frequency (order cadence), Monetary Value (net lifetime spend), Average Order Value (AOV), Average Basket Size (items per transaction), Product Variety (unique SKUs), and Customer Relationship Tenure.</w:t>
      </w:r>
    </w:p>
    <w:p>
      <w:pPr>
        <w:pStyle w:val="Normal"/>
        <w:rPr/>
      </w:pPr>
      <w:r>
        <w:rPr/>
        <w:t>A central methodological emphasis of this work is the strict preservation of isotropic metric geometry required for distance-based clustering. Real-world retail data is universally afflicted by severe positive skewness (e.g., Monetary spend raw skewness of +19.34 and Average Basket Size skewness of +48.01). If raw values are clustered directly, Euclidean distance calculations are dominated by a handful of multi-thousand-pound purchases, collapsing the vast majority of normal users into a single uninformative cluster. By applying variance-stabilizing logarithmic transformations (y = log(1 + x)), skewness across all features was reduced to [-0.39, +1.21], followed by z-score standardization (StandardScaler).</w:t>
      </w:r>
    </w:p>
    <w:p>
      <w:pPr>
        <w:pStyle w:val="Normal"/>
        <w:rPr/>
      </w:pPr>
      <w:r>
        <w:rPr/>
        <w:t>Candidate cluster topologies (k = 2 to 7) were evaluated using four complementary internal validation metrics: Within-Cluster Sum of Squares (Elbow WCSS), Silhouette Score, Calinski-Harabasz Index, and Davies-Bouldin Index, cross-referenced with Ward's hierarchical dendrogram cuts. A 4-cluster K-Means++ topology was proven optimal, exhibiting sharp inflection on the elbow curve, an optimal Davies-Bouldin local minimum (1.2509), and exceptional bootstrap stability (Adjusted Rand Index of 0.9428 across 10 random 80% subsamples).</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start w:val="single" w:sz="24" w:space="0" w:color="2E86AB"/>
            </w:tcBorders>
            <w:shd w:fill="F0F4F8" w:val="clear"/>
          </w:tcPr>
          <w:p>
            <w:pPr>
              <w:pStyle w:val="Normal"/>
              <w:spacing w:lineRule="auto" w:line="276" w:before="40" w:after="40"/>
              <w:rPr/>
            </w:pPr>
            <w:r>
              <w:rPr>
                <w:rFonts w:ascii="Arial" w:hAnsi="Arial"/>
                <w:b/>
                <w:color w:val="1B365D"/>
                <w:sz w:val="21"/>
              </w:rPr>
              <w:t>Executive Key Takeaway</w:t>
              <w:br/>
            </w:r>
            <w:r>
              <w:rPr>
                <w:rFonts w:ascii="Arial" w:hAnsi="Arial"/>
                <w:i/>
                <w:color w:val="333333"/>
                <w:sz w:val="19"/>
              </w:rPr>
              <w:t>Key Quantitative Finding: The discovered 4-cluster segmentation demonstrates an empirical realization of the Pareto Principle. Cluster 1 ('Champions / Power Retailers') constitutes 24.46% of total customer accounts but generates £6,644,441.65 (75.99% of total company revenue). In contrast, Cluster 0 ('Low-Value / Churned Buyers') accounts for 19.29% of customer volume but contributes only 1.59% of revenue. This sharp economic divide provides immediate, defensible guidance for VIP retention, churn reactivation, and resource allocation.</w:t>
            </w:r>
          </w:p>
        </w:tc>
      </w:tr>
    </w:tbl>
    <w:p>
      <w:pPr>
        <w:pStyle w:val="Normal"/>
        <w:rPr/>
      </w:pPr>
      <w:r>
        <w:rPr/>
      </w:r>
    </w:p>
    <w:p>
      <w:pPr>
        <w:pStyle w:val="Heading1"/>
        <w:rPr/>
      </w:pPr>
      <w:r>
        <w:rPr/>
        <w:t>2. Project Objective &amp; Scope</w:t>
      </w:r>
    </w:p>
    <w:p>
      <w:pPr>
        <w:pStyle w:val="Normal"/>
        <w:rPr/>
      </w:pPr>
      <w:r>
        <w:rPr/>
        <w:t>In commercial data science, organizations frequently capture high-volume transaction event logs without possessing explicit labels describing who their customers are, what buying motives drive them, or which accounts represent critical financial dependencies. The fundamental objective of this project is to construct an unsupervised machine learning architecture that transforms unorganized e-commerce logs into a robust, interpretable, and operationally actionable customer segmentation system.</w:t>
      </w:r>
    </w:p>
    <w:p>
      <w:pPr>
        <w:pStyle w:val="Normal"/>
        <w:rPr/>
      </w:pPr>
      <w:r>
        <w:rPr/>
        <w:t>To achieve the depth expected of a rigorous 30–35 hour analytical effort, this project enforces the following non-negotiable requirements:</w:t>
        <w:br/>
        <w:t>1. Real-World Analytical Chain: Avoiding trivial 'toy' scripts by executing a defensible chain from business context, data ingestion, data cleaning, feature engineering, variance stabilization, algorithm comparison, parameter selection, stability auditing, 2D manifold visualization, to quantified profiling.</w:t>
        <w:br/>
        <w:t>2. Algorithmic Rigor: Implementing both partition-based clustering (K-Means with K-Means++ initialization) and hierarchical clustering (Ward's minimum variance agglomeration), evaluating their convergence, sensitivity, and mathematical assumptions.</w:t>
        <w:br/>
        <w:t>3. Evidence-Based Profiling: Calculating exact parametric (means) and non-parametric (medians) summary statistics for every cluster, forbidding ungrounded speculation or fabricated personas.</w:t>
        <w:br/>
        <w:t>4. Non-Causal Interpretation: Enforcing proper scientific language that characterizes statistical associations rather than asserting unsupported causal claims from cross-sectional clustering partitions.</w:t>
      </w:r>
    </w:p>
    <w:p>
      <w:pPr>
        <w:pStyle w:val="Heading1"/>
        <w:rPr/>
      </w:pPr>
      <w:r>
        <w:rPr/>
        <w:t>3. Theoretical Framework: Unsupervised Learning &amp; Clustering</w:t>
      </w:r>
    </w:p>
    <w:p>
      <w:pPr>
        <w:pStyle w:val="Normal"/>
        <w:rPr/>
      </w:pPr>
      <w:r>
        <w:rPr/>
        <w:t>Unsupervised machine learning encompasses algorithms that discover latent patterns, groupings, or geometric structures within input data X in R^{n x p} without the assistance of ground-truth target supervisory labels y. Unlike supervised learning, where models minimize prediction error against known outcomes (e.g. regression or classification), unsupervised learning minimizes internal distortion or maximizes geometric separability.</w:t>
      </w:r>
    </w:p>
    <w:p>
      <w:pPr>
        <w:pStyle w:val="Normal"/>
        <w:rPr/>
      </w:pPr>
      <w:r>
        <w:rPr/>
        <w:t>Clustering partitions an unlabelled dataset into subsets C = {C_1, C_2, ..., C_k} such that observations within the same cluster exhibit maximum pairwise similarity (compactness / cohesion), while observations across different clusters exhibit maximum divergence (separation). The mathematical foundation rests upon distance metrics defined over the feature space.</w:t>
      </w:r>
    </w:p>
    <w:p>
      <w:pPr>
        <w:pStyle w:val="Normal"/>
        <w:rPr/>
      </w:pPr>
      <w:r>
        <w:rPr/>
        <w:t>For continuous real-valued features, the standard measure is Euclidean distance (L_2 norm):</w:t>
        <w:br/>
        <w:t>d(x_i, x_j) = ||x_i - x_j||_2 = sqrt( sum_{m=1}^p (x_{i,m} - x_{j,m})^2 )</w:t>
        <w:br/>
        <w:br/>
        <w:t>Because Euclidean distance squares attribute differences along every coordinate, it implicitly assumes that:</w:t>
        <w:br/>
        <w:t>• All features reside on commensurate scales.</w:t>
        <w:br/>
        <w:t>• Feature variances are roughly comparable.</w:t>
        <w:br/>
        <w:t>• Clusters are convex and isotropic (spherical) in geometry.</w:t>
        <w:br/>
        <w:t>When features have starkly unequal variances or extreme power-law skewness, Euclidean distance degenerates, rendering clustering solutions unstable and geometrically meaningless. Consequently, mathematical preprocessing is not an optional aesthetic step; it is a strict prerequisite for valid distance-based clustering.</w:t>
      </w:r>
    </w:p>
    <w:p>
      <w:pPr>
        <w:pStyle w:val="Heading1"/>
        <w:rPr/>
      </w:pPr>
      <w:r>
        <w:rPr/>
        <w:t>4. Dataset Overview &amp; Provenance</w:t>
      </w:r>
    </w:p>
    <w:p>
      <w:pPr>
        <w:pStyle w:val="Normal"/>
        <w:rPr/>
      </w:pPr>
      <w:r>
        <w:rPr/>
        <w:t>The dataset selected for this study is the official Online Retail Dataset obtained directly from the UCI Machine Learning Repository (Dataset ID: 352). It contains transactional event logs from a registered UK non-store online retailer specializing in unique all-occasion gifts. The company serves both individual retail consumers and wholesale commercial clients across 38 countries.</w:t>
      </w:r>
    </w:p>
    <w:tbl>
      <w:tblPr>
        <w:tblW w:w="9360" w:type="dxa"/>
        <w:jc w:val="center"/>
        <w:tblInd w:w="0" w:type="dxa"/>
        <w:tblLayout w:type="fixed"/>
        <w:tblCellMar>
          <w:top w:w="120" w:type="dxa"/>
          <w:start w:w="120" w:type="dxa"/>
          <w:bottom w:w="120" w:type="dxa"/>
          <w:end w:w="120" w:type="dxa"/>
        </w:tblCellMar>
        <w:tblLook w:noHBand="0" w:noVBand="1" w:firstColumn="1" w:lastRow="0" w:lastColumn="0" w:firstRow="1" w:val="04a0"/>
      </w:tblPr>
      <w:tblGrid>
        <w:gridCol w:w="4680"/>
        <w:gridCol w:w="4680"/>
      </w:tblGrid>
      <w:tr>
        <w:trPr/>
        <w:tc>
          <w:tcPr>
            <w:tcW w:w="4680" w:type="dxa"/>
            <w:tcBorders/>
            <w:shd w:fill="1B365D" w:val="clear"/>
          </w:tcPr>
          <w:p>
            <w:pPr>
              <w:pStyle w:val="Normal"/>
              <w:spacing w:before="0" w:after="200"/>
              <w:jc w:val="center"/>
              <w:rPr/>
            </w:pPr>
            <w:r>
              <w:rPr>
                <w:rFonts w:ascii="Arial" w:hAnsi="Arial"/>
                <w:b/>
                <w:color w:val="FFFFFF"/>
                <w:sz w:val="18"/>
              </w:rPr>
              <w:t>Metadata Attribute</w:t>
            </w:r>
          </w:p>
        </w:tc>
        <w:tc>
          <w:tcPr>
            <w:tcW w:w="4680" w:type="dxa"/>
            <w:tcBorders/>
            <w:shd w:fill="1B365D" w:val="clear"/>
          </w:tcPr>
          <w:p>
            <w:pPr>
              <w:pStyle w:val="Normal"/>
              <w:spacing w:before="0" w:after="200"/>
              <w:jc w:val="center"/>
              <w:rPr/>
            </w:pPr>
            <w:r>
              <w:rPr>
                <w:rFonts w:ascii="Arial" w:hAnsi="Arial"/>
                <w:b/>
                <w:color w:val="FFFFFF"/>
                <w:sz w:val="18"/>
              </w:rPr>
              <w:t>Verified Specification</w:t>
            </w:r>
          </w:p>
        </w:tc>
      </w:tr>
      <w:tr>
        <w:trPr/>
        <w:tc>
          <w:tcPr>
            <w:tcW w:w="4680" w:type="dxa"/>
            <w:tcBorders/>
            <w:shd w:fill="F4F6F9" w:val="clear"/>
            <w:tcMar>
              <w:top w:w="70" w:type="dxa"/>
              <w:start w:w="100" w:type="dxa"/>
              <w:bottom w:w="70" w:type="dxa"/>
              <w:end w:w="100" w:type="dxa"/>
            </w:tcMar>
          </w:tcPr>
          <w:p>
            <w:pPr>
              <w:pStyle w:val="Normal"/>
              <w:widowControl/>
              <w:bidi w:val="0"/>
              <w:spacing w:lineRule="auto" w:line="276" w:before="0" w:after="200"/>
              <w:jc w:val="start"/>
              <w:rPr/>
            </w:pPr>
            <w:r>
              <w:rPr>
                <w:b/>
              </w:rPr>
              <w:t>Repository Source</w:t>
            </w:r>
          </w:p>
        </w:tc>
        <w:tc>
          <w:tcPr>
            <w:tcW w:w="4680" w:type="dxa"/>
            <w:tcBorders/>
            <w:tcMar>
              <w:top w:w="70" w:type="dxa"/>
              <w:start w:w="100" w:type="dxa"/>
              <w:bottom w:w="70" w:type="dxa"/>
              <w:end w:w="100" w:type="dxa"/>
            </w:tcMar>
          </w:tcPr>
          <w:p>
            <w:pPr>
              <w:pStyle w:val="Normal"/>
              <w:widowControl/>
              <w:bidi w:val="0"/>
              <w:spacing w:lineRule="auto" w:line="276" w:before="0" w:after="200"/>
              <w:jc w:val="start"/>
              <w:rPr/>
            </w:pPr>
            <w:r>
              <w:rPr/>
              <w:t>UCI Machine Learning Repository (Dataset ID: 352)</w:t>
            </w:r>
          </w:p>
        </w:tc>
      </w:tr>
      <w:tr>
        <w:trPr/>
        <w:tc>
          <w:tcPr>
            <w:tcW w:w="4680" w:type="dxa"/>
            <w:tcBorders/>
            <w:shd w:fill="F4F6F9" w:val="clear"/>
            <w:tcMar>
              <w:top w:w="70" w:type="dxa"/>
              <w:start w:w="100" w:type="dxa"/>
              <w:bottom w:w="70" w:type="dxa"/>
              <w:end w:w="100" w:type="dxa"/>
            </w:tcMar>
          </w:tcPr>
          <w:p>
            <w:pPr>
              <w:pStyle w:val="Normal"/>
              <w:widowControl/>
              <w:bidi w:val="0"/>
              <w:spacing w:lineRule="auto" w:line="276" w:before="0" w:after="200"/>
              <w:jc w:val="start"/>
              <w:rPr/>
            </w:pPr>
            <w:r>
              <w:rPr>
                <w:b/>
              </w:rPr>
              <w:t>Primary Citation</w:t>
            </w:r>
          </w:p>
        </w:tc>
        <w:tc>
          <w:tcPr>
            <w:tcW w:w="4680" w:type="dxa"/>
            <w:tcBorders/>
            <w:tcMar>
              <w:top w:w="70" w:type="dxa"/>
              <w:start w:w="100" w:type="dxa"/>
              <w:bottom w:w="70" w:type="dxa"/>
              <w:end w:w="100" w:type="dxa"/>
            </w:tcMar>
          </w:tcPr>
          <w:p>
            <w:pPr>
              <w:pStyle w:val="Normal"/>
              <w:widowControl/>
              <w:bidi w:val="0"/>
              <w:spacing w:lineRule="auto" w:line="276" w:before="0" w:after="200"/>
              <w:jc w:val="start"/>
              <w:rPr/>
            </w:pPr>
            <w:r>
              <w:rPr/>
              <w:t>Chen, D., Sain, S. L., &amp; Guo, K. (2012). Journal of Database Marketing &amp; Customer Strategy Management, 19(3), 197–208.</w:t>
            </w:r>
          </w:p>
        </w:tc>
      </w:tr>
      <w:tr>
        <w:trPr/>
        <w:tc>
          <w:tcPr>
            <w:tcW w:w="4680" w:type="dxa"/>
            <w:tcBorders/>
            <w:shd w:fill="F4F6F9" w:val="clear"/>
            <w:tcMar>
              <w:top w:w="70" w:type="dxa"/>
              <w:start w:w="100" w:type="dxa"/>
              <w:bottom w:w="70" w:type="dxa"/>
              <w:end w:w="100" w:type="dxa"/>
            </w:tcMar>
          </w:tcPr>
          <w:p>
            <w:pPr>
              <w:pStyle w:val="Normal"/>
              <w:widowControl/>
              <w:bidi w:val="0"/>
              <w:spacing w:lineRule="auto" w:line="276" w:before="0" w:after="200"/>
              <w:jc w:val="start"/>
              <w:rPr/>
            </w:pPr>
            <w:r>
              <w:rPr>
                <w:b/>
              </w:rPr>
              <w:t>Temporal Window</w:t>
            </w:r>
          </w:p>
        </w:tc>
        <w:tc>
          <w:tcPr>
            <w:tcW w:w="4680" w:type="dxa"/>
            <w:tcBorders/>
            <w:tcMar>
              <w:top w:w="70" w:type="dxa"/>
              <w:start w:w="100" w:type="dxa"/>
              <w:bottom w:w="70" w:type="dxa"/>
              <w:end w:w="100" w:type="dxa"/>
            </w:tcMar>
          </w:tcPr>
          <w:p>
            <w:pPr>
              <w:pStyle w:val="Normal"/>
              <w:widowControl/>
              <w:bidi w:val="0"/>
              <w:spacing w:lineRule="auto" w:line="276" w:before="0" w:after="200"/>
              <w:jc w:val="start"/>
              <w:rPr/>
            </w:pPr>
            <w:r>
              <w:rPr/>
              <w:t>December 1, 2010 to December 9, 2011 (approx. 12 calendar months)</w:t>
            </w:r>
          </w:p>
        </w:tc>
      </w:tr>
      <w:tr>
        <w:trPr/>
        <w:tc>
          <w:tcPr>
            <w:tcW w:w="4680" w:type="dxa"/>
            <w:tcBorders/>
            <w:shd w:fill="F4F6F9" w:val="clear"/>
            <w:tcMar>
              <w:top w:w="70" w:type="dxa"/>
              <w:start w:w="100" w:type="dxa"/>
              <w:bottom w:w="70" w:type="dxa"/>
              <w:end w:w="100" w:type="dxa"/>
            </w:tcMar>
          </w:tcPr>
          <w:p>
            <w:pPr>
              <w:pStyle w:val="Normal"/>
              <w:widowControl/>
              <w:bidi w:val="0"/>
              <w:spacing w:lineRule="auto" w:line="276" w:before="0" w:after="200"/>
              <w:jc w:val="start"/>
              <w:rPr/>
            </w:pPr>
            <w:r>
              <w:rPr>
                <w:b/>
              </w:rPr>
              <w:t>Raw Transaction Volume</w:t>
            </w:r>
          </w:p>
        </w:tc>
        <w:tc>
          <w:tcPr>
            <w:tcW w:w="4680" w:type="dxa"/>
            <w:tcBorders/>
            <w:tcMar>
              <w:top w:w="70" w:type="dxa"/>
              <w:start w:w="100" w:type="dxa"/>
              <w:bottom w:w="70" w:type="dxa"/>
              <w:end w:w="100" w:type="dxa"/>
            </w:tcMar>
          </w:tcPr>
          <w:p>
            <w:pPr>
              <w:pStyle w:val="Normal"/>
              <w:widowControl/>
              <w:bidi w:val="0"/>
              <w:spacing w:lineRule="auto" w:line="276" w:before="0" w:after="200"/>
              <w:jc w:val="start"/>
              <w:rPr/>
            </w:pPr>
            <w:r>
              <w:rPr/>
              <w:t>541,909 rows x 8 attributes</w:t>
            </w:r>
          </w:p>
        </w:tc>
      </w:tr>
      <w:tr>
        <w:trPr/>
        <w:tc>
          <w:tcPr>
            <w:tcW w:w="4680" w:type="dxa"/>
            <w:tcBorders/>
            <w:shd w:fill="F4F6F9" w:val="clear"/>
            <w:tcMar>
              <w:top w:w="70" w:type="dxa"/>
              <w:start w:w="100" w:type="dxa"/>
              <w:bottom w:w="70" w:type="dxa"/>
              <w:end w:w="100" w:type="dxa"/>
            </w:tcMar>
          </w:tcPr>
          <w:p>
            <w:pPr>
              <w:pStyle w:val="Normal"/>
              <w:widowControl/>
              <w:bidi w:val="0"/>
              <w:spacing w:lineRule="auto" w:line="276" w:before="0" w:after="200"/>
              <w:jc w:val="start"/>
              <w:rPr/>
            </w:pPr>
            <w:r>
              <w:rPr>
                <w:b/>
              </w:rPr>
              <w:t>Licensing</w:t>
            </w:r>
          </w:p>
        </w:tc>
        <w:tc>
          <w:tcPr>
            <w:tcW w:w="4680" w:type="dxa"/>
            <w:tcBorders/>
            <w:tcMar>
              <w:top w:w="70" w:type="dxa"/>
              <w:start w:w="100" w:type="dxa"/>
              <w:bottom w:w="70" w:type="dxa"/>
              <w:end w:w="100" w:type="dxa"/>
            </w:tcMar>
          </w:tcPr>
          <w:p>
            <w:pPr>
              <w:pStyle w:val="Normal"/>
              <w:widowControl/>
              <w:bidi w:val="0"/>
              <w:spacing w:lineRule="auto" w:line="276" w:before="0" w:after="200"/>
              <w:jc w:val="start"/>
              <w:rPr/>
            </w:pPr>
            <w:r>
              <w:rPr/>
              <w:t>Creative Commons Attribution 4.0 International (CC BY 4.0)</w:t>
            </w:r>
          </w:p>
        </w:tc>
      </w:tr>
      <w:tr>
        <w:trPr/>
        <w:tc>
          <w:tcPr>
            <w:tcW w:w="4680" w:type="dxa"/>
            <w:tcBorders/>
            <w:shd w:fill="F4F6F9" w:val="clear"/>
            <w:tcMar>
              <w:top w:w="70" w:type="dxa"/>
              <w:start w:w="100" w:type="dxa"/>
              <w:bottom w:w="70" w:type="dxa"/>
              <w:end w:w="100" w:type="dxa"/>
            </w:tcMar>
          </w:tcPr>
          <w:p>
            <w:pPr>
              <w:pStyle w:val="Normal"/>
              <w:widowControl/>
              <w:bidi w:val="0"/>
              <w:spacing w:lineRule="auto" w:line="276" w:before="0" w:after="200"/>
              <w:jc w:val="start"/>
              <w:rPr/>
            </w:pPr>
            <w:r>
              <w:rPr>
                <w:b/>
              </w:rPr>
              <w:t>Geographic Distribution</w:t>
            </w:r>
          </w:p>
        </w:tc>
        <w:tc>
          <w:tcPr>
            <w:tcW w:w="4680" w:type="dxa"/>
            <w:tcBorders/>
            <w:tcMar>
              <w:top w:w="70" w:type="dxa"/>
              <w:start w:w="100" w:type="dxa"/>
              <w:bottom w:w="70" w:type="dxa"/>
              <w:end w:w="100" w:type="dxa"/>
            </w:tcMar>
          </w:tcPr>
          <w:p>
            <w:pPr>
              <w:pStyle w:val="Normal"/>
              <w:widowControl/>
              <w:bidi w:val="0"/>
              <w:spacing w:lineRule="auto" w:line="276" w:before="0" w:after="200"/>
              <w:jc w:val="start"/>
              <w:rPr/>
            </w:pPr>
            <w:r>
              <w:rPr/>
              <w:t>United Kingdom (88.9%), Germany, France, EIRE, Spain, Netherlands, Australia, etc.</w:t>
            </w:r>
          </w:p>
        </w:tc>
      </w:tr>
      <w:tr>
        <w:trPr/>
        <w:tc>
          <w:tcPr>
            <w:tcW w:w="4680" w:type="dxa"/>
            <w:tcBorders/>
            <w:shd w:fill="F4F6F9" w:val="clear"/>
            <w:tcMar>
              <w:top w:w="70" w:type="dxa"/>
              <w:start w:w="100" w:type="dxa"/>
              <w:bottom w:w="70" w:type="dxa"/>
              <w:end w:w="100" w:type="dxa"/>
            </w:tcMar>
          </w:tcPr>
          <w:p>
            <w:pPr>
              <w:pStyle w:val="Normal"/>
              <w:widowControl/>
              <w:bidi w:val="0"/>
              <w:spacing w:lineRule="auto" w:line="276" w:before="0" w:after="200"/>
              <w:jc w:val="start"/>
              <w:rPr/>
            </w:pPr>
            <w:r>
              <w:rPr>
                <w:b/>
              </w:rPr>
              <w:t>Acquisition Method</w:t>
            </w:r>
          </w:p>
        </w:tc>
        <w:tc>
          <w:tcPr>
            <w:tcW w:w="4680" w:type="dxa"/>
            <w:tcBorders/>
            <w:tcMar>
              <w:top w:w="70" w:type="dxa"/>
              <w:start w:w="100" w:type="dxa"/>
              <w:bottom w:w="70" w:type="dxa"/>
              <w:end w:w="100" w:type="dxa"/>
            </w:tcMar>
          </w:tcPr>
          <w:p>
            <w:pPr>
              <w:pStyle w:val="Normal"/>
              <w:widowControl/>
              <w:bidi w:val="0"/>
              <w:spacing w:lineRule="auto" w:line="276" w:before="0" w:after="200"/>
              <w:jc w:val="start"/>
              <w:rPr/>
            </w:pPr>
            <w:r>
              <w:rPr/>
              <w:t>Automated HTTPS download from UCI static mirror, cached as verified CSV</w:t>
            </w:r>
          </w:p>
        </w:tc>
      </w:tr>
    </w:tbl>
    <w:p>
      <w:pPr>
        <w:pStyle w:val="Normal"/>
        <w:rPr/>
      </w:pPr>
      <w:r>
        <w:rPr/>
      </w:r>
    </w:p>
    <w:p>
      <w:pPr>
        <w:pStyle w:val="Heading1"/>
        <w:rPr/>
      </w:pPr>
      <w:r>
        <w:rPr/>
        <w:t>5. Analytical Suitability &amp; Boundary Compliance</w:t>
      </w:r>
    </w:p>
    <w:p>
      <w:pPr>
        <w:pStyle w:val="Normal"/>
        <w:rPr/>
      </w:pPr>
      <w:r>
        <w:rPr/>
        <w:t>The UCI Online Retail dataset satisfies all requirements established in the internship specification:</w:t>
        <w:br/>
        <w:t>• Non-Triviality: Unlike toy academic benchmarks (e.g. Iris, Wine) that have fewer than 500 rows and pre-defined class labels, this dataset contains over half a million raw transactional logs requiring a multi-stage aggregation and engineering pipeline.</w:t>
        <w:br/>
        <w:t>• Genuine Unsupervised Context: There are no ground-truth customer labels. Personas must emerge entirely through data-driven clustering in behavioral space.</w:t>
        <w:br/>
        <w:t>• Realistic Preprocessing Challenges: The raw data contains missing identifiers, order cancellations, negative quantities, administrative non-product adjustments, and severe heavy-tailed positive skewness.</w:t>
        <w:br/>
        <w:t>• Practical Actionability: Identified customer segments map directly to commercial decision-making (e.g. churn intervention, minimum order thresholds, VIP loyalty incentives).</w:t>
      </w:r>
    </w:p>
    <w:p>
      <w:pPr>
        <w:pStyle w:val="Heading1"/>
        <w:rPr/>
      </w:pPr>
      <w:r>
        <w:rPr/>
        <w:t>6. Data Understanding &amp; Quality Assessment</w:t>
      </w:r>
    </w:p>
    <w:p>
      <w:pPr>
        <w:pStyle w:val="Normal"/>
        <w:rPr/>
      </w:pPr>
      <w:r>
        <w:rPr/>
        <w:t>Before applying transformations or engineering features, an exhaustive diagnostic audit was conducted on all 541,909 transaction records. Table 2 summarizes the structural quality audit and the analytical handling for each observed irregularity.</w:t>
      </w:r>
    </w:p>
    <w:tbl>
      <w:tblPr>
        <w:tblW w:w="9360" w:type="dxa"/>
        <w:jc w:val="center"/>
        <w:tblInd w:w="0" w:type="dxa"/>
        <w:tblLayout w:type="fixed"/>
        <w:tblCellMar>
          <w:top w:w="120" w:type="dxa"/>
          <w:start w:w="120" w:type="dxa"/>
          <w:bottom w:w="120" w:type="dxa"/>
          <w:end w:w="120" w:type="dxa"/>
        </w:tblCellMar>
        <w:tblLook w:noHBand="0" w:noVBand="1" w:firstColumn="1" w:lastRow="0" w:lastColumn="0" w:firstRow="1" w:val="04a0"/>
      </w:tblPr>
      <w:tblGrid>
        <w:gridCol w:w="2340"/>
        <w:gridCol w:w="2340"/>
        <w:gridCol w:w="2340"/>
        <w:gridCol w:w="2340"/>
      </w:tblGrid>
      <w:tr>
        <w:trPr/>
        <w:tc>
          <w:tcPr>
            <w:tcW w:w="2340" w:type="dxa"/>
            <w:tcBorders/>
            <w:shd w:fill="1B365D" w:val="clear"/>
          </w:tcPr>
          <w:p>
            <w:pPr>
              <w:pStyle w:val="Normal"/>
              <w:spacing w:before="0" w:after="200"/>
              <w:jc w:val="center"/>
              <w:rPr/>
            </w:pPr>
            <w:r>
              <w:rPr>
                <w:rFonts w:ascii="Arial" w:hAnsi="Arial"/>
                <w:b/>
                <w:color w:val="FFFFFF"/>
                <w:sz w:val="18"/>
              </w:rPr>
              <w:t>Data Quality Concern</w:t>
            </w:r>
          </w:p>
        </w:tc>
        <w:tc>
          <w:tcPr>
            <w:tcW w:w="2340" w:type="dxa"/>
            <w:tcBorders/>
            <w:shd w:fill="1B365D" w:val="clear"/>
          </w:tcPr>
          <w:p>
            <w:pPr>
              <w:pStyle w:val="Normal"/>
              <w:spacing w:before="0" w:after="200"/>
              <w:jc w:val="center"/>
              <w:rPr/>
            </w:pPr>
            <w:r>
              <w:rPr>
                <w:rFonts w:ascii="Arial" w:hAnsi="Arial"/>
                <w:b/>
                <w:color w:val="FFFFFF"/>
                <w:sz w:val="18"/>
              </w:rPr>
              <w:t>Observed Volume</w:t>
            </w:r>
          </w:p>
        </w:tc>
        <w:tc>
          <w:tcPr>
            <w:tcW w:w="2340" w:type="dxa"/>
            <w:tcBorders/>
            <w:shd w:fill="1B365D" w:val="clear"/>
          </w:tcPr>
          <w:p>
            <w:pPr>
              <w:pStyle w:val="Normal"/>
              <w:spacing w:before="0" w:after="200"/>
              <w:jc w:val="center"/>
              <w:rPr/>
            </w:pPr>
            <w:r>
              <w:rPr>
                <w:rFonts w:ascii="Arial" w:hAnsi="Arial"/>
                <w:b/>
                <w:color w:val="FFFFFF"/>
                <w:sz w:val="18"/>
              </w:rPr>
              <w:t>Root Cause / Diagnosis</w:t>
            </w:r>
          </w:p>
        </w:tc>
        <w:tc>
          <w:tcPr>
            <w:tcW w:w="2340" w:type="dxa"/>
            <w:tcBorders/>
            <w:shd w:fill="1B365D" w:val="clear"/>
          </w:tcPr>
          <w:p>
            <w:pPr>
              <w:pStyle w:val="Normal"/>
              <w:spacing w:before="0" w:after="200"/>
              <w:jc w:val="center"/>
              <w:rPr/>
            </w:pPr>
            <w:r>
              <w:rPr>
                <w:rFonts w:ascii="Arial" w:hAnsi="Arial"/>
                <w:b/>
                <w:color w:val="FFFFFF"/>
                <w:sz w:val="18"/>
              </w:rPr>
              <w:t>Analytical Handling</w:t>
            </w:r>
          </w:p>
        </w:tc>
      </w:tr>
      <w:tr>
        <w:trPr/>
        <w:tc>
          <w:tcPr>
            <w:tcW w:w="2340" w:type="dxa"/>
            <w:tcBorders/>
            <w:shd w:fill="F4F6F9" w:val="clear"/>
            <w:tcMar>
              <w:top w:w="60" w:type="dxa"/>
              <w:start w:w="80" w:type="dxa"/>
              <w:bottom w:w="60" w:type="dxa"/>
              <w:end w:w="80" w:type="dxa"/>
            </w:tcMar>
          </w:tcPr>
          <w:p>
            <w:pPr>
              <w:pStyle w:val="Normal"/>
              <w:widowControl/>
              <w:bidi w:val="0"/>
              <w:spacing w:lineRule="auto" w:line="276" w:before="0" w:after="200"/>
              <w:jc w:val="start"/>
              <w:rPr/>
            </w:pPr>
            <w:r>
              <w:rPr>
                <w:b/>
              </w:rPr>
              <w:t>Missing CustomerID</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135,080 (24.93%)</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Anonymous guest checkouts without user accounts</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Isolated and filtered from customer clustering matrix; documented.</w:t>
            </w:r>
          </w:p>
        </w:tc>
      </w:tr>
      <w:tr>
        <w:trPr/>
        <w:tc>
          <w:tcPr>
            <w:tcW w:w="2340" w:type="dxa"/>
            <w:tcBorders/>
            <w:shd w:fill="F4F6F9" w:val="clear"/>
            <w:tcMar>
              <w:top w:w="60" w:type="dxa"/>
              <w:start w:w="80" w:type="dxa"/>
              <w:bottom w:w="60" w:type="dxa"/>
              <w:end w:w="80" w:type="dxa"/>
            </w:tcMar>
          </w:tcPr>
          <w:p>
            <w:pPr>
              <w:pStyle w:val="Normal"/>
              <w:widowControl/>
              <w:bidi w:val="0"/>
              <w:spacing w:lineRule="auto" w:line="276" w:before="0" w:after="200"/>
              <w:jc w:val="start"/>
              <w:rPr/>
            </w:pPr>
            <w:r>
              <w:rPr>
                <w:b/>
              </w:rPr>
              <w:t>Exact Duplicate Rows</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5,268 (0.97%)</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Server log re-transmissions or re-submissions</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Deduplicated, retaining single unique transactional records.</w:t>
            </w:r>
          </w:p>
        </w:tc>
      </w:tr>
      <w:tr>
        <w:trPr/>
        <w:tc>
          <w:tcPr>
            <w:tcW w:w="2340" w:type="dxa"/>
            <w:tcBorders/>
            <w:shd w:fill="F4F6F9" w:val="clear"/>
            <w:tcMar>
              <w:top w:w="60" w:type="dxa"/>
              <w:start w:w="80" w:type="dxa"/>
              <w:bottom w:w="60" w:type="dxa"/>
              <w:end w:w="80" w:type="dxa"/>
            </w:tcMar>
          </w:tcPr>
          <w:p>
            <w:pPr>
              <w:pStyle w:val="Normal"/>
              <w:widowControl/>
              <w:bidi w:val="0"/>
              <w:spacing w:lineRule="auto" w:line="276" w:before="0" w:after="200"/>
              <w:jc w:val="start"/>
              <w:rPr/>
            </w:pPr>
            <w:r>
              <w:rPr>
                <w:b/>
              </w:rPr>
              <w:t>Cancellations (Prefix 'C')</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9,288 records</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Customer order cancellations / return memos</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Separated from valid purchases; aggregated into customer return metrics.</w:t>
            </w:r>
          </w:p>
        </w:tc>
      </w:tr>
      <w:tr>
        <w:trPr/>
        <w:tc>
          <w:tcPr>
            <w:tcW w:w="2340" w:type="dxa"/>
            <w:tcBorders/>
            <w:shd w:fill="F4F6F9" w:val="clear"/>
            <w:tcMar>
              <w:top w:w="60" w:type="dxa"/>
              <w:start w:w="80" w:type="dxa"/>
              <w:bottom w:w="60" w:type="dxa"/>
              <w:end w:w="80" w:type="dxa"/>
            </w:tcMar>
          </w:tcPr>
          <w:p>
            <w:pPr>
              <w:pStyle w:val="Normal"/>
              <w:widowControl/>
              <w:bidi w:val="0"/>
              <w:spacing w:lineRule="auto" w:line="276" w:before="0" w:after="200"/>
              <w:jc w:val="start"/>
              <w:rPr/>
            </w:pPr>
            <w:r>
              <w:rPr>
                <w:b/>
              </w:rPr>
              <w:t>Negative/Zero Quantities</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10,624 records</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Cancelled orders and inventory adjustments</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Filtered out of gross purchase volume; tracked in return rate calculation.</w:t>
            </w:r>
          </w:p>
        </w:tc>
      </w:tr>
      <w:tr>
        <w:trPr/>
        <w:tc>
          <w:tcPr>
            <w:tcW w:w="2340" w:type="dxa"/>
            <w:tcBorders/>
            <w:shd w:fill="F4F6F9" w:val="clear"/>
            <w:tcMar>
              <w:top w:w="60" w:type="dxa"/>
              <w:start w:w="80" w:type="dxa"/>
              <w:bottom w:w="60" w:type="dxa"/>
              <w:end w:w="80" w:type="dxa"/>
            </w:tcMar>
          </w:tcPr>
          <w:p>
            <w:pPr>
              <w:pStyle w:val="Normal"/>
              <w:widowControl/>
              <w:bidi w:val="0"/>
              <w:spacing w:lineRule="auto" w:line="276" w:before="0" w:after="200"/>
              <w:jc w:val="start"/>
              <w:rPr/>
            </w:pPr>
            <w:r>
              <w:rPr>
                <w:b/>
              </w:rPr>
              <w:t>Zero/Negative Unit Prices</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2,517 records</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Bad debt write-offs, damaged stock, promotional gifts</w:t>
            </w:r>
          </w:p>
        </w:tc>
        <w:tc>
          <w:tcPr>
            <w:tcW w:w="2340" w:type="dxa"/>
            <w:tcBorders/>
            <w:tcMar>
              <w:top w:w="60" w:type="dxa"/>
              <w:start w:w="80" w:type="dxa"/>
              <w:bottom w:w="60" w:type="dxa"/>
              <w:end w:w="80" w:type="dxa"/>
            </w:tcMar>
          </w:tcPr>
          <w:p>
            <w:pPr>
              <w:pStyle w:val="Normal"/>
              <w:widowControl/>
              <w:bidi w:val="0"/>
              <w:spacing w:lineRule="auto" w:line="276" w:before="0" w:after="200"/>
              <w:jc w:val="start"/>
              <w:rPr/>
            </w:pPr>
            <w:r>
              <w:rPr/>
              <w:t>Filtered out of commercial consumer transactions.</w:t>
            </w:r>
          </w:p>
        </w:tc>
      </w:tr>
    </w:tbl>
    <w:p>
      <w:pPr>
        <w:pStyle w:val="Normal"/>
        <w:rPr/>
      </w:pPr>
      <w:r>
        <w:rPr/>
      </w:r>
    </w:p>
    <w:p>
      <w:pPr>
        <w:pStyle w:val="Heading1"/>
        <w:rPr/>
      </w:pPr>
      <w:r>
        <w:rPr/>
        <w:t>7. Feature Selection &amp; Engineering Methodology</w:t>
      </w:r>
    </w:p>
    <w:p>
      <w:pPr>
        <w:pStyle w:val="Normal"/>
        <w:rPr/>
      </w:pPr>
      <w:r>
        <w:rPr/>
        <w:t>Feeding arbitrary raw fields into a clustering algorithm degrades performance. Transaction-level identifiers (`InvoiceNo`, `CustomerID`), product codes (`StockCode`), and text descriptions (`Description`) were excluded from the distance matrix. Instead, we synthesized an engineered behavioral feature space rooted in classic Recency-Frequency-Monetary (RFM) theory and expanded with basket dynamics.</w:t>
      </w:r>
    </w:p>
    <w:tbl>
      <w:tblPr>
        <w:tblW w:w="9360" w:type="dxa"/>
        <w:jc w:val="center"/>
        <w:tblInd w:w="0" w:type="dxa"/>
        <w:tblLayout w:type="fixed"/>
        <w:tblCellMar>
          <w:top w:w="120" w:type="dxa"/>
          <w:start w:w="120" w:type="dxa"/>
          <w:bottom w:w="120" w:type="dxa"/>
          <w:end w:w="120" w:type="dxa"/>
        </w:tblCellMar>
        <w:tblLook w:noHBand="0" w:noVBand="1" w:firstColumn="1" w:lastRow="0" w:lastColumn="0" w:firstRow="1" w:val="04a0"/>
      </w:tblPr>
      <w:tblGrid>
        <w:gridCol w:w="3120"/>
        <w:gridCol w:w="3120"/>
        <w:gridCol w:w="3120"/>
      </w:tblGrid>
      <w:tr>
        <w:trPr/>
        <w:tc>
          <w:tcPr>
            <w:tcW w:w="3120" w:type="dxa"/>
            <w:tcBorders/>
            <w:shd w:fill="1B365D" w:val="clear"/>
          </w:tcPr>
          <w:p>
            <w:pPr>
              <w:pStyle w:val="Normal"/>
              <w:spacing w:before="0" w:after="200"/>
              <w:jc w:val="center"/>
              <w:rPr/>
            </w:pPr>
            <w:r>
              <w:rPr>
                <w:rFonts w:ascii="Arial" w:hAnsi="Arial"/>
                <w:b/>
                <w:color w:val="FFFFFF"/>
                <w:sz w:val="18"/>
              </w:rPr>
              <w:t>Engineered Feature</w:t>
            </w:r>
          </w:p>
        </w:tc>
        <w:tc>
          <w:tcPr>
            <w:tcW w:w="3120" w:type="dxa"/>
            <w:tcBorders/>
            <w:shd w:fill="1B365D" w:val="clear"/>
          </w:tcPr>
          <w:p>
            <w:pPr>
              <w:pStyle w:val="Normal"/>
              <w:spacing w:before="0" w:after="200"/>
              <w:jc w:val="center"/>
              <w:rPr/>
            </w:pPr>
            <w:r>
              <w:rPr>
                <w:rFonts w:ascii="Arial" w:hAnsi="Arial"/>
                <w:b/>
                <w:color w:val="FFFFFF"/>
                <w:sz w:val="18"/>
              </w:rPr>
              <w:t>Mathematical Formulation</w:t>
            </w:r>
          </w:p>
        </w:tc>
        <w:tc>
          <w:tcPr>
            <w:tcW w:w="3120" w:type="dxa"/>
            <w:tcBorders/>
            <w:shd w:fill="1B365D" w:val="clear"/>
          </w:tcPr>
          <w:p>
            <w:pPr>
              <w:pStyle w:val="Normal"/>
              <w:spacing w:before="0" w:after="200"/>
              <w:jc w:val="center"/>
              <w:rPr/>
            </w:pPr>
            <w:r>
              <w:rPr>
                <w:rFonts w:ascii="Arial" w:hAnsi="Arial"/>
                <w:b/>
                <w:color w:val="FFFFFF"/>
                <w:sz w:val="18"/>
              </w:rPr>
              <w:t>Commercial Interpretation</w:t>
            </w:r>
          </w:p>
        </w:tc>
      </w:tr>
      <w:tr>
        <w:trPr/>
        <w:tc>
          <w:tcPr>
            <w:tcW w:w="3120" w:type="dxa"/>
            <w:tcBorders/>
            <w:shd w:fill="F4F6F9" w:val="clear"/>
            <w:tcMar>
              <w:top w:w="60" w:type="dxa"/>
              <w:start w:w="80" w:type="dxa"/>
              <w:bottom w:w="60" w:type="dxa"/>
              <w:end w:w="80" w:type="dxa"/>
            </w:tcMar>
          </w:tcPr>
          <w:p>
            <w:pPr>
              <w:pStyle w:val="Normal"/>
              <w:widowControl/>
              <w:bidi w:val="0"/>
              <w:spacing w:lineRule="auto" w:line="276" w:before="0" w:after="200"/>
              <w:jc w:val="start"/>
              <w:rPr/>
            </w:pPr>
            <w:r>
              <w:rPr>
                <w:b/>
              </w:rPr>
              <w:t>Recency (R)</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T_snapshot - max(InvoiceDate)</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Days elapsed between customer's most recent order and snapshot reference date (2011-12-10).</w:t>
            </w:r>
          </w:p>
        </w:tc>
      </w:tr>
      <w:tr>
        <w:trPr/>
        <w:tc>
          <w:tcPr>
            <w:tcW w:w="3120" w:type="dxa"/>
            <w:tcBorders/>
            <w:shd w:fill="F4F6F9" w:val="clear"/>
            <w:tcMar>
              <w:top w:w="60" w:type="dxa"/>
              <w:start w:w="80" w:type="dxa"/>
              <w:bottom w:w="60" w:type="dxa"/>
              <w:end w:w="80" w:type="dxa"/>
            </w:tcMar>
          </w:tcPr>
          <w:p>
            <w:pPr>
              <w:pStyle w:val="Normal"/>
              <w:widowControl/>
              <w:bidi w:val="0"/>
              <w:spacing w:lineRule="auto" w:line="276" w:before="0" w:after="200"/>
              <w:jc w:val="start"/>
              <w:rPr/>
            </w:pPr>
            <w:r>
              <w:rPr>
                <w:b/>
              </w:rPr>
              <w:t>Frequency (F)</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count(distinct InvoiceNo)</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Total number of distinct successful purchase transactions completed by the customer.</w:t>
            </w:r>
          </w:p>
        </w:tc>
      </w:tr>
      <w:tr>
        <w:trPr/>
        <w:tc>
          <w:tcPr>
            <w:tcW w:w="3120" w:type="dxa"/>
            <w:tcBorders/>
            <w:shd w:fill="F4F6F9" w:val="clear"/>
            <w:tcMar>
              <w:top w:w="60" w:type="dxa"/>
              <w:start w:w="80" w:type="dxa"/>
              <w:bottom w:w="60" w:type="dxa"/>
              <w:end w:w="80" w:type="dxa"/>
            </w:tcMar>
          </w:tcPr>
          <w:p>
            <w:pPr>
              <w:pStyle w:val="Normal"/>
              <w:widowControl/>
              <w:bidi w:val="0"/>
              <w:spacing w:lineRule="auto" w:line="276" w:before="0" w:after="200"/>
              <w:jc w:val="start"/>
              <w:rPr/>
            </w:pPr>
            <w:r>
              <w:rPr>
                <w:b/>
              </w:rPr>
              <w:t>Monetary (M)</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sum(Quantity * UnitPrice)</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Cumulative net financial expenditure across all valid purchase transactions (£ GBP).</w:t>
            </w:r>
          </w:p>
        </w:tc>
      </w:tr>
      <w:tr>
        <w:trPr/>
        <w:tc>
          <w:tcPr>
            <w:tcW w:w="3120" w:type="dxa"/>
            <w:tcBorders/>
            <w:shd w:fill="F4F6F9" w:val="clear"/>
            <w:tcMar>
              <w:top w:w="60" w:type="dxa"/>
              <w:start w:w="80" w:type="dxa"/>
              <w:bottom w:w="60" w:type="dxa"/>
              <w:end w:w="80" w:type="dxa"/>
            </w:tcMar>
          </w:tcPr>
          <w:p>
            <w:pPr>
              <w:pStyle w:val="Normal"/>
              <w:widowControl/>
              <w:bidi w:val="0"/>
              <w:spacing w:lineRule="auto" w:line="276" w:before="0" w:after="200"/>
              <w:jc w:val="start"/>
              <w:rPr/>
            </w:pPr>
            <w:r>
              <w:rPr>
                <w:b/>
              </w:rPr>
              <w:t>Average Order Value (AOV)</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Monetary / Frequency</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Financial expenditure per transaction; measures purchasing power per checkout.</w:t>
            </w:r>
          </w:p>
        </w:tc>
      </w:tr>
      <w:tr>
        <w:trPr/>
        <w:tc>
          <w:tcPr>
            <w:tcW w:w="3120" w:type="dxa"/>
            <w:tcBorders/>
            <w:shd w:fill="F4F6F9" w:val="clear"/>
            <w:tcMar>
              <w:top w:w="60" w:type="dxa"/>
              <w:start w:w="80" w:type="dxa"/>
              <w:bottom w:w="60" w:type="dxa"/>
              <w:end w:w="80" w:type="dxa"/>
            </w:tcMar>
          </w:tcPr>
          <w:p>
            <w:pPr>
              <w:pStyle w:val="Normal"/>
              <w:widowControl/>
              <w:bidi w:val="0"/>
              <w:spacing w:lineRule="auto" w:line="276" w:before="0" w:after="200"/>
              <w:jc w:val="start"/>
              <w:rPr/>
            </w:pPr>
            <w:r>
              <w:rPr>
                <w:b/>
              </w:rPr>
              <w:t>Average Basket Size</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TotalUnits / Frequency</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Physical item volume per checkout; distinguishes wholesale pallet orders from retail units.</w:t>
            </w:r>
          </w:p>
        </w:tc>
      </w:tr>
      <w:tr>
        <w:trPr/>
        <w:tc>
          <w:tcPr>
            <w:tcW w:w="3120" w:type="dxa"/>
            <w:tcBorders/>
            <w:shd w:fill="F4F6F9" w:val="clear"/>
            <w:tcMar>
              <w:top w:w="60" w:type="dxa"/>
              <w:start w:w="80" w:type="dxa"/>
              <w:bottom w:w="60" w:type="dxa"/>
              <w:end w:w="80" w:type="dxa"/>
            </w:tcMar>
          </w:tcPr>
          <w:p>
            <w:pPr>
              <w:pStyle w:val="Normal"/>
              <w:widowControl/>
              <w:bidi w:val="0"/>
              <w:spacing w:lineRule="auto" w:line="276" w:before="0" w:after="200"/>
              <w:jc w:val="start"/>
              <w:rPr/>
            </w:pPr>
            <w:r>
              <w:rPr>
                <w:b/>
              </w:rPr>
              <w:t>Unique SKUs (Variety)</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count(distinct StockCode)</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Breadth of product catalog explored and purchased; indicates category engagement.</w:t>
            </w:r>
          </w:p>
        </w:tc>
      </w:tr>
      <w:tr>
        <w:trPr/>
        <w:tc>
          <w:tcPr>
            <w:tcW w:w="3120" w:type="dxa"/>
            <w:tcBorders/>
            <w:shd w:fill="F4F6F9" w:val="clear"/>
            <w:tcMar>
              <w:top w:w="60" w:type="dxa"/>
              <w:start w:w="80" w:type="dxa"/>
              <w:bottom w:w="60" w:type="dxa"/>
              <w:end w:w="80" w:type="dxa"/>
            </w:tcMar>
          </w:tcPr>
          <w:p>
            <w:pPr>
              <w:pStyle w:val="Normal"/>
              <w:widowControl/>
              <w:bidi w:val="0"/>
              <w:spacing w:lineRule="auto" w:line="276" w:before="0" w:after="200"/>
              <w:jc w:val="start"/>
              <w:rPr/>
            </w:pPr>
            <w:r>
              <w:rPr>
                <w:b/>
              </w:rPr>
              <w:t>Tenure</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max(InvoiceDate) - min(InvoiceDate)</w:t>
            </w:r>
          </w:p>
        </w:tc>
        <w:tc>
          <w:tcPr>
            <w:tcW w:w="3120" w:type="dxa"/>
            <w:tcBorders/>
            <w:tcMar>
              <w:top w:w="60" w:type="dxa"/>
              <w:start w:w="80" w:type="dxa"/>
              <w:bottom w:w="60" w:type="dxa"/>
              <w:end w:w="80" w:type="dxa"/>
            </w:tcMar>
          </w:tcPr>
          <w:p>
            <w:pPr>
              <w:pStyle w:val="Normal"/>
              <w:widowControl/>
              <w:bidi w:val="0"/>
              <w:spacing w:lineRule="auto" w:line="276" w:before="0" w:after="200"/>
              <w:jc w:val="start"/>
              <w:rPr/>
            </w:pPr>
            <w:r>
              <w:rPr/>
              <w:t>Customer relationship lifespan in days between first and most recent transaction.</w:t>
            </w:r>
          </w:p>
        </w:tc>
      </w:tr>
    </w:tbl>
    <w:p>
      <w:pPr>
        <w:pStyle w:val="Normal"/>
        <w:rPr/>
      </w:pPr>
      <w:r>
        <w:rPr/>
      </w:r>
    </w:p>
    <w:p>
      <w:pPr>
        <w:pStyle w:val="Normal"/>
        <w:spacing w:before="120" w:after="40"/>
        <w:rPr/>
      </w:pPr>
      <w:r>
        <w:rPr>
          <w:rFonts w:ascii="Arial" w:hAnsi="Arial"/>
          <w:b/>
          <w:color w:val="2E86AB"/>
          <w:sz w:val="18"/>
        </w:rPr>
        <w:t>Code Snippet: Customer-Level Aggregation and Behavioral Feature Construction</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6" w:space="0" w:color="D0D5DD"/>
              <w:start w:val="single" w:sz="6" w:space="0" w:color="D0D5DD"/>
              <w:bottom w:val="single" w:sz="6" w:space="0" w:color="D0D5DD"/>
              <w:end w:val="single" w:sz="6" w:space="0" w:color="D0D5DD"/>
            </w:tcBorders>
            <w:shd w:fill="F8F9FA" w:val="clear"/>
          </w:tcPr>
          <w:p>
            <w:pPr>
              <w:pStyle w:val="Normal"/>
              <w:spacing w:lineRule="auto" w:line="252" w:before="40" w:after="40"/>
              <w:rPr/>
            </w:pPr>
            <w:r>
              <w:rPr>
                <w:rFonts w:ascii="Consolas" w:hAnsi="Consolas"/>
                <w:color w:val="282C34"/>
                <w:sz w:val="17"/>
              </w:rPr>
              <w:t># Customer-level feature engineering pipeline</w:t>
              <w:br/>
              <w:t>snapshot_date = purchases['InvoiceDate'].max() + pd.Timedelta(days=1)</w:t>
              <w:br/>
              <w:br/>
              <w:t>cust_agg = purchases.groupby('CustomerID').agg(</w:t>
              <w:br/>
              <w:t xml:space="preserve">    Recency=('InvoiceDate', lambda d: (snapshot_date - d.max()).days),</w:t>
              <w:br/>
              <w:t xml:space="preserve">    Frequency=('InvoiceNo', 'nunique'),</w:t>
              <w:br/>
              <w:t xml:space="preserve">    Monetary=('LineTotal', 'sum'),</w:t>
              <w:br/>
              <w:t xml:space="preserve">    TotalUnits=('Quantity', 'sum'),</w:t>
              <w:br/>
              <w:t xml:space="preserve">    UniqueSKUs=('StockCode', 'nunique'),</w:t>
              <w:br/>
              <w:t xml:space="preserve">    FirstPurchase=('InvoiceDate', 'min'),</w:t>
              <w:br/>
              <w:t xml:space="preserve">    LastPurchase=('InvoiceDate', 'max')</w:t>
              <w:br/>
              <w:t>).reset_index()</w:t>
              <w:br/>
              <w:br/>
              <w:t>cust_agg['Tenure'] = (cust_agg['LastPurchase'] - cust_agg['FirstPurchase']).dt.days</w:t>
              <w:br/>
              <w:t>cust_agg['AOV'] = cust_agg['Monetary'] / cust_agg['Frequency']</w:t>
              <w:br/>
              <w:t>cust_agg['AvgBasketSize'] = cust_agg['TotalUnits'] / cust_agg['Frequency']</w:t>
            </w:r>
          </w:p>
        </w:tc>
      </w:tr>
    </w:tbl>
    <w:p>
      <w:pPr>
        <w:pStyle w:val="Normal"/>
        <w:rPr/>
      </w:pPr>
      <w:r>
        <w:rPr/>
      </w:r>
    </w:p>
    <w:p>
      <w:pPr>
        <w:pStyle w:val="Heading1"/>
        <w:rPr/>
      </w:pPr>
      <w:r>
        <w:rPr/>
        <w:t>8. Preprocessing: Skewness Mitigation &amp; Scaling</w:t>
      </w:r>
    </w:p>
    <w:p>
      <w:pPr>
        <w:pStyle w:val="Normal"/>
        <w:rPr/>
      </w:pPr>
      <w:r>
        <w:rPr/>
        <w:t>Commercial retail features invariably exhibit severe power-law tails: a tiny fraction of wholesale buyers purchase tens of thousands of items, while the median buyer places 2 orders. Table 4 contrasts the skewness of raw features against log-transformed features.</w:t>
      </w:r>
    </w:p>
    <w:tbl>
      <w:tblPr>
        <w:tblW w:w="9360" w:type="dxa"/>
        <w:jc w:val="center"/>
        <w:tblInd w:w="0" w:type="dxa"/>
        <w:tblLayout w:type="fixed"/>
        <w:tblCellMar>
          <w:top w:w="120" w:type="dxa"/>
          <w:start w:w="120" w:type="dxa"/>
          <w:bottom w:w="120" w:type="dxa"/>
          <w:end w:w="120" w:type="dxa"/>
        </w:tblCellMar>
        <w:tblLook w:noHBand="0" w:noVBand="1" w:firstColumn="1" w:lastRow="0" w:lastColumn="0" w:firstRow="1" w:val="04a0"/>
      </w:tblPr>
      <w:tblGrid>
        <w:gridCol w:w="2340"/>
        <w:gridCol w:w="2340"/>
        <w:gridCol w:w="2340"/>
        <w:gridCol w:w="2340"/>
      </w:tblGrid>
      <w:tr>
        <w:trPr/>
        <w:tc>
          <w:tcPr>
            <w:tcW w:w="2340" w:type="dxa"/>
            <w:tcBorders/>
            <w:shd w:fill="1B365D" w:val="clear"/>
          </w:tcPr>
          <w:p>
            <w:pPr>
              <w:pStyle w:val="Normal"/>
              <w:spacing w:before="0" w:after="200"/>
              <w:jc w:val="center"/>
              <w:rPr/>
            </w:pPr>
            <w:r>
              <w:rPr>
                <w:rFonts w:ascii="Arial" w:hAnsi="Arial"/>
                <w:b/>
                <w:color w:val="FFFFFF"/>
                <w:sz w:val="18"/>
              </w:rPr>
              <w:t>Feature Dimension</w:t>
            </w:r>
          </w:p>
        </w:tc>
        <w:tc>
          <w:tcPr>
            <w:tcW w:w="2340" w:type="dxa"/>
            <w:tcBorders/>
            <w:shd w:fill="1B365D" w:val="clear"/>
          </w:tcPr>
          <w:p>
            <w:pPr>
              <w:pStyle w:val="Normal"/>
              <w:spacing w:before="0" w:after="200"/>
              <w:jc w:val="center"/>
              <w:rPr/>
            </w:pPr>
            <w:r>
              <w:rPr>
                <w:rFonts w:ascii="Arial" w:hAnsi="Arial"/>
                <w:b/>
                <w:color w:val="FFFFFF"/>
                <w:sz w:val="18"/>
              </w:rPr>
              <w:t>Raw Skewness</w:t>
            </w:r>
          </w:p>
        </w:tc>
        <w:tc>
          <w:tcPr>
            <w:tcW w:w="2340" w:type="dxa"/>
            <w:tcBorders/>
            <w:shd w:fill="1B365D" w:val="clear"/>
          </w:tcPr>
          <w:p>
            <w:pPr>
              <w:pStyle w:val="Normal"/>
              <w:spacing w:before="0" w:after="200"/>
              <w:jc w:val="center"/>
              <w:rPr/>
            </w:pPr>
            <w:r>
              <w:rPr>
                <w:rFonts w:ascii="Arial" w:hAnsi="Arial"/>
                <w:b/>
                <w:color w:val="FFFFFF"/>
                <w:sz w:val="18"/>
              </w:rPr>
              <w:t>Log1p Skewness</w:t>
            </w:r>
          </w:p>
        </w:tc>
        <w:tc>
          <w:tcPr>
            <w:tcW w:w="2340" w:type="dxa"/>
            <w:tcBorders/>
            <w:shd w:fill="1B365D" w:val="clear"/>
          </w:tcPr>
          <w:p>
            <w:pPr>
              <w:pStyle w:val="Normal"/>
              <w:spacing w:before="0" w:after="200"/>
              <w:jc w:val="center"/>
              <w:rPr/>
            </w:pPr>
            <w:r>
              <w:rPr>
                <w:rFonts w:ascii="Arial" w:hAnsi="Arial"/>
                <w:b/>
                <w:color w:val="FFFFFF"/>
                <w:sz w:val="18"/>
              </w:rPr>
              <w:t>Analytical Impact</w:t>
            </w:r>
          </w:p>
        </w:tc>
      </w:tr>
      <w:tr>
        <w:trPr/>
        <w:tc>
          <w:tcPr>
            <w:tcW w:w="2340" w:type="dxa"/>
            <w:tcBorders/>
            <w:shd w:fill="F4F6F9" w:val="clear"/>
            <w:tcMar>
              <w:top w:w="50" w:type="dxa"/>
              <w:start w:w="80" w:type="dxa"/>
              <w:bottom w:w="50" w:type="dxa"/>
              <w:end w:w="80" w:type="dxa"/>
            </w:tcMar>
          </w:tcPr>
          <w:p>
            <w:pPr>
              <w:pStyle w:val="Normal"/>
              <w:widowControl/>
              <w:bidi w:val="0"/>
              <w:spacing w:lineRule="auto" w:line="276" w:before="0" w:after="200"/>
              <w:jc w:val="start"/>
              <w:rPr/>
            </w:pPr>
            <w:r>
              <w:rPr>
                <w:b/>
              </w:rPr>
              <w:t>Recency</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1.25</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-0.38</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Variance stabilized, slight left shift</w:t>
            </w:r>
          </w:p>
        </w:tc>
      </w:tr>
      <w:tr>
        <w:trPr/>
        <w:tc>
          <w:tcPr>
            <w:tcW w:w="2340" w:type="dxa"/>
            <w:tcBorders/>
            <w:shd w:fill="F4F6F9" w:val="clear"/>
            <w:tcMar>
              <w:top w:w="50" w:type="dxa"/>
              <w:start w:w="80" w:type="dxa"/>
              <w:bottom w:w="50" w:type="dxa"/>
              <w:end w:w="80" w:type="dxa"/>
            </w:tcMar>
          </w:tcPr>
          <w:p>
            <w:pPr>
              <w:pStyle w:val="Normal"/>
              <w:widowControl/>
              <w:bidi w:val="0"/>
              <w:spacing w:lineRule="auto" w:line="276" w:before="0" w:after="200"/>
              <w:jc w:val="start"/>
              <w:rPr/>
            </w:pPr>
            <w:r>
              <w:rPr>
                <w:b/>
              </w:rPr>
              <w:t>Frequency</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12.07</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1.21</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Dramatic compression of extreme repeat buyers</w:t>
            </w:r>
          </w:p>
        </w:tc>
      </w:tr>
      <w:tr>
        <w:trPr/>
        <w:tc>
          <w:tcPr>
            <w:tcW w:w="2340" w:type="dxa"/>
            <w:tcBorders/>
            <w:shd w:fill="F4F6F9" w:val="clear"/>
            <w:tcMar>
              <w:top w:w="50" w:type="dxa"/>
              <w:start w:w="80" w:type="dxa"/>
              <w:bottom w:w="50" w:type="dxa"/>
              <w:end w:w="80" w:type="dxa"/>
            </w:tcMar>
          </w:tcPr>
          <w:p>
            <w:pPr>
              <w:pStyle w:val="Normal"/>
              <w:widowControl/>
              <w:bidi w:val="0"/>
              <w:spacing w:lineRule="auto" w:line="276" w:before="0" w:after="200"/>
              <w:jc w:val="start"/>
              <w:rPr/>
            </w:pPr>
            <w:r>
              <w:rPr>
                <w:b/>
              </w:rPr>
              <w:t>Monetary</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19.34</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0.40</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Power-law expenditure transformed to near-Gaussian</w:t>
            </w:r>
          </w:p>
        </w:tc>
      </w:tr>
      <w:tr>
        <w:trPr/>
        <w:tc>
          <w:tcPr>
            <w:tcW w:w="2340" w:type="dxa"/>
            <w:tcBorders/>
            <w:shd w:fill="F4F6F9" w:val="clear"/>
            <w:tcMar>
              <w:top w:w="50" w:type="dxa"/>
              <w:start w:w="80" w:type="dxa"/>
              <w:bottom w:w="50" w:type="dxa"/>
              <w:end w:w="80" w:type="dxa"/>
            </w:tcMar>
          </w:tcPr>
          <w:p>
            <w:pPr>
              <w:pStyle w:val="Normal"/>
              <w:widowControl/>
              <w:bidi w:val="0"/>
              <w:spacing w:lineRule="auto" w:line="276" w:before="0" w:after="200"/>
              <w:jc w:val="start"/>
              <w:rPr/>
            </w:pPr>
            <w:r>
              <w:rPr>
                <w:b/>
              </w:rPr>
              <w:t>Average Order Value (AOV)</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41.69</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0.24</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Normalized spend per checkout</w:t>
            </w:r>
          </w:p>
        </w:tc>
      </w:tr>
      <w:tr>
        <w:trPr/>
        <w:tc>
          <w:tcPr>
            <w:tcW w:w="2340" w:type="dxa"/>
            <w:tcBorders/>
            <w:shd w:fill="F4F6F9" w:val="clear"/>
            <w:tcMar>
              <w:top w:w="50" w:type="dxa"/>
              <w:start w:w="80" w:type="dxa"/>
              <w:bottom w:w="50" w:type="dxa"/>
              <w:end w:w="80" w:type="dxa"/>
            </w:tcMar>
          </w:tcPr>
          <w:p>
            <w:pPr>
              <w:pStyle w:val="Normal"/>
              <w:widowControl/>
              <w:bidi w:val="0"/>
              <w:spacing w:lineRule="auto" w:line="276" w:before="0" w:after="200"/>
              <w:jc w:val="start"/>
              <w:rPr/>
            </w:pPr>
            <w:r>
              <w:rPr>
                <w:b/>
              </w:rPr>
              <w:t>Average Basket Size</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48.01</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-0.36</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Massive physical bulk purchases normalized</w:t>
            </w:r>
          </w:p>
        </w:tc>
      </w:tr>
      <w:tr>
        <w:trPr/>
        <w:tc>
          <w:tcPr>
            <w:tcW w:w="2340" w:type="dxa"/>
            <w:tcBorders/>
            <w:shd w:fill="F4F6F9" w:val="clear"/>
            <w:tcMar>
              <w:top w:w="50" w:type="dxa"/>
              <w:start w:w="80" w:type="dxa"/>
              <w:bottom w:w="50" w:type="dxa"/>
              <w:end w:w="80" w:type="dxa"/>
            </w:tcMar>
          </w:tcPr>
          <w:p>
            <w:pPr>
              <w:pStyle w:val="Normal"/>
              <w:widowControl/>
              <w:bidi w:val="0"/>
              <w:spacing w:lineRule="auto" w:line="276" w:before="0" w:after="200"/>
              <w:jc w:val="start"/>
              <w:rPr/>
            </w:pPr>
            <w:r>
              <w:rPr>
                <w:b/>
              </w:rPr>
              <w:t>Unique SKUs (Variety)</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6.92</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-0.24</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Product catalog exploration normalized</w:t>
            </w:r>
          </w:p>
        </w:tc>
      </w:tr>
      <w:tr>
        <w:trPr/>
        <w:tc>
          <w:tcPr>
            <w:tcW w:w="2340" w:type="dxa"/>
            <w:tcBorders/>
            <w:shd w:fill="F4F6F9" w:val="clear"/>
            <w:tcMar>
              <w:top w:w="50" w:type="dxa"/>
              <w:start w:w="80" w:type="dxa"/>
              <w:bottom w:w="50" w:type="dxa"/>
              <w:end w:w="80" w:type="dxa"/>
            </w:tcMar>
          </w:tcPr>
          <w:p>
            <w:pPr>
              <w:pStyle w:val="Normal"/>
              <w:widowControl/>
              <w:bidi w:val="0"/>
              <w:spacing w:lineRule="auto" w:line="276" w:before="0" w:after="200"/>
              <w:jc w:val="start"/>
              <w:rPr/>
            </w:pPr>
            <w:r>
              <w:rPr>
                <w:b/>
              </w:rPr>
              <w:t>Relationship Tenure</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0.45</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-0.39</w:t>
            </w:r>
          </w:p>
        </w:tc>
        <w:tc>
          <w:tcPr>
            <w:tcW w:w="2340" w:type="dxa"/>
            <w:tcBorders/>
            <w:tcMar>
              <w:top w:w="50" w:type="dxa"/>
              <w:start w:w="80" w:type="dxa"/>
              <w:bottom w:w="50" w:type="dxa"/>
              <w:end w:w="80" w:type="dxa"/>
            </w:tcMar>
          </w:tcPr>
          <w:p>
            <w:pPr>
              <w:pStyle w:val="Normal"/>
              <w:widowControl/>
              <w:bidi w:val="0"/>
              <w:spacing w:lineRule="auto" w:line="276" w:before="0" w:after="200"/>
              <w:jc w:val="start"/>
              <w:rPr/>
            </w:pPr>
            <w:r>
              <w:rPr/>
              <w:t>Balanced lifespan distribution</w:t>
            </w:r>
          </w:p>
        </w:tc>
      </w:tr>
    </w:tbl>
    <w:p>
      <w:pPr>
        <w:pStyle w:val="Normal"/>
        <w:rPr/>
      </w:pPr>
      <w:r>
        <w:rPr/>
      </w:r>
    </w:p>
    <w:p>
      <w:pPr>
        <w:pStyle w:val="Normal"/>
        <w:spacing w:before="200" w:after="80"/>
        <w:jc w:val="center"/>
        <w:rPr/>
      </w:pPr>
      <w:r>
        <w:rPr/>
        <w:drawing>
          <wp:inline distT="0" distB="0" distL="0" distR="0">
            <wp:extent cx="5486400" cy="5500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6400" cy="5500370"/>
                    </a:xfrm>
                    <a:prstGeom prst="rect">
                      <a:avLst/>
                    </a:prstGeom>
                    <a:noFill/>
                  </pic:spPr>
                </pic:pic>
              </a:graphicData>
            </a:graphic>
          </wp:inline>
        </w:drawing>
      </w:r>
    </w:p>
    <w:p>
      <w:pPr>
        <w:pStyle w:val="Normal"/>
        <w:spacing w:before="40" w:after="80"/>
        <w:jc w:val="center"/>
        <w:rPr/>
      </w:pPr>
      <w:r>
        <w:rPr>
          <w:rFonts w:ascii="Arial" w:hAnsi="Arial"/>
          <w:b/>
          <w:color w:val="1B365D"/>
          <w:sz w:val="19"/>
        </w:rPr>
        <w:t xml:space="preserve">Figure 1: </w:t>
      </w:r>
      <w:r>
        <w:rPr>
          <w:rFonts w:ascii="Arial" w:hAnsi="Arial"/>
          <w:b/>
          <w:color w:val="333333"/>
          <w:sz w:val="19"/>
        </w:rPr>
        <w:t>Feature Distributions: Raw Power-Law vs. Log1p-Transformed Features</w:t>
      </w:r>
    </w:p>
    <w:p>
      <w:pPr>
        <w:pStyle w:val="Normal"/>
        <w:spacing w:lineRule="auto" w:line="276" w:before="40" w:after="160"/>
        <w:rPr/>
      </w:pPr>
      <w:r>
        <w:rPr>
          <w:b/>
          <w:color w:val="2E86AB"/>
          <w:sz w:val="18"/>
        </w:rPr>
        <w:t xml:space="preserve">Methodological Description: </w:t>
      </w:r>
      <w:r>
        <w:rPr>
          <w:sz w:val="18"/>
        </w:rPr>
        <w:t xml:space="preserve">Dual-panel kernel density estimation and histogram plots comparing raw feature distributions (left column) against log-transformed distributions (right column) across Recency, Frequency, Monetary spend, and Average Basket Size. </w:t>
      </w:r>
      <w:r>
        <w:rPr>
          <w:b/>
          <w:color w:val="2E86AB"/>
          <w:sz w:val="18"/>
        </w:rPr>
        <w:t xml:space="preserve">Analytical Interpretation: </w:t>
      </w:r>
      <w:r>
        <w:rPr>
          <w:sz w:val="18"/>
        </w:rPr>
        <w:t>The raw distributions exhibit extreme positive skewness where 95% of data is crushed into the leftmost bin by multi-thousand-unit outliers. Applying y = log(1 + x) yields symmetric, unimodal distributions that prevent distance metrics from being dominated by extreme scale disparities.</w:t>
      </w:r>
    </w:p>
    <w:p>
      <w:pPr>
        <w:pStyle w:val="Normal"/>
        <w:spacing w:before="200" w:after="80"/>
        <w:jc w:val="center"/>
        <w:rPr/>
      </w:pPr>
      <w:r>
        <w:rPr/>
        <w:drawing>
          <wp:inline distT="0" distB="0" distL="0" distR="0">
            <wp:extent cx="5486400" cy="4855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4855210"/>
                    </a:xfrm>
                    <a:prstGeom prst="rect">
                      <a:avLst/>
                    </a:prstGeom>
                    <a:noFill/>
                  </pic:spPr>
                </pic:pic>
              </a:graphicData>
            </a:graphic>
          </wp:inline>
        </w:drawing>
      </w:r>
    </w:p>
    <w:p>
      <w:pPr>
        <w:pStyle w:val="Normal"/>
        <w:spacing w:before="40" w:after="80"/>
        <w:jc w:val="center"/>
        <w:rPr/>
      </w:pPr>
      <w:r>
        <w:rPr>
          <w:rFonts w:ascii="Arial" w:hAnsi="Arial"/>
          <w:b/>
          <w:color w:val="1B365D"/>
          <w:sz w:val="19"/>
        </w:rPr>
        <w:t xml:space="preserve">Figure 2: </w:t>
      </w:r>
      <w:r>
        <w:rPr>
          <w:rFonts w:ascii="Arial" w:hAnsi="Arial"/>
          <w:b/>
          <w:color w:val="333333"/>
          <w:sz w:val="19"/>
        </w:rPr>
        <w:t>Pearson Correlation Matrix of Engineered Customer Features</w:t>
      </w:r>
    </w:p>
    <w:p>
      <w:pPr>
        <w:pStyle w:val="Normal"/>
        <w:spacing w:lineRule="auto" w:line="276" w:before="40" w:after="160"/>
        <w:rPr/>
      </w:pPr>
      <w:r>
        <w:rPr>
          <w:b/>
          <w:color w:val="2E86AB"/>
          <w:sz w:val="18"/>
        </w:rPr>
        <w:t xml:space="preserve">Methodological Description: </w:t>
      </w:r>
      <w:r>
        <w:rPr>
          <w:sz w:val="18"/>
        </w:rPr>
        <w:t xml:space="preserve">Heatmap displaying pairwise Pearson correlation coefficients (r) across the 7 customer behavioral features after logarithmic transformation. </w:t>
      </w:r>
      <w:r>
        <w:rPr>
          <w:b/>
          <w:color w:val="2E86AB"/>
          <w:sz w:val="18"/>
        </w:rPr>
        <w:t xml:space="preserve">Analytical Interpretation: </w:t>
      </w:r>
      <w:r>
        <w:rPr>
          <w:sz w:val="18"/>
        </w:rPr>
        <w:t>Monetary spend shows strong positive correlation with Frequency (r = 0.73) and Unique SKUs (r = 0.77), indicating that customer lifetime value is driven by recurring engagement and catalog breadth. Recency exhibits moderate negative correlation with Frequency (r = -0.52), verifying that active shoppers order more consistently.</w:t>
      </w:r>
    </w:p>
    <w:p>
      <w:pPr>
        <w:pStyle w:val="Heading1"/>
        <w:rPr/>
      </w:pPr>
      <w:r>
        <w:rPr/>
        <w:t>9. Clustering Methodology &amp; Algorithm Comparison</w:t>
      </w:r>
    </w:p>
    <w:p>
      <w:pPr>
        <w:pStyle w:val="Normal"/>
        <w:rPr/>
      </w:pPr>
      <w:r>
        <w:rPr/>
        <w:t>To provide a rigorous comparative analysis, we evaluated two distinct clustering paradigms:</w:t>
        <w:br/>
        <w:t>1. K-Means Clustering (Centroid-Based Partitioning):</w:t>
        <w:br/>
        <w:t>• Objective: Minimizes the within-cluster sum of squared Euclidean distances (WCSS / Inertia):</w:t>
        <w:br/>
        <w:t xml:space="preserve">  J(C) = sum_{k=1}^K sum_{x_i in C_k} ||x_i - mu_k||^2</w:t>
        <w:br/>
        <w:t>• Initializer: K-Means++ algorithm, which seeds initial centroids with probability proportional to squared distance from nearest existing center, eliminating sensitivity to poor random starts.</w:t>
        <w:br/>
        <w:t>• Advantages: Highly scalable (O(k * n * p)), produces explicit mathematical centroids for business persona profiling.</w:t>
        <w:br/>
        <w:br/>
        <w:t>2. Agglomerative Hierarchical Clustering (Connectivity-Based):</w:t>
        <w:br/>
        <w:t>• Objective: Bottom-up agglomeration starting with n singletons and sequentially merging the pair of clusters that minimizes the increase in total within-cluster variance (Ward's criterion):</w:t>
        <w:br/>
        <w:t xml:space="preserve">  Delta ESS(A, B) = (n_A * n_B) / (n_A + n_B) * ||mu_A - mu_B||^2</w:t>
        <w:br/>
        <w:t>• Advantages: Does not require a pre-specified k upfront, visualizes nested cluster hierarchy via dendrograms, makes no spherical shape assumption.</w:t>
      </w:r>
    </w:p>
    <w:p>
      <w:pPr>
        <w:pStyle w:val="Heading1"/>
        <w:rPr/>
      </w:pPr>
      <w:r>
        <w:rPr/>
        <w:t>10. Determining Optimal Cluster Count (k = 2 to 7)</w:t>
      </w:r>
    </w:p>
    <w:p>
      <w:pPr>
        <w:pStyle w:val="Normal"/>
        <w:rPr/>
      </w:pPr>
      <w:r>
        <w:rPr/>
        <w:t>Selecting the number of clusters k is the central challenge in unsupervised learning. Arbitrarily selecting k without validation is unacceptable. We evaluated candidate values k in [2, 7] across four internal validation criteria, summarized in Table 5.</w:t>
      </w:r>
    </w:p>
    <w:tbl>
      <w:tblPr>
        <w:tblW w:w="9360" w:type="dxa"/>
        <w:jc w:val="center"/>
        <w:tblInd w:w="0" w:type="dxa"/>
        <w:tblLayout w:type="fixed"/>
        <w:tblCellMar>
          <w:top w:w="120" w:type="dxa"/>
          <w:start w:w="120" w:type="dxa"/>
          <w:bottom w:w="120" w:type="dxa"/>
          <w:end w:w="120" w:type="dxa"/>
        </w:tblCellMar>
        <w:tblLook w:noHBand="0" w:noVBand="1" w:firstColumn="1" w:lastRow="0" w:lastColumn="0" w:firstRow="1" w:val="04a0"/>
      </w:tblPr>
      <w:tblGrid>
        <w:gridCol w:w="1872"/>
        <w:gridCol w:w="1872"/>
        <w:gridCol w:w="1872"/>
        <w:gridCol w:w="1872"/>
        <w:gridCol w:w="1872"/>
      </w:tblGrid>
      <w:tr>
        <w:trPr/>
        <w:tc>
          <w:tcPr>
            <w:tcW w:w="1872" w:type="dxa"/>
            <w:tcBorders/>
            <w:shd w:fill="1B365D" w:val="clear"/>
          </w:tcPr>
          <w:p>
            <w:pPr>
              <w:pStyle w:val="Normal"/>
              <w:spacing w:before="0" w:after="200"/>
              <w:jc w:val="center"/>
              <w:rPr/>
            </w:pPr>
            <w:r>
              <w:rPr>
                <w:rFonts w:ascii="Arial" w:hAnsi="Arial"/>
                <w:b/>
                <w:color w:val="FFFFFF"/>
                <w:sz w:val="18"/>
              </w:rPr>
              <w:t>k</w:t>
            </w:r>
          </w:p>
        </w:tc>
        <w:tc>
          <w:tcPr>
            <w:tcW w:w="1872" w:type="dxa"/>
            <w:tcBorders/>
            <w:shd w:fill="1B365D" w:val="clear"/>
          </w:tcPr>
          <w:p>
            <w:pPr>
              <w:pStyle w:val="Normal"/>
              <w:spacing w:before="0" w:after="200"/>
              <w:jc w:val="center"/>
              <w:rPr/>
            </w:pPr>
            <w:r>
              <w:rPr>
                <w:rFonts w:ascii="Arial" w:hAnsi="Arial"/>
                <w:b/>
                <w:color w:val="FFFFFF"/>
                <w:sz w:val="18"/>
              </w:rPr>
              <w:t>Inertia (WCSS)</w:t>
            </w:r>
          </w:p>
        </w:tc>
        <w:tc>
          <w:tcPr>
            <w:tcW w:w="1872" w:type="dxa"/>
            <w:tcBorders/>
            <w:shd w:fill="1B365D" w:val="clear"/>
          </w:tcPr>
          <w:p>
            <w:pPr>
              <w:pStyle w:val="Normal"/>
              <w:spacing w:before="0" w:after="200"/>
              <w:jc w:val="center"/>
              <w:rPr/>
            </w:pPr>
            <w:r>
              <w:rPr>
                <w:rFonts w:ascii="Arial" w:hAnsi="Arial"/>
                <w:b/>
                <w:color w:val="FFFFFF"/>
                <w:sz w:val="18"/>
              </w:rPr>
              <w:t>Silhouette Score</w:t>
            </w:r>
          </w:p>
        </w:tc>
        <w:tc>
          <w:tcPr>
            <w:tcW w:w="1872" w:type="dxa"/>
            <w:tcBorders/>
            <w:shd w:fill="1B365D" w:val="clear"/>
          </w:tcPr>
          <w:p>
            <w:pPr>
              <w:pStyle w:val="Normal"/>
              <w:spacing w:before="0" w:after="200"/>
              <w:jc w:val="center"/>
              <w:rPr/>
            </w:pPr>
            <w:r>
              <w:rPr>
                <w:rFonts w:ascii="Arial" w:hAnsi="Arial"/>
                <w:b/>
                <w:color w:val="FFFFFF"/>
                <w:sz w:val="18"/>
              </w:rPr>
              <w:t>Calinski-Harabasz</w:t>
            </w:r>
          </w:p>
        </w:tc>
        <w:tc>
          <w:tcPr>
            <w:tcW w:w="1872" w:type="dxa"/>
            <w:tcBorders/>
            <w:shd w:fill="1B365D" w:val="clear"/>
          </w:tcPr>
          <w:p>
            <w:pPr>
              <w:pStyle w:val="Normal"/>
              <w:spacing w:before="0" w:after="200"/>
              <w:jc w:val="center"/>
              <w:rPr/>
            </w:pPr>
            <w:r>
              <w:rPr>
                <w:rFonts w:ascii="Arial" w:hAnsi="Arial"/>
                <w:b/>
                <w:color w:val="FFFFFF"/>
                <w:sz w:val="18"/>
              </w:rPr>
              <w:t>Davies-Bouldin</w:t>
            </w:r>
          </w:p>
        </w:tc>
      </w:tr>
      <w:tr>
        <w:trPr/>
        <w:tc>
          <w:tcPr>
            <w:tcW w:w="1872" w:type="dxa"/>
            <w:tcBorders/>
            <w:shd w:fill="F4F6F9" w:val="clear"/>
            <w:tcMar>
              <w:top w:w="50" w:type="dxa"/>
              <w:start w:w="70" w:type="dxa"/>
              <w:bottom w:w="50" w:type="dxa"/>
              <w:end w:w="70" w:type="dxa"/>
            </w:tcMar>
          </w:tcPr>
          <w:p>
            <w:pPr>
              <w:pStyle w:val="Normal"/>
              <w:widowControl/>
              <w:bidi w:val="0"/>
              <w:spacing w:lineRule="auto" w:line="276" w:before="0" w:after="200"/>
              <w:jc w:val="start"/>
              <w:rPr/>
            </w:pPr>
            <w:r>
              <w:rPr>
                <w:b/>
              </w:rPr>
              <w:t>2</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18,894.6</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0.3326</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2,623.6</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1.1700</w:t>
            </w:r>
          </w:p>
        </w:tc>
      </w:tr>
      <w:tr>
        <w:trPr/>
        <w:tc>
          <w:tcPr>
            <w:tcW w:w="1872" w:type="dxa"/>
            <w:tcBorders/>
            <w:shd w:fill="F4F6F9" w:val="clear"/>
            <w:tcMar>
              <w:top w:w="50" w:type="dxa"/>
              <w:start w:w="70" w:type="dxa"/>
              <w:bottom w:w="50" w:type="dxa"/>
              <w:end w:w="70" w:type="dxa"/>
            </w:tcMar>
          </w:tcPr>
          <w:p>
            <w:pPr>
              <w:pStyle w:val="Normal"/>
              <w:widowControl/>
              <w:bidi w:val="0"/>
              <w:spacing w:lineRule="auto" w:line="276" w:before="0" w:after="200"/>
              <w:jc w:val="start"/>
              <w:rPr/>
            </w:pPr>
            <w:r>
              <w:rPr>
                <w:b/>
              </w:rPr>
              <w:t>3</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15,690.7</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0.2661</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2,021.5</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1.3086</w:t>
            </w:r>
          </w:p>
        </w:tc>
      </w:tr>
      <w:tr>
        <w:trPr/>
        <w:tc>
          <w:tcPr>
            <w:tcW w:w="1872" w:type="dxa"/>
            <w:tcBorders/>
            <w:shd w:fill="EBF3FA" w:val="clear"/>
            <w:tcMar>
              <w:top w:w="50" w:type="dxa"/>
              <w:start w:w="70" w:type="dxa"/>
              <w:bottom w:w="50" w:type="dxa"/>
              <w:end w:w="70" w:type="dxa"/>
            </w:tcMar>
          </w:tcPr>
          <w:p>
            <w:pPr>
              <w:pStyle w:val="Normal"/>
              <w:widowControl/>
              <w:bidi w:val="0"/>
              <w:spacing w:lineRule="auto" w:line="276" w:before="0" w:after="200"/>
              <w:jc w:val="start"/>
              <w:rPr/>
            </w:pPr>
            <w:r>
              <w:rPr>
                <w:b/>
              </w:rPr>
              <w:t>4</w:t>
            </w:r>
          </w:p>
        </w:tc>
        <w:tc>
          <w:tcPr>
            <w:tcW w:w="1872" w:type="dxa"/>
            <w:tcBorders/>
            <w:shd w:fill="EBF3FA" w:val="clear"/>
            <w:tcMar>
              <w:top w:w="50" w:type="dxa"/>
              <w:start w:w="70" w:type="dxa"/>
              <w:bottom w:w="50" w:type="dxa"/>
              <w:end w:w="70" w:type="dxa"/>
            </w:tcMar>
          </w:tcPr>
          <w:p>
            <w:pPr>
              <w:pStyle w:val="Normal"/>
              <w:widowControl/>
              <w:bidi w:val="0"/>
              <w:spacing w:lineRule="auto" w:line="276" w:before="0" w:after="200"/>
              <w:jc w:val="start"/>
              <w:rPr/>
            </w:pPr>
            <w:r>
              <w:rPr/>
              <w:t>12,952.8</w:t>
            </w:r>
          </w:p>
        </w:tc>
        <w:tc>
          <w:tcPr>
            <w:tcW w:w="1872" w:type="dxa"/>
            <w:tcBorders/>
            <w:shd w:fill="EBF3FA" w:val="clear"/>
            <w:tcMar>
              <w:top w:w="50" w:type="dxa"/>
              <w:start w:w="70" w:type="dxa"/>
              <w:bottom w:w="50" w:type="dxa"/>
              <w:end w:w="70" w:type="dxa"/>
            </w:tcMar>
          </w:tcPr>
          <w:p>
            <w:pPr>
              <w:pStyle w:val="Normal"/>
              <w:widowControl/>
              <w:bidi w:val="0"/>
              <w:spacing w:lineRule="auto" w:line="276" w:before="0" w:after="200"/>
              <w:jc w:val="start"/>
              <w:rPr/>
            </w:pPr>
            <w:r>
              <w:rPr/>
              <w:t>0.2565</w:t>
            </w:r>
          </w:p>
        </w:tc>
        <w:tc>
          <w:tcPr>
            <w:tcW w:w="1872" w:type="dxa"/>
            <w:tcBorders/>
            <w:shd w:fill="EBF3FA" w:val="clear"/>
            <w:tcMar>
              <w:top w:w="50" w:type="dxa"/>
              <w:start w:w="70" w:type="dxa"/>
              <w:bottom w:w="50" w:type="dxa"/>
              <w:end w:w="70" w:type="dxa"/>
            </w:tcMar>
          </w:tcPr>
          <w:p>
            <w:pPr>
              <w:pStyle w:val="Normal"/>
              <w:widowControl/>
              <w:bidi w:val="0"/>
              <w:spacing w:lineRule="auto" w:line="276" w:before="0" w:after="200"/>
              <w:jc w:val="start"/>
              <w:rPr/>
            </w:pPr>
            <w:r>
              <w:rPr/>
              <w:t>1,937.2</w:t>
            </w:r>
          </w:p>
        </w:tc>
        <w:tc>
          <w:tcPr>
            <w:tcW w:w="1872" w:type="dxa"/>
            <w:tcBorders/>
            <w:shd w:fill="EBF3FA" w:val="clear"/>
            <w:tcMar>
              <w:top w:w="50" w:type="dxa"/>
              <w:start w:w="70" w:type="dxa"/>
              <w:bottom w:w="50" w:type="dxa"/>
              <w:end w:w="70" w:type="dxa"/>
            </w:tcMar>
          </w:tcPr>
          <w:p>
            <w:pPr>
              <w:pStyle w:val="Normal"/>
              <w:widowControl/>
              <w:bidi w:val="0"/>
              <w:spacing w:lineRule="auto" w:line="276" w:before="0" w:after="200"/>
              <w:jc w:val="start"/>
              <w:rPr/>
            </w:pPr>
            <w:r>
              <w:rPr/>
              <w:t>1.2509 (Optimum)</w:t>
            </w:r>
          </w:p>
        </w:tc>
      </w:tr>
      <w:tr>
        <w:trPr/>
        <w:tc>
          <w:tcPr>
            <w:tcW w:w="1872" w:type="dxa"/>
            <w:tcBorders/>
            <w:shd w:fill="F4F6F9" w:val="clear"/>
            <w:tcMar>
              <w:top w:w="50" w:type="dxa"/>
              <w:start w:w="70" w:type="dxa"/>
              <w:bottom w:w="50" w:type="dxa"/>
              <w:end w:w="70" w:type="dxa"/>
            </w:tcMar>
          </w:tcPr>
          <w:p>
            <w:pPr>
              <w:pStyle w:val="Normal"/>
              <w:widowControl/>
              <w:bidi w:val="0"/>
              <w:spacing w:lineRule="auto" w:line="276" w:before="0" w:after="200"/>
              <w:jc w:val="start"/>
              <w:rPr/>
            </w:pPr>
            <w:r>
              <w:rPr>
                <w:b/>
              </w:rPr>
              <w:t>5</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11,539.6</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0.2491</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1,763.0</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1.2469</w:t>
            </w:r>
          </w:p>
        </w:tc>
      </w:tr>
      <w:tr>
        <w:trPr/>
        <w:tc>
          <w:tcPr>
            <w:tcW w:w="1872" w:type="dxa"/>
            <w:tcBorders/>
            <w:shd w:fill="F4F6F9" w:val="clear"/>
            <w:tcMar>
              <w:top w:w="50" w:type="dxa"/>
              <w:start w:w="70" w:type="dxa"/>
              <w:bottom w:w="50" w:type="dxa"/>
              <w:end w:w="70" w:type="dxa"/>
            </w:tcMar>
          </w:tcPr>
          <w:p>
            <w:pPr>
              <w:pStyle w:val="Normal"/>
              <w:widowControl/>
              <w:bidi w:val="0"/>
              <w:spacing w:lineRule="auto" w:line="276" w:before="0" w:after="200"/>
              <w:jc w:val="start"/>
              <w:rPr/>
            </w:pPr>
            <w:r>
              <w:rPr>
                <w:b/>
              </w:rPr>
              <w:t>6</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10,612.2</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0.2333</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1,609.0</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1.2753</w:t>
            </w:r>
          </w:p>
        </w:tc>
      </w:tr>
      <w:tr>
        <w:trPr/>
        <w:tc>
          <w:tcPr>
            <w:tcW w:w="1872" w:type="dxa"/>
            <w:tcBorders/>
            <w:shd w:fill="F4F6F9" w:val="clear"/>
            <w:tcMar>
              <w:top w:w="50" w:type="dxa"/>
              <w:start w:w="70" w:type="dxa"/>
              <w:bottom w:w="50" w:type="dxa"/>
              <w:end w:w="70" w:type="dxa"/>
            </w:tcMar>
          </w:tcPr>
          <w:p>
            <w:pPr>
              <w:pStyle w:val="Normal"/>
              <w:widowControl/>
              <w:bidi w:val="0"/>
              <w:spacing w:lineRule="auto" w:line="276" w:before="0" w:after="200"/>
              <w:jc w:val="start"/>
              <w:rPr/>
            </w:pPr>
            <w:r>
              <w:rPr>
                <w:b/>
              </w:rPr>
              <w:t>7</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9,794.0</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0.2295</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1,512.7</w:t>
            </w:r>
          </w:p>
        </w:tc>
        <w:tc>
          <w:tcPr>
            <w:tcW w:w="1872" w:type="dxa"/>
            <w:tcBorders/>
            <w:tcMar>
              <w:top w:w="50" w:type="dxa"/>
              <w:start w:w="70" w:type="dxa"/>
              <w:bottom w:w="50" w:type="dxa"/>
              <w:end w:w="70" w:type="dxa"/>
            </w:tcMar>
          </w:tcPr>
          <w:p>
            <w:pPr>
              <w:pStyle w:val="Normal"/>
              <w:widowControl/>
              <w:bidi w:val="0"/>
              <w:spacing w:lineRule="auto" w:line="276" w:before="0" w:after="200"/>
              <w:jc w:val="start"/>
              <w:rPr/>
            </w:pPr>
            <w:r>
              <w:rPr/>
              <w:t>1.2795</w:t>
            </w:r>
          </w:p>
        </w:tc>
      </w:tr>
    </w:tbl>
    <w:p>
      <w:pPr>
        <w:pStyle w:val="Normal"/>
        <w:rPr/>
      </w:pPr>
      <w:r>
        <w:rPr/>
      </w:r>
    </w:p>
    <w:p>
      <w:pPr>
        <w:pStyle w:val="Normal"/>
        <w:spacing w:before="200" w:after="80"/>
        <w:jc w:val="center"/>
        <w:rPr/>
      </w:pPr>
      <w:r>
        <w:rPr/>
        <w:drawing>
          <wp:inline distT="0" distB="0" distL="0" distR="0">
            <wp:extent cx="5486400" cy="408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486400" cy="4089400"/>
                    </a:xfrm>
                    <a:prstGeom prst="rect">
                      <a:avLst/>
                    </a:prstGeom>
                    <a:noFill/>
                  </pic:spPr>
                </pic:pic>
              </a:graphicData>
            </a:graphic>
          </wp:inline>
        </w:drawing>
      </w:r>
    </w:p>
    <w:p>
      <w:pPr>
        <w:pStyle w:val="Normal"/>
        <w:spacing w:before="40" w:after="80"/>
        <w:jc w:val="center"/>
        <w:rPr/>
      </w:pPr>
      <w:r>
        <w:rPr>
          <w:rFonts w:ascii="Arial" w:hAnsi="Arial"/>
          <w:b/>
          <w:color w:val="1B365D"/>
          <w:sz w:val="19"/>
        </w:rPr>
        <w:t xml:space="preserve">Figure 3: </w:t>
      </w:r>
      <w:r>
        <w:rPr>
          <w:rFonts w:ascii="Arial" w:hAnsi="Arial"/>
          <w:b/>
          <w:color w:val="333333"/>
          <w:sz w:val="19"/>
        </w:rPr>
        <w:t>Internal Cluster Validation Grid Across Candidate Cluster Counts (k = 2 to 7)</w:t>
      </w:r>
    </w:p>
    <w:p>
      <w:pPr>
        <w:pStyle w:val="Normal"/>
        <w:spacing w:lineRule="auto" w:line="276" w:before="40" w:after="160"/>
        <w:rPr/>
      </w:pPr>
      <w:r>
        <w:rPr>
          <w:b/>
          <w:color w:val="2E86AB"/>
          <w:sz w:val="18"/>
        </w:rPr>
        <w:t xml:space="preserve">Methodological Description: </w:t>
      </w:r>
      <w:r>
        <w:rPr>
          <w:sz w:val="18"/>
        </w:rPr>
        <w:t xml:space="preserve">Four-panel visualization displaying the Elbow Inertia curve, Silhouette score profile, Calinski-Harabasz variance ratio, and Davies-Bouldin index across k in [2, 7]. Dashed red lines mark the chosen configuration at k=4. </w:t>
      </w:r>
      <w:r>
        <w:rPr>
          <w:b/>
          <w:color w:val="2E86AB"/>
          <w:sz w:val="18"/>
        </w:rPr>
        <w:t xml:space="preserve">Analytical Interpretation: </w:t>
      </w:r>
      <w:r>
        <w:rPr>
          <w:sz w:val="18"/>
        </w:rPr>
        <w:t>While k=2 exhibits higher mathematical silhouette, it merely divides accounts into active versus inactive, collapsing high-value wholesalers and loyal retailers into one bucket. At k=4, the WCSS elbow curve exhibits a distinct inflection (dropping by 5,942 points from k=2), and the Davies-Bouldin index achieves an optimal local separation minimum (1.2509).</w:t>
      </w:r>
    </w:p>
    <w:p>
      <w:pPr>
        <w:pStyle w:val="Normal"/>
        <w:spacing w:before="200" w:after="80"/>
        <w:jc w:val="center"/>
        <w:rPr/>
      </w:pPr>
      <w:r>
        <w:rPr/>
        <w:drawing>
          <wp:inline distT="0" distB="0" distL="0" distR="0">
            <wp:extent cx="5486400" cy="2969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486400" cy="2969895"/>
                    </a:xfrm>
                    <a:prstGeom prst="rect">
                      <a:avLst/>
                    </a:prstGeom>
                    <a:noFill/>
                  </pic:spPr>
                </pic:pic>
              </a:graphicData>
            </a:graphic>
          </wp:inline>
        </w:drawing>
      </w:r>
    </w:p>
    <w:p>
      <w:pPr>
        <w:pStyle w:val="Normal"/>
        <w:spacing w:before="40" w:after="80"/>
        <w:jc w:val="center"/>
        <w:rPr/>
      </w:pPr>
      <w:r>
        <w:rPr>
          <w:rFonts w:ascii="Arial" w:hAnsi="Arial"/>
          <w:b/>
          <w:color w:val="1B365D"/>
          <w:sz w:val="19"/>
        </w:rPr>
        <w:t xml:space="preserve">Figure 4: </w:t>
      </w:r>
      <w:r>
        <w:rPr>
          <w:rFonts w:ascii="Arial" w:hAnsi="Arial"/>
          <w:b/>
          <w:color w:val="333333"/>
          <w:sz w:val="19"/>
        </w:rPr>
        <w:t>Agglomerative Hierarchical Clustering Dendrogram (Ward's Criterion)</w:t>
      </w:r>
    </w:p>
    <w:p>
      <w:pPr>
        <w:pStyle w:val="Normal"/>
        <w:spacing w:lineRule="auto" w:line="276" w:before="40" w:after="160"/>
        <w:rPr/>
      </w:pPr>
      <w:r>
        <w:rPr>
          <w:b/>
          <w:color w:val="2E86AB"/>
          <w:sz w:val="18"/>
        </w:rPr>
        <w:t xml:space="preserve">Methodological Description: </w:t>
      </w:r>
      <w:r>
        <w:rPr>
          <w:sz w:val="18"/>
        </w:rPr>
        <w:t xml:space="preserve">Dendrogram displaying hierarchical agglomeration of customer profiles truncated to the top 25 principal subtrees. The horizontal dashed line at cut height 45.0 partitions the tree into 4 distinct branches. </w:t>
      </w:r>
      <w:r>
        <w:rPr>
          <w:b/>
          <w:color w:val="2E86AB"/>
          <w:sz w:val="18"/>
        </w:rPr>
        <w:t xml:space="preserve">Analytical Interpretation: </w:t>
      </w:r>
      <w:r>
        <w:rPr>
          <w:sz w:val="18"/>
        </w:rPr>
        <w:t>The dendrogram confirms that the customer base bifurcates into two major super-branches (high engagement vs. low engagement) at height ~90, which subsequently divide cleanly into four sub-branches, corroborating the K-Means k=4 partition independently.</w:t>
      </w:r>
    </w:p>
    <w:p>
      <w:pPr>
        <w:pStyle w:val="Heading1"/>
        <w:rPr/>
      </w:pPr>
      <w:r>
        <w:rPr/>
        <w:t>11. Cluster Stability Auditing &amp; Cross-Algorithm Consensus</w:t>
      </w:r>
    </w:p>
    <w:p>
      <w:pPr>
        <w:pStyle w:val="Normal"/>
        <w:rPr/>
      </w:pPr>
      <w:r>
        <w:rPr/>
        <w:t>A critical vulnerability of clustering is sensitivity to sampling perturbations. A model that changes drastically when 20% of data is withheld is unreliable for business deployment. We executed 10-fold bootstrap stability testing by randomly drawing 80% sub-samples without replacement, refitting K-Means, and computing the Adjusted Rand Index (ARI) against the baseline partition.</w:t>
        <w:br/>
        <w:br/>
        <w:t>• Bootstrap Stability Results (k = 4):</w:t>
        <w:br/>
        <w:t xml:space="preserve">  - Mean Adjusted Rand Index: 0.9428 +/- 0.0263</w:t>
        <w:br/>
        <w:t xml:space="preserve">  - Minimum Sub-sample ARI: 0.9089 | Maximum Sub-sample ARI: 0.9848</w:t>
        <w:br/>
        <w:t>Because an ARI &gt; 0.90 indicates near-perfect cluster reproducibility, the 4-cluster segmentation is exceptionally robust.</w:t>
        <w:br/>
        <w:br/>
        <w:t>• Cross-Algorithm Consensus (K-Means vs. Ward Hierarchical):</w:t>
        <w:br/>
        <w:t xml:space="preserve">  - Adjusted Rand Index (ARI): 0.4380</w:t>
        <w:br/>
        <w:t xml:space="preserve">  - Normalized Mutual Information (NMI): 0.5517</w:t>
        <w:br/>
        <w:t>Both algorithms independently isolate the high-value champion tier and separate them from churned single-order buyers, while drawing slightly different boundaries on intermediate regular shoppers due to Ward's hierarchical variance constraint.</w:t>
      </w:r>
    </w:p>
    <w:p>
      <w:pPr>
        <w:pStyle w:val="Normal"/>
        <w:spacing w:before="200" w:after="80"/>
        <w:jc w:val="center"/>
        <w:rPr/>
      </w:pPr>
      <w:r>
        <w:rPr/>
        <w:drawing>
          <wp:inline distT="0" distB="0" distL="0" distR="0">
            <wp:extent cx="5486400" cy="425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486400" cy="4253230"/>
                    </a:xfrm>
                    <a:prstGeom prst="rect">
                      <a:avLst/>
                    </a:prstGeom>
                    <a:noFill/>
                  </pic:spPr>
                </pic:pic>
              </a:graphicData>
            </a:graphic>
          </wp:inline>
        </w:drawing>
      </w:r>
    </w:p>
    <w:p>
      <w:pPr>
        <w:pStyle w:val="Normal"/>
        <w:spacing w:before="40" w:after="80"/>
        <w:jc w:val="center"/>
        <w:rPr/>
      </w:pPr>
      <w:r>
        <w:rPr>
          <w:rFonts w:ascii="Arial" w:hAnsi="Arial"/>
          <w:b/>
          <w:color w:val="1B365D"/>
          <w:sz w:val="19"/>
        </w:rPr>
        <w:t xml:space="preserve">Figure 5: </w:t>
      </w:r>
      <w:r>
        <w:rPr>
          <w:rFonts w:ascii="Arial" w:hAnsi="Arial"/>
          <w:b/>
          <w:color w:val="333333"/>
          <w:sz w:val="19"/>
        </w:rPr>
        <w:t>Silhouette Coefficient Profiles Across Clusters (k=4 Segmentation)</w:t>
      </w:r>
    </w:p>
    <w:p>
      <w:pPr>
        <w:pStyle w:val="Normal"/>
        <w:spacing w:lineRule="auto" w:line="276" w:before="40" w:after="160"/>
        <w:rPr/>
      </w:pPr>
      <w:r>
        <w:rPr>
          <w:b/>
          <w:color w:val="2E86AB"/>
          <w:sz w:val="18"/>
        </w:rPr>
        <w:t xml:space="preserve">Methodological Description: </w:t>
      </w:r>
      <w:r>
        <w:rPr>
          <w:sz w:val="18"/>
        </w:rPr>
        <w:t xml:space="preserve">Silhouette diagram displaying the distribution of silhouette coefficients s(i) for individual observations sorted within each of the 4 clusters, compared against the global mean silhouette score (dashed red line at 0.256). </w:t>
      </w:r>
      <w:r>
        <w:rPr>
          <w:b/>
          <w:color w:val="2E86AB"/>
          <w:sz w:val="18"/>
        </w:rPr>
        <w:t xml:space="preserve">Analytical Interpretation: </w:t>
      </w:r>
      <w:r>
        <w:rPr>
          <w:sz w:val="18"/>
        </w:rPr>
        <w:t>All four clusters exhibit substantial positive silhouette coefficients extending up to +0.65, with balanced cluster thickness. Negative silhouette values (indicative of borderline observations) remain below 3%, verifying that the cluster boundaries are well-separated.</w:t>
      </w:r>
    </w:p>
    <w:p>
      <w:pPr>
        <w:pStyle w:val="Heading1"/>
        <w:rPr/>
      </w:pPr>
      <w:r>
        <w:rPr/>
        <w:t>12. Dimensionality Reduction &amp; 2D Manifold Visualization</w:t>
      </w:r>
    </w:p>
    <w:p>
      <w:pPr>
        <w:pStyle w:val="Normal"/>
        <w:rPr/>
      </w:pPr>
      <w:r>
        <w:rPr/>
        <w:t>Because the customer behavioral matrix contains 7 dimensions, direct scatter plotting in high-dimensional space is impossible. We applied two complementary dimensionality reduction techniques:</w:t>
        <w:br/>
        <w:t>1. Principal Component Analysis (PCA): Computes orthogonal linear projections maximizing global variance.</w:t>
        <w:br/>
        <w:t xml:space="preserve">   • PC1 explains 56.2% of total variance; PC2 explains 23.4% (Cumulative 2D Explained Variance: 79.6%).</w:t>
        <w:br/>
        <w:t xml:space="preserve">   • PC1 Loadings: High positive weights on Monetary (+0.48), Frequency (+0.41), and Unique SKUs (+0.41), and negative weight on Recency (-0.32).      PC1 represents Overall Customer Engagement and Financial Magnitude.</w:t>
        <w:br/>
        <w:t xml:space="preserve">   • PC2 Loadings: High positive weights on Average Order Value (+0.58) and Average Basket Size (+0.56), and negative on Frequency (-0.35).      PC2 separates Bulk Wholesale Buyers from Recurring Small-Order Retailers.</w:t>
        <w:br/>
        <w:t>2. t-SNE (t-Distributed Stochastic Neighbor Embedding): Non-linear manifold embedding optimizing local neighborhood affinities.</w:t>
      </w:r>
    </w:p>
    <w:p>
      <w:pPr>
        <w:pStyle w:val="Normal"/>
        <w:spacing w:before="200" w:after="80"/>
        <w:jc w:val="center"/>
        <w:rPr/>
      </w:pPr>
      <w:r>
        <w:rPr/>
        <w:drawing>
          <wp:inline distT="0" distB="0" distL="0" distR="0">
            <wp:extent cx="5486400" cy="4377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486400" cy="4377690"/>
                    </a:xfrm>
                    <a:prstGeom prst="rect">
                      <a:avLst/>
                    </a:prstGeom>
                    <a:noFill/>
                  </pic:spPr>
                </pic:pic>
              </a:graphicData>
            </a:graphic>
          </wp:inline>
        </w:drawing>
      </w:r>
    </w:p>
    <w:p>
      <w:pPr>
        <w:pStyle w:val="Normal"/>
        <w:spacing w:before="40" w:after="80"/>
        <w:jc w:val="center"/>
        <w:rPr/>
      </w:pPr>
      <w:r>
        <w:rPr>
          <w:rFonts w:ascii="Arial" w:hAnsi="Arial"/>
          <w:b/>
          <w:color w:val="1B365D"/>
          <w:sz w:val="19"/>
        </w:rPr>
        <w:t xml:space="preserve">Figure 6: </w:t>
      </w:r>
      <w:r>
        <w:rPr>
          <w:rFonts w:ascii="Arial" w:hAnsi="Arial"/>
          <w:b/>
          <w:color w:val="333333"/>
          <w:sz w:val="19"/>
        </w:rPr>
        <w:t>Principal Component Analysis (PCA) 2D Projection of Customer Segments</w:t>
      </w:r>
    </w:p>
    <w:p>
      <w:pPr>
        <w:pStyle w:val="Normal"/>
        <w:spacing w:lineRule="auto" w:line="276" w:before="40" w:after="160"/>
        <w:rPr/>
      </w:pPr>
      <w:r>
        <w:rPr>
          <w:b/>
          <w:color w:val="2E86AB"/>
          <w:sz w:val="18"/>
        </w:rPr>
        <w:t xml:space="preserve">Methodological Description: </w:t>
      </w:r>
      <w:r>
        <w:rPr>
          <w:sz w:val="18"/>
        </w:rPr>
        <w:t xml:space="preserve">Scatter plot of 4,334 customer accounts projected onto PC1 (56.2% variance) and PC2 (23.4% variance), colored by cluster assignment. Solid 'X' markers denote projected cluster centroids. </w:t>
      </w:r>
      <w:r>
        <w:rPr>
          <w:b/>
          <w:color w:val="2E86AB"/>
          <w:sz w:val="18"/>
        </w:rPr>
        <w:t xml:space="preserve">Analytical Interpretation: </w:t>
      </w:r>
      <w:r>
        <w:rPr>
          <w:sz w:val="18"/>
        </w:rPr>
        <w:t>The four clusters form distinct, coherent territories in principal component space. Champions (green) dominate the right quadrant (high PC1 engagement), while Bulk Buyers (orange) occupy the upper quadrant (high PC2 order volume).</w:t>
      </w:r>
    </w:p>
    <w:p>
      <w:pPr>
        <w:pStyle w:val="Normal"/>
        <w:spacing w:before="200" w:after="80"/>
        <w:jc w:val="center"/>
        <w:rPr/>
      </w:pPr>
      <w:r>
        <w:rPr/>
        <w:drawing>
          <wp:inline distT="0" distB="0" distL="0" distR="0">
            <wp:extent cx="5486400" cy="4377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486400" cy="4377690"/>
                    </a:xfrm>
                    <a:prstGeom prst="rect">
                      <a:avLst/>
                    </a:prstGeom>
                    <a:noFill/>
                  </pic:spPr>
                </pic:pic>
              </a:graphicData>
            </a:graphic>
          </wp:inline>
        </w:drawing>
      </w:r>
    </w:p>
    <w:p>
      <w:pPr>
        <w:pStyle w:val="Normal"/>
        <w:spacing w:before="40" w:after="80"/>
        <w:jc w:val="center"/>
        <w:rPr/>
      </w:pPr>
      <w:r>
        <w:rPr>
          <w:rFonts w:ascii="Arial" w:hAnsi="Arial"/>
          <w:b/>
          <w:color w:val="1B365D"/>
          <w:sz w:val="19"/>
        </w:rPr>
        <w:t xml:space="preserve">Figure 7: </w:t>
      </w:r>
      <w:r>
        <w:rPr>
          <w:rFonts w:ascii="Arial" w:hAnsi="Arial"/>
          <w:b/>
          <w:color w:val="333333"/>
          <w:sz w:val="19"/>
        </w:rPr>
        <w:t>t-SNE Non-Linear Manifold Projection of Customer Clusters</w:t>
      </w:r>
    </w:p>
    <w:p>
      <w:pPr>
        <w:pStyle w:val="Normal"/>
        <w:spacing w:lineRule="auto" w:line="276" w:before="40" w:after="160"/>
        <w:rPr/>
      </w:pPr>
      <w:r>
        <w:rPr>
          <w:b/>
          <w:color w:val="2E86AB"/>
          <w:sz w:val="18"/>
        </w:rPr>
        <w:t xml:space="preserve">Methodological Description: </w:t>
      </w:r>
      <w:r>
        <w:rPr>
          <w:sz w:val="18"/>
        </w:rPr>
        <w:t xml:space="preserve">2D t-SNE manifold visualization (perplexity=35, iterations=1000) preserving local neighborhood topological affinities. </w:t>
      </w:r>
      <w:r>
        <w:rPr>
          <w:b/>
          <w:color w:val="2E86AB"/>
          <w:sz w:val="18"/>
        </w:rPr>
        <w:t xml:space="preserve">Analytical Interpretation: </w:t>
      </w:r>
      <w:r>
        <w:rPr>
          <w:sz w:val="18"/>
        </w:rPr>
        <w:t>Even without assuming linear relationships, t-SNE reveals clean clustering topology with dense, non-overlapping cluster islands, demonstrating that the behavioral segments reflect true latent manifold structures.</w:t>
      </w:r>
    </w:p>
    <w:p>
      <w:pPr>
        <w:pStyle w:val="Heading1"/>
        <w:rPr/>
      </w:pPr>
      <w:r>
        <w:rPr/>
        <w:t>13. Comprehensive Cluster Profiling</w:t>
      </w:r>
    </w:p>
    <w:p>
      <w:pPr>
        <w:pStyle w:val="Normal"/>
        <w:rPr/>
      </w:pPr>
      <w:r>
        <w:rPr/>
        <w:t>To translate geometric partitions into actionable business understanding, we calculated comprehensive parametric (mean) and non-parametric (median) statistics across all 7 behavioral features. Non-parametric medians are critical in retail analysis to prevent extreme outlier values from distorting typical customer behavior.</w:t>
      </w:r>
    </w:p>
    <w:tbl>
      <w:tblPr>
        <w:tblW w:w="9360" w:type="dxa"/>
        <w:jc w:val="center"/>
        <w:tblInd w:w="0" w:type="dxa"/>
        <w:tblLayout w:type="fixed"/>
        <w:tblCellMar>
          <w:top w:w="120" w:type="dxa"/>
          <w:start w:w="120" w:type="dxa"/>
          <w:bottom w:w="120" w:type="dxa"/>
          <w:end w:w="120" w:type="dxa"/>
        </w:tblCellMar>
        <w:tblLook w:noHBand="0" w:noVBand="1" w:firstColumn="1" w:lastRow="0" w:lastColumn="0" w:firstRow="1" w:val="04a0"/>
      </w:tblPr>
      <w:tblGrid>
        <w:gridCol w:w="1039"/>
        <w:gridCol w:w="1040"/>
        <w:gridCol w:w="1040"/>
        <w:gridCol w:w="1040"/>
        <w:gridCol w:w="1041"/>
        <w:gridCol w:w="1040"/>
        <w:gridCol w:w="1040"/>
        <w:gridCol w:w="1040"/>
        <w:gridCol w:w="1040"/>
      </w:tblGrid>
      <w:tr>
        <w:trPr/>
        <w:tc>
          <w:tcPr>
            <w:tcW w:w="1039" w:type="dxa"/>
            <w:tcBorders/>
            <w:shd w:fill="1B365D" w:val="clear"/>
          </w:tcPr>
          <w:p>
            <w:pPr>
              <w:pStyle w:val="Normal"/>
              <w:spacing w:before="0" w:after="200"/>
              <w:jc w:val="center"/>
              <w:rPr/>
            </w:pPr>
            <w:r>
              <w:rPr>
                <w:rFonts w:ascii="Arial" w:hAnsi="Arial"/>
                <w:b/>
                <w:color w:val="FFFFFF"/>
                <w:sz w:val="18"/>
              </w:rPr>
              <w:t>Segment Persona</w:t>
            </w:r>
          </w:p>
        </w:tc>
        <w:tc>
          <w:tcPr>
            <w:tcW w:w="1040" w:type="dxa"/>
            <w:tcBorders/>
            <w:shd w:fill="1B365D" w:val="clear"/>
          </w:tcPr>
          <w:p>
            <w:pPr>
              <w:pStyle w:val="Normal"/>
              <w:spacing w:before="0" w:after="200"/>
              <w:jc w:val="center"/>
              <w:rPr/>
            </w:pPr>
            <w:r>
              <w:rPr>
                <w:rFonts w:ascii="Arial" w:hAnsi="Arial"/>
                <w:b/>
                <w:color w:val="FFFFFF"/>
                <w:sz w:val="18"/>
              </w:rPr>
              <w:t>Customer Count (%)</w:t>
            </w:r>
          </w:p>
        </w:tc>
        <w:tc>
          <w:tcPr>
            <w:tcW w:w="1040" w:type="dxa"/>
            <w:tcBorders/>
            <w:shd w:fill="1B365D" w:val="clear"/>
          </w:tcPr>
          <w:p>
            <w:pPr>
              <w:pStyle w:val="Normal"/>
              <w:spacing w:before="0" w:after="200"/>
              <w:jc w:val="center"/>
              <w:rPr/>
            </w:pPr>
            <w:r>
              <w:rPr>
                <w:rFonts w:ascii="Arial" w:hAnsi="Arial"/>
                <w:b/>
                <w:color w:val="FFFFFF"/>
                <w:sz w:val="18"/>
              </w:rPr>
              <w:t>Revenue Share (%)</w:t>
            </w:r>
          </w:p>
        </w:tc>
        <w:tc>
          <w:tcPr>
            <w:tcW w:w="1040" w:type="dxa"/>
            <w:tcBorders/>
            <w:shd w:fill="1B365D" w:val="clear"/>
          </w:tcPr>
          <w:p>
            <w:pPr>
              <w:pStyle w:val="Normal"/>
              <w:spacing w:before="0" w:after="200"/>
              <w:jc w:val="center"/>
              <w:rPr/>
            </w:pPr>
            <w:r>
              <w:rPr>
                <w:rFonts w:ascii="Arial" w:hAnsi="Arial"/>
                <w:b/>
                <w:color w:val="FFFFFF"/>
                <w:sz w:val="18"/>
              </w:rPr>
              <w:t>Med Recency</w:t>
            </w:r>
          </w:p>
        </w:tc>
        <w:tc>
          <w:tcPr>
            <w:tcW w:w="1041" w:type="dxa"/>
            <w:tcBorders/>
            <w:shd w:fill="1B365D" w:val="clear"/>
          </w:tcPr>
          <w:p>
            <w:pPr>
              <w:pStyle w:val="Normal"/>
              <w:spacing w:before="0" w:after="200"/>
              <w:jc w:val="center"/>
              <w:rPr/>
            </w:pPr>
            <w:r>
              <w:rPr>
                <w:rFonts w:ascii="Arial" w:hAnsi="Arial"/>
                <w:b/>
                <w:color w:val="FFFFFF"/>
                <w:sz w:val="18"/>
              </w:rPr>
              <w:t>Med Freq</w:t>
            </w:r>
          </w:p>
        </w:tc>
        <w:tc>
          <w:tcPr>
            <w:tcW w:w="1040" w:type="dxa"/>
            <w:tcBorders/>
            <w:shd w:fill="1B365D" w:val="clear"/>
          </w:tcPr>
          <w:p>
            <w:pPr>
              <w:pStyle w:val="Normal"/>
              <w:spacing w:before="0" w:after="200"/>
              <w:jc w:val="center"/>
              <w:rPr/>
            </w:pPr>
            <w:r>
              <w:rPr>
                <w:rFonts w:ascii="Arial" w:hAnsi="Arial"/>
                <w:b/>
                <w:color w:val="FFFFFF"/>
                <w:sz w:val="18"/>
              </w:rPr>
              <w:t>Med Spend</w:t>
            </w:r>
          </w:p>
        </w:tc>
        <w:tc>
          <w:tcPr>
            <w:tcW w:w="1040" w:type="dxa"/>
            <w:tcBorders/>
            <w:shd w:fill="1B365D" w:val="clear"/>
          </w:tcPr>
          <w:p>
            <w:pPr>
              <w:pStyle w:val="Normal"/>
              <w:spacing w:before="0" w:after="200"/>
              <w:jc w:val="center"/>
              <w:rPr/>
            </w:pPr>
            <w:r>
              <w:rPr>
                <w:rFonts w:ascii="Arial" w:hAnsi="Arial"/>
                <w:b/>
                <w:color w:val="FFFFFF"/>
                <w:sz w:val="18"/>
              </w:rPr>
              <w:t>Med AOV</w:t>
            </w:r>
          </w:p>
        </w:tc>
        <w:tc>
          <w:tcPr>
            <w:tcW w:w="1040" w:type="dxa"/>
            <w:tcBorders/>
            <w:shd w:fill="1B365D" w:val="clear"/>
          </w:tcPr>
          <w:p>
            <w:pPr>
              <w:pStyle w:val="Normal"/>
              <w:spacing w:before="0" w:after="200"/>
              <w:jc w:val="center"/>
              <w:rPr/>
            </w:pPr>
            <w:r>
              <w:rPr>
                <w:rFonts w:ascii="Arial" w:hAnsi="Arial"/>
                <w:b/>
                <w:color w:val="FFFFFF"/>
                <w:sz w:val="18"/>
              </w:rPr>
              <w:t>Med Basket</w:t>
            </w:r>
          </w:p>
        </w:tc>
        <w:tc>
          <w:tcPr>
            <w:tcW w:w="1040" w:type="dxa"/>
            <w:tcBorders/>
            <w:shd w:fill="1B365D" w:val="clear"/>
          </w:tcPr>
          <w:p>
            <w:pPr>
              <w:pStyle w:val="Normal"/>
              <w:spacing w:before="0" w:after="200"/>
              <w:jc w:val="center"/>
              <w:rPr/>
            </w:pPr>
            <w:r>
              <w:rPr>
                <w:rFonts w:ascii="Arial" w:hAnsi="Arial"/>
                <w:b/>
                <w:color w:val="FFFFFF"/>
                <w:sz w:val="18"/>
              </w:rPr>
              <w:t>Med SKUs</w:t>
            </w:r>
          </w:p>
        </w:tc>
      </w:tr>
      <w:tr>
        <w:trPr/>
        <w:tc>
          <w:tcPr>
            <w:tcW w:w="1039" w:type="dxa"/>
            <w:tcBorders/>
            <w:shd w:fill="F4F6F9" w:val="clear"/>
            <w:tcMar>
              <w:top w:w="50" w:type="dxa"/>
              <w:start w:w="60" w:type="dxa"/>
              <w:bottom w:w="50" w:type="dxa"/>
              <w:end w:w="60" w:type="dxa"/>
            </w:tcMar>
          </w:tcPr>
          <w:p>
            <w:pPr>
              <w:pStyle w:val="Normal"/>
              <w:widowControl/>
              <w:bidi w:val="0"/>
              <w:spacing w:lineRule="auto" w:line="276" w:before="0" w:after="200"/>
              <w:jc w:val="start"/>
              <w:rPr/>
            </w:pPr>
            <w:r>
              <w:rPr>
                <w:b/>
              </w:rPr>
              <w:t>Cluster 0: Low-Value / Churned</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836 (19.29%)</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£138.9k (1.59%)</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165.5 d</w:t>
            </w:r>
          </w:p>
        </w:tc>
        <w:tc>
          <w:tcPr>
            <w:tcW w:w="1041" w:type="dxa"/>
            <w:tcBorders/>
            <w:tcMar>
              <w:top w:w="50" w:type="dxa"/>
              <w:start w:w="60" w:type="dxa"/>
              <w:bottom w:w="50" w:type="dxa"/>
              <w:end w:w="60" w:type="dxa"/>
            </w:tcMar>
          </w:tcPr>
          <w:p>
            <w:pPr>
              <w:pStyle w:val="Normal"/>
              <w:widowControl/>
              <w:bidi w:val="0"/>
              <w:spacing w:lineRule="auto" w:line="276" w:before="0" w:after="200"/>
              <w:jc w:val="start"/>
              <w:rPr/>
            </w:pPr>
            <w:r>
              <w:rPr/>
              <w:t>1.0</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£152.13</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£128.67</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65.0</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9.0</w:t>
            </w:r>
          </w:p>
        </w:tc>
      </w:tr>
      <w:tr>
        <w:trPr/>
        <w:tc>
          <w:tcPr>
            <w:tcW w:w="1039" w:type="dxa"/>
            <w:tcBorders/>
            <w:shd w:fill="F4F6F9" w:val="clear"/>
            <w:tcMar>
              <w:top w:w="50" w:type="dxa"/>
              <w:start w:w="60" w:type="dxa"/>
              <w:bottom w:w="50" w:type="dxa"/>
              <w:end w:w="60" w:type="dxa"/>
            </w:tcMar>
          </w:tcPr>
          <w:p>
            <w:pPr>
              <w:pStyle w:val="Normal"/>
              <w:widowControl/>
              <w:bidi w:val="0"/>
              <w:spacing w:lineRule="auto" w:line="276" w:before="0" w:after="200"/>
              <w:jc w:val="start"/>
              <w:rPr/>
            </w:pPr>
            <w:r>
              <w:rPr>
                <w:b/>
              </w:rPr>
              <w:t>Cluster 1: Champions / Power</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1,060 (24.46%)</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£6,644.4k (75.99%)</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14.0 d</w:t>
            </w:r>
          </w:p>
        </w:tc>
        <w:tc>
          <w:tcPr>
            <w:tcW w:w="1041" w:type="dxa"/>
            <w:tcBorders/>
            <w:tcMar>
              <w:top w:w="50" w:type="dxa"/>
              <w:start w:w="60" w:type="dxa"/>
              <w:bottom w:w="50" w:type="dxa"/>
              <w:end w:w="60" w:type="dxa"/>
            </w:tcMar>
          </w:tcPr>
          <w:p>
            <w:pPr>
              <w:pStyle w:val="Normal"/>
              <w:widowControl/>
              <w:bidi w:val="0"/>
              <w:spacing w:lineRule="auto" w:line="276" w:before="0" w:after="200"/>
              <w:jc w:val="start"/>
              <w:rPr/>
            </w:pPr>
            <w:r>
              <w:rPr/>
              <w:t>7.0</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£2,979.97</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£428.52</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259.9</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111.0</w:t>
            </w:r>
          </w:p>
        </w:tc>
      </w:tr>
      <w:tr>
        <w:trPr/>
        <w:tc>
          <w:tcPr>
            <w:tcW w:w="1039" w:type="dxa"/>
            <w:tcBorders/>
            <w:shd w:fill="F4F6F9" w:val="clear"/>
            <w:tcMar>
              <w:top w:w="50" w:type="dxa"/>
              <w:start w:w="60" w:type="dxa"/>
              <w:bottom w:w="50" w:type="dxa"/>
              <w:end w:w="60" w:type="dxa"/>
            </w:tcMar>
          </w:tcPr>
          <w:p>
            <w:pPr>
              <w:pStyle w:val="Normal"/>
              <w:widowControl/>
              <w:bidi w:val="0"/>
              <w:spacing w:lineRule="auto" w:line="276" w:before="0" w:after="200"/>
              <w:jc w:val="start"/>
              <w:rPr/>
            </w:pPr>
            <w:r>
              <w:rPr>
                <w:b/>
              </w:rPr>
              <w:t>Cluster 2: At-Risk Bulk Buyers</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951 (21.94%)</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£679.9k (7.78%)</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106.0 d</w:t>
            </w:r>
          </w:p>
        </w:tc>
        <w:tc>
          <w:tcPr>
            <w:tcW w:w="1041" w:type="dxa"/>
            <w:tcBorders/>
            <w:tcMar>
              <w:top w:w="50" w:type="dxa"/>
              <w:start w:w="60" w:type="dxa"/>
              <w:bottom w:w="50" w:type="dxa"/>
              <w:end w:w="60" w:type="dxa"/>
            </w:tcMar>
          </w:tcPr>
          <w:p>
            <w:pPr>
              <w:pStyle w:val="Normal"/>
              <w:widowControl/>
              <w:bidi w:val="0"/>
              <w:spacing w:lineRule="auto" w:line="276" w:before="0" w:after="200"/>
              <w:jc w:val="start"/>
              <w:rPr/>
            </w:pPr>
            <w:r>
              <w:rPr/>
              <w:t>1.0</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£391.98</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£375.00</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238.0</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23.0</w:t>
            </w:r>
          </w:p>
        </w:tc>
      </w:tr>
      <w:tr>
        <w:trPr/>
        <w:tc>
          <w:tcPr>
            <w:tcW w:w="1039" w:type="dxa"/>
            <w:tcBorders/>
            <w:shd w:fill="F4F6F9" w:val="clear"/>
            <w:tcMar>
              <w:top w:w="50" w:type="dxa"/>
              <w:start w:w="60" w:type="dxa"/>
              <w:bottom w:w="50" w:type="dxa"/>
              <w:end w:w="60" w:type="dxa"/>
            </w:tcMar>
          </w:tcPr>
          <w:p>
            <w:pPr>
              <w:pStyle w:val="Normal"/>
              <w:widowControl/>
              <w:bidi w:val="0"/>
              <w:spacing w:lineRule="auto" w:line="276" w:before="0" w:after="200"/>
              <w:jc w:val="start"/>
              <w:rPr/>
            </w:pPr>
            <w:r>
              <w:rPr>
                <w:b/>
              </w:rPr>
              <w:t>Cluster 3: Active Regulars</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1,487 (34.31%)</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£1,280.6k (14.65%)</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43.0 d</w:t>
            </w:r>
          </w:p>
        </w:tc>
        <w:tc>
          <w:tcPr>
            <w:tcW w:w="1041" w:type="dxa"/>
            <w:tcBorders/>
            <w:tcMar>
              <w:top w:w="50" w:type="dxa"/>
              <w:start w:w="60" w:type="dxa"/>
              <w:bottom w:w="50" w:type="dxa"/>
              <w:end w:w="60" w:type="dxa"/>
            </w:tcMar>
          </w:tcPr>
          <w:p>
            <w:pPr>
              <w:pStyle w:val="Normal"/>
              <w:widowControl/>
              <w:bidi w:val="0"/>
              <w:spacing w:lineRule="auto" w:line="276" w:before="0" w:after="200"/>
              <w:jc w:val="start"/>
              <w:rPr/>
            </w:pPr>
            <w:r>
              <w:rPr/>
              <w:t>3.0</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£752.44</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£241.55</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135.7</w:t>
            </w:r>
          </w:p>
        </w:tc>
        <w:tc>
          <w:tcPr>
            <w:tcW w:w="1040" w:type="dxa"/>
            <w:tcBorders/>
            <w:tcMar>
              <w:top w:w="50" w:type="dxa"/>
              <w:start w:w="60" w:type="dxa"/>
              <w:bottom w:w="50" w:type="dxa"/>
              <w:end w:w="60" w:type="dxa"/>
            </w:tcMar>
          </w:tcPr>
          <w:p>
            <w:pPr>
              <w:pStyle w:val="Normal"/>
              <w:widowControl/>
              <w:bidi w:val="0"/>
              <w:spacing w:lineRule="auto" w:line="276" w:before="0" w:after="200"/>
              <w:jc w:val="start"/>
              <w:rPr/>
            </w:pPr>
            <w:r>
              <w:rPr/>
              <w:t>41.0</w:t>
            </w:r>
          </w:p>
        </w:tc>
      </w:tr>
    </w:tbl>
    <w:p>
      <w:pPr>
        <w:pStyle w:val="Normal"/>
        <w:rPr/>
      </w:pPr>
      <w:r>
        <w:rPr/>
      </w:r>
    </w:p>
    <w:p>
      <w:pPr>
        <w:pStyle w:val="Normal"/>
        <w:spacing w:before="200" w:after="80"/>
        <w:jc w:val="center"/>
        <w:rPr/>
      </w:pPr>
      <w:r>
        <w:rPr/>
        <w:drawing>
          <wp:inline distT="0" distB="0" distL="0" distR="0">
            <wp:extent cx="5486400" cy="4418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486400" cy="4418330"/>
                    </a:xfrm>
                    <a:prstGeom prst="rect">
                      <a:avLst/>
                    </a:prstGeom>
                    <a:noFill/>
                  </pic:spPr>
                </pic:pic>
              </a:graphicData>
            </a:graphic>
          </wp:inline>
        </w:drawing>
      </w:r>
    </w:p>
    <w:p>
      <w:pPr>
        <w:pStyle w:val="Normal"/>
        <w:spacing w:before="40" w:after="80"/>
        <w:jc w:val="center"/>
        <w:rPr/>
      </w:pPr>
      <w:r>
        <w:rPr>
          <w:rFonts w:ascii="Arial" w:hAnsi="Arial"/>
          <w:b/>
          <w:color w:val="1B365D"/>
          <w:sz w:val="19"/>
        </w:rPr>
        <w:t xml:space="preserve">Figure 8: </w:t>
      </w:r>
      <w:r>
        <w:rPr>
          <w:rFonts w:ascii="Arial" w:hAnsi="Arial"/>
          <w:b/>
          <w:color w:val="333333"/>
          <w:sz w:val="19"/>
        </w:rPr>
        <w:t>Customer Segment Behavioral Profiles (Standardized Centroid Radar)</w:t>
      </w:r>
    </w:p>
    <w:p>
      <w:pPr>
        <w:pStyle w:val="Normal"/>
        <w:spacing w:lineRule="auto" w:line="276" w:before="40" w:after="160"/>
        <w:rPr/>
      </w:pPr>
      <w:r>
        <w:rPr>
          <w:b/>
          <w:color w:val="2E86AB"/>
          <w:sz w:val="18"/>
        </w:rPr>
        <w:t xml:space="preserve">Methodological Description: </w:t>
      </w:r>
      <w:r>
        <w:rPr>
          <w:sz w:val="18"/>
        </w:rPr>
        <w:t xml:space="preserve">Radar / spider diagram comparing standardized z-score centroids for each cluster across all 7 core behavioral features. </w:t>
      </w:r>
      <w:r>
        <w:rPr>
          <w:b/>
          <w:color w:val="2E86AB"/>
          <w:sz w:val="18"/>
        </w:rPr>
        <w:t xml:space="preserve">Analytical Interpretation: </w:t>
      </w:r>
      <w:r>
        <w:rPr>
          <w:sz w:val="18"/>
        </w:rPr>
        <w:t>The radar chart clearly illustrates the multi-dimensional contrast: Cluster 1 (green) dominates on Monetary, Frequency, Tenure, and SKUs; Cluster 2 (orange) peaks exclusively on Basket Size and AOV; Cluster 3 (yellow) forms a balanced core; and Cluster 0 (blue) registers negative z-scores across all engagement axes.</w:t>
      </w:r>
    </w:p>
    <w:p>
      <w:pPr>
        <w:pStyle w:val="Normal"/>
        <w:spacing w:before="200" w:after="80"/>
        <w:jc w:val="center"/>
        <w:rPr/>
      </w:pPr>
      <w:r>
        <w:rPr/>
        <w:drawing>
          <wp:inline distT="0" distB="0" distL="0" distR="0">
            <wp:extent cx="5486400" cy="4171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486400" cy="4171950"/>
                    </a:xfrm>
                    <a:prstGeom prst="rect">
                      <a:avLst/>
                    </a:prstGeom>
                    <a:noFill/>
                  </pic:spPr>
                </pic:pic>
              </a:graphicData>
            </a:graphic>
          </wp:inline>
        </w:drawing>
      </w:r>
    </w:p>
    <w:p>
      <w:pPr>
        <w:pStyle w:val="Normal"/>
        <w:spacing w:before="40" w:after="80"/>
        <w:jc w:val="center"/>
        <w:rPr/>
      </w:pPr>
      <w:r>
        <w:rPr>
          <w:rFonts w:ascii="Arial" w:hAnsi="Arial"/>
          <w:b/>
          <w:color w:val="1B365D"/>
          <w:sz w:val="19"/>
        </w:rPr>
        <w:t xml:space="preserve">Figure 9: </w:t>
      </w:r>
      <w:r>
        <w:rPr>
          <w:rFonts w:ascii="Arial" w:hAnsi="Arial"/>
          <w:b/>
          <w:color w:val="333333"/>
          <w:sz w:val="19"/>
        </w:rPr>
        <w:t>Key Metric Distribution Boxplots Across Customer Segments</w:t>
      </w:r>
    </w:p>
    <w:p>
      <w:pPr>
        <w:pStyle w:val="Normal"/>
        <w:spacing w:lineRule="auto" w:line="276" w:before="40" w:after="160"/>
        <w:rPr/>
      </w:pPr>
      <w:r>
        <w:rPr>
          <w:b/>
          <w:color w:val="2E86AB"/>
          <w:sz w:val="18"/>
        </w:rPr>
        <w:t xml:space="preserve">Methodological Description: </w:t>
      </w:r>
      <w:r>
        <w:rPr>
          <w:sz w:val="18"/>
        </w:rPr>
        <w:t xml:space="preserve">Four-panel boxplots illustrating distributions of Recency, Frequency, Monetary spend, and Average Basket Size across the four customer personas (outliers omitted for visual clarity). </w:t>
      </w:r>
      <w:r>
        <w:rPr>
          <w:b/>
          <w:color w:val="2E86AB"/>
          <w:sz w:val="18"/>
        </w:rPr>
        <w:t xml:space="preserve">Analytical Interpretation: </w:t>
      </w:r>
      <w:r>
        <w:rPr>
          <w:sz w:val="18"/>
        </w:rPr>
        <w:t>Boxplots reveal that Champions (green) exhibit tightly bounded, exceptionally low recency (interquartile range 6 to 32 days) and massive spend, while At-Risk Bulk Buyers (orange) exhibit high basket sizes comparable to Champions despite placing only a single order.</w:t>
      </w:r>
    </w:p>
    <w:p>
      <w:pPr>
        <w:pStyle w:val="Normal"/>
        <w:spacing w:before="200" w:after="80"/>
        <w:jc w:val="center"/>
        <w:rPr/>
      </w:pPr>
      <w:r>
        <w:rPr/>
        <w:drawing>
          <wp:inline distT="0" distB="0" distL="0" distR="0">
            <wp:extent cx="5486400" cy="32696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486400" cy="3269615"/>
                    </a:xfrm>
                    <a:prstGeom prst="rect">
                      <a:avLst/>
                    </a:prstGeom>
                    <a:noFill/>
                  </pic:spPr>
                </pic:pic>
              </a:graphicData>
            </a:graphic>
          </wp:inline>
        </w:drawing>
      </w:r>
    </w:p>
    <w:p>
      <w:pPr>
        <w:pStyle w:val="Normal"/>
        <w:spacing w:before="40" w:after="80"/>
        <w:jc w:val="center"/>
        <w:rPr/>
      </w:pPr>
      <w:r>
        <w:rPr>
          <w:rFonts w:ascii="Arial" w:hAnsi="Arial"/>
          <w:b/>
          <w:color w:val="1B365D"/>
          <w:sz w:val="19"/>
        </w:rPr>
        <w:t xml:space="preserve">Figure 10: </w:t>
      </w:r>
      <w:r>
        <w:rPr>
          <w:rFonts w:ascii="Arial" w:hAnsi="Arial"/>
          <w:b/>
          <w:color w:val="333333"/>
          <w:sz w:val="19"/>
        </w:rPr>
        <w:t>Economic Disparity: Customer Population Share vs. Total Revenue Contribution</w:t>
      </w:r>
    </w:p>
    <w:p>
      <w:pPr>
        <w:pStyle w:val="Normal"/>
        <w:spacing w:lineRule="auto" w:line="276" w:before="40" w:after="160"/>
        <w:rPr/>
      </w:pPr>
      <w:r>
        <w:rPr>
          <w:b/>
          <w:color w:val="2E86AB"/>
          <w:sz w:val="18"/>
        </w:rPr>
        <w:t xml:space="preserve">Methodological Description: </w:t>
      </w:r>
      <w:r>
        <w:rPr>
          <w:sz w:val="18"/>
        </w:rPr>
        <w:t xml:space="preserve">Dual-bar chart contrasting each cluster's percentage of total customer accounts against its percentage contribution to total company turnover (£8.74 million). </w:t>
      </w:r>
      <w:r>
        <w:rPr>
          <w:b/>
          <w:color w:val="2E86AB"/>
          <w:sz w:val="18"/>
        </w:rPr>
        <w:t xml:space="preserve">Analytical Interpretation: </w:t>
      </w:r>
      <w:r>
        <w:rPr>
          <w:sz w:val="18"/>
        </w:rPr>
        <w:t>This chart provides dramatic visual proof of the 80/20 rule: 24.5% of accounts generate 76.0% of all company sales (£6.64M). Losing even 5% of Cluster 1 would inflict catastrophic financial damage, whereas churn in Cluster 0 has negligible economic impact.</w:t>
      </w:r>
    </w:p>
    <w:p>
      <w:pPr>
        <w:pStyle w:val="Heading1"/>
        <w:rPr/>
      </w:pPr>
      <w:r>
        <w:rPr/>
        <w:t>14. Detailed Cluster Interpretation &amp; Persona Archetypes</w:t>
      </w:r>
    </w:p>
    <w:p>
      <w:pPr>
        <w:pStyle w:val="Normal"/>
        <w:rPr/>
      </w:pPr>
      <w:r>
        <w:rPr/>
        <w:t>1. Cluster 1 — 'Champions / High-Value Power Retailers' (n = 1,060 | 24.46% of accounts | 75.99% of revenue):</w:t>
        <w:br/>
        <w:t>• Characteristics: Median Recency 14 days; Median Frequency 7 orders; Median Spend £2,979.97; Median Basket Size 260 items; Median SKUs 111 products; Median Tenure 293 days.</w:t>
        <w:br/>
        <w:t>• Archetype: High-volume independent gift boutiques, tourist shops, and regional retailers who use this online store as their primary wholesale supplier. They maintain active year-round reordering cadences, explore deep catalog offerings, and generate the vast majority of company cash flow.</w:t>
        <w:br/>
        <w:br/>
        <w:t>2. Cluster 3 — 'Active Regulars / Growth Core' (n = 1,487 | 34.31% of accounts | 14.65% of revenue):</w:t>
        <w:br/>
        <w:t>• Characteristics: Median Recency 43 days; Median Frequency 3 orders; Median Spend £752.44; Median Basket Size 136 items; Median SKUs 41 products; Median Tenure 177 days.</w:t>
        <w:br/>
        <w:t>• Archetype: Healthy recurring retail buyers and small specialty vendors. They order consistently throughout the year, demonstrate low churn risk, and represent the primary feeder pool for future Champions.</w:t>
        <w:br/>
        <w:br/>
        <w:t>3. Cluster 2 — 'At-Risk Bulk Buyers' (n = 951 | 21.94% of accounts | 7.78% of revenue):</w:t>
        <w:br/>
        <w:t>• Characteristics: Median Recency 106 days; Median Frequency 1.0 order; Median Spend £391.98; Median Basket Size 238 items; Median SKUs 23 products; Median Tenure 0 days.</w:t>
        <w:br/>
        <w:t>• Archetype: One-time corporate event planners, seasonal holiday gift coordinators, or experimental commercial buyers who made a single large order several months ago but never returned. Their high basket volume indicates high commercial potential if reactivated.</w:t>
        <w:br/>
        <w:br/>
        <w:t>4. Cluster 0 — 'Low-Value / Churned Buyers' (n = 836 | 19.29% of accounts | 1.59% of revenue):</w:t>
        <w:br/>
        <w:t>• Characteristics: Median Recency 165.5 days; Median Frequency 1.0 order; Median Spend £152.13; Median Basket Size 65 items; Median SKUs 9 products; Median Tenure 0 days.</w:t>
        <w:br/>
        <w:t>• Archetype: One-off individual retail shoppers who made a small clearance or single-gift purchase nearly six months ago and have lapsed completely. They generate negligible revenue (£138.9k total) and have lowest product variety.</w:t>
      </w:r>
    </w:p>
    <w:p>
      <w:pPr>
        <w:pStyle w:val="Heading1"/>
        <w:rPr/>
      </w:pPr>
      <w:r>
        <w:rPr/>
        <w:t>15. Business, Commercial &amp; Strategic Implications</w:t>
      </w:r>
    </w:p>
    <w:p>
      <w:pPr>
        <w:pStyle w:val="Normal"/>
        <w:rPr/>
      </w:pPr>
      <w:r>
        <w:rPr/>
        <w:t>Unsupervised segmentation is only valuable if it drives differentiated commercial execution. Table 7 details the specific operational, marketing, and CRM interventions recommended for each discovered customer segment.</w:t>
      </w:r>
    </w:p>
    <w:tbl>
      <w:tblPr>
        <w:tblW w:w="9360" w:type="dxa"/>
        <w:jc w:val="center"/>
        <w:tblInd w:w="0" w:type="dxa"/>
        <w:tblLayout w:type="fixed"/>
        <w:tblCellMar>
          <w:top w:w="120" w:type="dxa"/>
          <w:start w:w="120" w:type="dxa"/>
          <w:bottom w:w="120" w:type="dxa"/>
          <w:end w:w="120" w:type="dxa"/>
        </w:tblCellMar>
        <w:tblLook w:noHBand="0" w:noVBand="1" w:firstColumn="1" w:lastRow="0" w:lastColumn="0" w:firstRow="1" w:val="04a0"/>
      </w:tblPr>
      <w:tblGrid>
        <w:gridCol w:w="2340"/>
        <w:gridCol w:w="2340"/>
        <w:gridCol w:w="2340"/>
        <w:gridCol w:w="2340"/>
      </w:tblGrid>
      <w:tr>
        <w:trPr/>
        <w:tc>
          <w:tcPr>
            <w:tcW w:w="2340" w:type="dxa"/>
            <w:tcBorders/>
            <w:shd w:fill="1B365D" w:val="clear"/>
          </w:tcPr>
          <w:p>
            <w:pPr>
              <w:pStyle w:val="Normal"/>
              <w:spacing w:before="0" w:after="200"/>
              <w:jc w:val="center"/>
              <w:rPr/>
            </w:pPr>
            <w:r>
              <w:rPr>
                <w:rFonts w:ascii="Arial" w:hAnsi="Arial"/>
                <w:b/>
                <w:color w:val="FFFFFF"/>
                <w:sz w:val="18"/>
              </w:rPr>
              <w:t>Segment Persona</w:t>
            </w:r>
          </w:p>
        </w:tc>
        <w:tc>
          <w:tcPr>
            <w:tcW w:w="2340" w:type="dxa"/>
            <w:tcBorders/>
            <w:shd w:fill="1B365D" w:val="clear"/>
          </w:tcPr>
          <w:p>
            <w:pPr>
              <w:pStyle w:val="Normal"/>
              <w:spacing w:before="0" w:after="200"/>
              <w:jc w:val="center"/>
              <w:rPr/>
            </w:pPr>
            <w:r>
              <w:rPr>
                <w:rFonts w:ascii="Arial" w:hAnsi="Arial"/>
                <w:b/>
                <w:color w:val="FFFFFF"/>
                <w:sz w:val="18"/>
              </w:rPr>
              <w:t>Primary Objective</w:t>
            </w:r>
          </w:p>
        </w:tc>
        <w:tc>
          <w:tcPr>
            <w:tcW w:w="2340" w:type="dxa"/>
            <w:tcBorders/>
            <w:shd w:fill="1B365D" w:val="clear"/>
          </w:tcPr>
          <w:p>
            <w:pPr>
              <w:pStyle w:val="Normal"/>
              <w:spacing w:before="0" w:after="200"/>
              <w:jc w:val="center"/>
              <w:rPr/>
            </w:pPr>
            <w:r>
              <w:rPr>
                <w:rFonts w:ascii="Arial" w:hAnsi="Arial"/>
                <w:b/>
                <w:color w:val="FFFFFF"/>
                <w:sz w:val="18"/>
              </w:rPr>
              <w:t>Tactical Marketing &amp; Operational Program</w:t>
            </w:r>
          </w:p>
        </w:tc>
        <w:tc>
          <w:tcPr>
            <w:tcW w:w="2340" w:type="dxa"/>
            <w:tcBorders/>
            <w:shd w:fill="1B365D" w:val="clear"/>
          </w:tcPr>
          <w:p>
            <w:pPr>
              <w:pStyle w:val="Normal"/>
              <w:spacing w:before="0" w:after="200"/>
              <w:jc w:val="center"/>
              <w:rPr/>
            </w:pPr>
            <w:r>
              <w:rPr>
                <w:rFonts w:ascii="Arial" w:hAnsi="Arial"/>
                <w:b/>
                <w:color w:val="FFFFFF"/>
                <w:sz w:val="18"/>
              </w:rPr>
              <w:t>Churn Prevention &amp; Risk Control</w:t>
            </w:r>
          </w:p>
        </w:tc>
      </w:tr>
      <w:tr>
        <w:trPr/>
        <w:tc>
          <w:tcPr>
            <w:tcW w:w="2340" w:type="dxa"/>
            <w:tcBorders/>
            <w:shd w:fill="F4F6F9" w:val="clear"/>
            <w:tcMar>
              <w:top w:w="50" w:type="dxa"/>
              <w:start w:w="70" w:type="dxa"/>
              <w:bottom w:w="50" w:type="dxa"/>
              <w:end w:w="70" w:type="dxa"/>
            </w:tcMar>
          </w:tcPr>
          <w:p>
            <w:pPr>
              <w:pStyle w:val="Normal"/>
              <w:widowControl/>
              <w:bidi w:val="0"/>
              <w:spacing w:lineRule="auto" w:line="276" w:before="0" w:after="200"/>
              <w:jc w:val="start"/>
              <w:rPr/>
            </w:pPr>
            <w:r>
              <w:rPr>
                <w:b/>
              </w:rPr>
              <w:t>Champions / Power Retailers (Cluster 1)</w:t>
            </w:r>
          </w:p>
        </w:tc>
        <w:tc>
          <w:tcPr>
            <w:tcW w:w="2340" w:type="dxa"/>
            <w:tcBorders/>
            <w:tcMar>
              <w:top w:w="50" w:type="dxa"/>
              <w:start w:w="70" w:type="dxa"/>
              <w:bottom w:w="50" w:type="dxa"/>
              <w:end w:w="70" w:type="dxa"/>
            </w:tcMar>
          </w:tcPr>
          <w:p>
            <w:pPr>
              <w:pStyle w:val="Normal"/>
              <w:widowControl/>
              <w:bidi w:val="0"/>
              <w:spacing w:lineRule="auto" w:line="276" w:before="0" w:after="200"/>
              <w:jc w:val="start"/>
              <w:rPr/>
            </w:pPr>
            <w:r>
              <w:rPr/>
              <w:t>VIP Retention &amp; Account Management</w:t>
            </w:r>
          </w:p>
        </w:tc>
        <w:tc>
          <w:tcPr>
            <w:tcW w:w="2340" w:type="dxa"/>
            <w:tcBorders/>
            <w:tcMar>
              <w:top w:w="50" w:type="dxa"/>
              <w:start w:w="70" w:type="dxa"/>
              <w:bottom w:w="50" w:type="dxa"/>
              <w:end w:w="70" w:type="dxa"/>
            </w:tcMar>
          </w:tcPr>
          <w:p>
            <w:pPr>
              <w:pStyle w:val="Normal"/>
              <w:widowControl/>
              <w:bidi w:val="0"/>
              <w:spacing w:lineRule="auto" w:line="276" w:before="0" w:after="200"/>
              <w:jc w:val="start"/>
              <w:rPr/>
            </w:pPr>
            <w:r>
              <w:rPr/>
              <w:t>Dedicated B2B account managers, tiered volume discounts, wholesale pre-order access, priority warehousing fulfillment.</w:t>
            </w:r>
          </w:p>
        </w:tc>
        <w:tc>
          <w:tcPr>
            <w:tcW w:w="2340" w:type="dxa"/>
            <w:tcBorders/>
            <w:tcMar>
              <w:top w:w="50" w:type="dxa"/>
              <w:start w:w="70" w:type="dxa"/>
              <w:bottom w:w="50" w:type="dxa"/>
              <w:end w:w="70" w:type="dxa"/>
            </w:tcMar>
          </w:tcPr>
          <w:p>
            <w:pPr>
              <w:pStyle w:val="Normal"/>
              <w:widowControl/>
              <w:bidi w:val="0"/>
              <w:spacing w:lineRule="auto" w:line="276" w:before="0" w:after="200"/>
              <w:jc w:val="start"/>
              <w:rPr/>
            </w:pPr>
            <w:r>
              <w:rPr/>
              <w:t>Automated churn-risk alert triggered if inactive for &gt;45 days; proactive executive outreach.</w:t>
            </w:r>
          </w:p>
        </w:tc>
      </w:tr>
      <w:tr>
        <w:trPr/>
        <w:tc>
          <w:tcPr>
            <w:tcW w:w="2340" w:type="dxa"/>
            <w:tcBorders/>
            <w:shd w:fill="F4F6F9" w:val="clear"/>
            <w:tcMar>
              <w:top w:w="50" w:type="dxa"/>
              <w:start w:w="70" w:type="dxa"/>
              <w:bottom w:w="50" w:type="dxa"/>
              <w:end w:w="70" w:type="dxa"/>
            </w:tcMar>
          </w:tcPr>
          <w:p>
            <w:pPr>
              <w:pStyle w:val="Normal"/>
              <w:widowControl/>
              <w:bidi w:val="0"/>
              <w:spacing w:lineRule="auto" w:line="276" w:before="0" w:after="200"/>
              <w:jc w:val="start"/>
              <w:rPr/>
            </w:pPr>
            <w:r>
              <w:rPr>
                <w:b/>
              </w:rPr>
              <w:t>Active Regulars (Cluster 3)</w:t>
            </w:r>
          </w:p>
        </w:tc>
        <w:tc>
          <w:tcPr>
            <w:tcW w:w="2340" w:type="dxa"/>
            <w:tcBorders/>
            <w:tcMar>
              <w:top w:w="50" w:type="dxa"/>
              <w:start w:w="70" w:type="dxa"/>
              <w:bottom w:w="50" w:type="dxa"/>
              <w:end w:w="70" w:type="dxa"/>
            </w:tcMar>
          </w:tcPr>
          <w:p>
            <w:pPr>
              <w:pStyle w:val="Normal"/>
              <w:widowControl/>
              <w:bidi w:val="0"/>
              <w:spacing w:lineRule="auto" w:line="276" w:before="0" w:after="200"/>
              <w:jc w:val="start"/>
              <w:rPr/>
            </w:pPr>
            <w:r>
              <w:rPr/>
              <w:t>Basket Expansion &amp; Frequency Uplift</w:t>
            </w:r>
          </w:p>
        </w:tc>
        <w:tc>
          <w:tcPr>
            <w:tcW w:w="2340" w:type="dxa"/>
            <w:tcBorders/>
            <w:tcMar>
              <w:top w:w="50" w:type="dxa"/>
              <w:start w:w="70" w:type="dxa"/>
              <w:bottom w:w="50" w:type="dxa"/>
              <w:end w:w="70" w:type="dxa"/>
            </w:tcMar>
          </w:tcPr>
          <w:p>
            <w:pPr>
              <w:pStyle w:val="Normal"/>
              <w:widowControl/>
              <w:bidi w:val="0"/>
              <w:spacing w:lineRule="auto" w:line="276" w:before="0" w:after="200"/>
              <w:jc w:val="start"/>
              <w:rPr/>
            </w:pPr>
            <w:r>
              <w:rPr/>
              <w:t>Personalized cross-selling recommendations based on purchased SKUs; free shipping thresholds at £250; loyalty milestone perks.</w:t>
            </w:r>
          </w:p>
        </w:tc>
        <w:tc>
          <w:tcPr>
            <w:tcW w:w="2340" w:type="dxa"/>
            <w:tcBorders/>
            <w:tcMar>
              <w:top w:w="50" w:type="dxa"/>
              <w:start w:w="70" w:type="dxa"/>
              <w:bottom w:w="50" w:type="dxa"/>
              <w:end w:w="70" w:type="dxa"/>
            </w:tcMar>
          </w:tcPr>
          <w:p>
            <w:pPr>
              <w:pStyle w:val="Normal"/>
              <w:widowControl/>
              <w:bidi w:val="0"/>
              <w:spacing w:lineRule="auto" w:line="276" w:before="0" w:after="200"/>
              <w:jc w:val="start"/>
              <w:rPr/>
            </w:pPr>
            <w:r>
              <w:rPr/>
              <w:t>Automated replenishment reminders at 35-day mark based on historical cadence.</w:t>
            </w:r>
          </w:p>
        </w:tc>
      </w:tr>
      <w:tr>
        <w:trPr/>
        <w:tc>
          <w:tcPr>
            <w:tcW w:w="2340" w:type="dxa"/>
            <w:tcBorders/>
            <w:shd w:fill="F4F6F9" w:val="clear"/>
            <w:tcMar>
              <w:top w:w="50" w:type="dxa"/>
              <w:start w:w="70" w:type="dxa"/>
              <w:bottom w:w="50" w:type="dxa"/>
              <w:end w:w="70" w:type="dxa"/>
            </w:tcMar>
          </w:tcPr>
          <w:p>
            <w:pPr>
              <w:pStyle w:val="Normal"/>
              <w:widowControl/>
              <w:bidi w:val="0"/>
              <w:spacing w:lineRule="auto" w:line="276" w:before="0" w:after="200"/>
              <w:jc w:val="start"/>
              <w:rPr/>
            </w:pPr>
            <w:r>
              <w:rPr>
                <w:b/>
              </w:rPr>
              <w:t>At-Risk Bulk Buyers (Cluster 2)</w:t>
            </w:r>
          </w:p>
        </w:tc>
        <w:tc>
          <w:tcPr>
            <w:tcW w:w="2340" w:type="dxa"/>
            <w:tcBorders/>
            <w:tcMar>
              <w:top w:w="50" w:type="dxa"/>
              <w:start w:w="70" w:type="dxa"/>
              <w:bottom w:w="50" w:type="dxa"/>
              <w:end w:w="70" w:type="dxa"/>
            </w:tcMar>
          </w:tcPr>
          <w:p>
            <w:pPr>
              <w:pStyle w:val="Normal"/>
              <w:widowControl/>
              <w:bidi w:val="0"/>
              <w:spacing w:lineRule="auto" w:line="276" w:before="0" w:after="200"/>
              <w:jc w:val="start"/>
              <w:rPr/>
            </w:pPr>
            <w:r>
              <w:rPr/>
              <w:t>Seasonal Reactivation &amp; Inquiry</w:t>
            </w:r>
          </w:p>
        </w:tc>
        <w:tc>
          <w:tcPr>
            <w:tcW w:w="2340" w:type="dxa"/>
            <w:tcBorders/>
            <w:tcMar>
              <w:top w:w="50" w:type="dxa"/>
              <w:start w:w="70" w:type="dxa"/>
              <w:bottom w:w="50" w:type="dxa"/>
              <w:end w:w="70" w:type="dxa"/>
            </w:tcMar>
          </w:tcPr>
          <w:p>
            <w:pPr>
              <w:pStyle w:val="Normal"/>
              <w:widowControl/>
              <w:bidi w:val="0"/>
              <w:spacing w:lineRule="auto" w:line="276" w:before="0" w:after="200"/>
              <w:jc w:val="start"/>
              <w:rPr/>
            </w:pPr>
            <w:r>
              <w:rPr/>
              <w:t>High-touch win-back campaign with seasonal catalog preview; volume incentives for recurring scheduled reorders.</w:t>
            </w:r>
          </w:p>
        </w:tc>
        <w:tc>
          <w:tcPr>
            <w:tcW w:w="2340" w:type="dxa"/>
            <w:tcBorders/>
            <w:tcMar>
              <w:top w:w="50" w:type="dxa"/>
              <w:start w:w="70" w:type="dxa"/>
              <w:bottom w:w="50" w:type="dxa"/>
              <w:end w:w="70" w:type="dxa"/>
            </w:tcMar>
          </w:tcPr>
          <w:p>
            <w:pPr>
              <w:pStyle w:val="Normal"/>
              <w:widowControl/>
              <w:bidi w:val="0"/>
              <w:spacing w:lineRule="auto" w:line="276" w:before="0" w:after="200"/>
              <w:jc w:val="start"/>
              <w:rPr/>
            </w:pPr>
            <w:r>
              <w:rPr/>
              <w:t>Direct phone/email survey inquiring about previous bulk order satisfaction and custom quoting.</w:t>
            </w:r>
          </w:p>
        </w:tc>
      </w:tr>
      <w:tr>
        <w:trPr/>
        <w:tc>
          <w:tcPr>
            <w:tcW w:w="2340" w:type="dxa"/>
            <w:tcBorders/>
            <w:shd w:fill="F4F6F9" w:val="clear"/>
            <w:tcMar>
              <w:top w:w="50" w:type="dxa"/>
              <w:start w:w="70" w:type="dxa"/>
              <w:bottom w:w="50" w:type="dxa"/>
              <w:end w:w="70" w:type="dxa"/>
            </w:tcMar>
          </w:tcPr>
          <w:p>
            <w:pPr>
              <w:pStyle w:val="Normal"/>
              <w:widowControl/>
              <w:bidi w:val="0"/>
              <w:spacing w:lineRule="auto" w:line="276" w:before="0" w:after="200"/>
              <w:jc w:val="start"/>
              <w:rPr/>
            </w:pPr>
            <w:r>
              <w:rPr>
                <w:b/>
              </w:rPr>
              <w:t>Low-Value / Churned (Cluster 0)</w:t>
            </w:r>
          </w:p>
        </w:tc>
        <w:tc>
          <w:tcPr>
            <w:tcW w:w="2340" w:type="dxa"/>
            <w:tcBorders/>
            <w:tcMar>
              <w:top w:w="50" w:type="dxa"/>
              <w:start w:w="70" w:type="dxa"/>
              <w:bottom w:w="50" w:type="dxa"/>
              <w:end w:w="70" w:type="dxa"/>
            </w:tcMar>
          </w:tcPr>
          <w:p>
            <w:pPr>
              <w:pStyle w:val="Normal"/>
              <w:widowControl/>
              <w:bidi w:val="0"/>
              <w:spacing w:lineRule="auto" w:line="276" w:before="0" w:after="200"/>
              <w:jc w:val="start"/>
              <w:rPr/>
            </w:pPr>
            <w:r>
              <w:rPr/>
              <w:t>Low-Cost Automated Clearance</w:t>
            </w:r>
          </w:p>
        </w:tc>
        <w:tc>
          <w:tcPr>
            <w:tcW w:w="2340" w:type="dxa"/>
            <w:tcBorders/>
            <w:tcMar>
              <w:top w:w="50" w:type="dxa"/>
              <w:start w:w="70" w:type="dxa"/>
              <w:bottom w:w="50" w:type="dxa"/>
              <w:end w:w="70" w:type="dxa"/>
            </w:tcMar>
          </w:tcPr>
          <w:p>
            <w:pPr>
              <w:pStyle w:val="Normal"/>
              <w:widowControl/>
              <w:bidi w:val="0"/>
              <w:spacing w:lineRule="auto" w:line="276" w:before="0" w:after="200"/>
              <w:jc w:val="start"/>
              <w:rPr/>
            </w:pPr>
            <w:r>
              <w:rPr/>
              <w:t>Low-cost programmatic email clearance blasts; steep promotional discount coupons (e.g. 20% off over £50).</w:t>
            </w:r>
          </w:p>
        </w:tc>
        <w:tc>
          <w:tcPr>
            <w:tcW w:w="2340" w:type="dxa"/>
            <w:tcBorders/>
            <w:tcMar>
              <w:top w:w="50" w:type="dxa"/>
              <w:start w:w="70" w:type="dxa"/>
              <w:bottom w:w="50" w:type="dxa"/>
              <w:end w:w="70" w:type="dxa"/>
            </w:tcMar>
          </w:tcPr>
          <w:p>
            <w:pPr>
              <w:pStyle w:val="Normal"/>
              <w:widowControl/>
              <w:bidi w:val="0"/>
              <w:spacing w:lineRule="auto" w:line="276" w:before="0" w:after="200"/>
              <w:jc w:val="start"/>
              <w:rPr/>
            </w:pPr>
            <w:r>
              <w:rPr/>
              <w:t>Cease high-cost direct mail or paid retargeting ads to conserve customer acquisition capital.</w:t>
            </w:r>
          </w:p>
        </w:tc>
      </w:tr>
    </w:tbl>
    <w:p>
      <w:pPr>
        <w:pStyle w:val="Normal"/>
        <w:rPr/>
      </w:pPr>
      <w:r>
        <w:rPr/>
      </w:r>
    </w:p>
    <w:p>
      <w:pPr>
        <w:pStyle w:val="Heading1"/>
        <w:rPr/>
      </w:pPr>
      <w:r>
        <w:rPr/>
        <w:t>16. Analytical Limitations &amp; Caveats</w:t>
      </w:r>
    </w:p>
    <w:p>
      <w:pPr>
        <w:pStyle w:val="Normal"/>
        <w:rPr/>
      </w:pPr>
      <w:r>
        <w:rPr/>
        <w:t>A defensible scientific analysis must transparently acknowledge its analytical boundaries:</w:t>
        <w:br/>
        <w:t>1. Lack of Firmographic and Demographic Data: The dataset contains exclusively transactional event logs. We do not observe customer company size, industry classification, or credit risk. Segment labels represent behavioral typologies, not verified organizational classifications.</w:t>
        <w:br/>
        <w:t>2. Correlation vs. Causation: Clustering establishes statistical proximity in transformed feature space; it does not prove that high SKU variety causes higher customer retention. Strategic interventions must be validated via randomized A/B testing.</w:t>
        <w:br/>
        <w:t>3. Temporal Window Truncation: The dataset spans 12 months (Dec 2010 to Dec 2011). Long-term multi-year macro-economic cycles or holiday seasonality cannot be fully decoupled from organic customer lifecycles.</w:t>
        <w:br/>
        <w:t>4. Convexity Assumption: While log1p transformations successfully normalize feature variances, K-Means assumes spherical cluster geometry. Non-convex sub-manifolds may be partitioned into convex regions.</w:t>
      </w:r>
    </w:p>
    <w:p>
      <w:pPr>
        <w:pStyle w:val="Heading1"/>
        <w:rPr/>
      </w:pPr>
      <w:r>
        <w:rPr/>
        <w:t>17. Conclusion &amp; Project Architecture</w:t>
      </w:r>
    </w:p>
    <w:p>
      <w:pPr>
        <w:pStyle w:val="Normal"/>
        <w:rPr/>
      </w:pPr>
      <w:r>
        <w:rPr/>
        <w:t>This project has delivered an exhaustive, reproducible unsupervised machine learning analysis of e-commerce customer behavior. By grounding the analysis in mathematical variance stabilization, multi-metric cluster validation, bootstrap stability auditing, and 2D manifold projection, the study revealed that 24.5% of customers generate 76.0% of company revenue. The modular architecture is structured in `src/`, accompanied by an analytical narrative Jupyter notebook in `notebooks/clustering_analysis.ipynb`, 10 high-resolution visual assets in `visualizations/`, and an automated unit test suite in `tests/test_pipeline.py`.</w:t>
      </w:r>
    </w:p>
    <w:p>
      <w:pPr>
        <w:pStyle w:val="Heading1"/>
        <w:rPr/>
      </w:pPr>
      <w:r>
        <w:rPr/>
        <w:t>18. Academic &amp; Technical References</w:t>
      </w:r>
    </w:p>
    <w:p>
      <w:pPr>
        <w:pStyle w:val="Normal"/>
        <w:spacing w:before="40" w:after="80"/>
        <w:ind w:hanging="720" w:start="720"/>
        <w:rPr/>
      </w:pPr>
      <w:r>
        <w:rPr>
          <w:rFonts w:ascii="Arial" w:hAnsi="Arial"/>
          <w:sz w:val="18"/>
        </w:rPr>
        <w:t>Arthur, D., &amp; Vassilvitskii, S. (2007). k-means++: The advantages of careful seeding. Proceedings of the Eighteenth Annual ACM-SIAM Symposium on Discrete Algorithms, 1027–1035.</w:t>
      </w:r>
    </w:p>
    <w:p>
      <w:pPr>
        <w:pStyle w:val="Normal"/>
        <w:spacing w:before="40" w:after="80"/>
        <w:ind w:hanging="720" w:start="720"/>
        <w:rPr/>
      </w:pPr>
      <w:r>
        <w:rPr>
          <w:rFonts w:ascii="Arial" w:hAnsi="Arial"/>
          <w:sz w:val="18"/>
        </w:rPr>
        <w:t>Calinski, T., &amp; Harabasz, J. (1974). A dendrite method for cluster analysis. Communications in Statistics, 3(1), 1–27.</w:t>
      </w:r>
    </w:p>
    <w:p>
      <w:pPr>
        <w:pStyle w:val="Normal"/>
        <w:spacing w:before="40" w:after="80"/>
        <w:ind w:hanging="720" w:start="720"/>
        <w:rPr/>
      </w:pPr>
      <w:r>
        <w:rPr>
          <w:rFonts w:ascii="Arial" w:hAnsi="Arial"/>
          <w:sz w:val="18"/>
        </w:rPr>
        <w:t>Chen, D., Sain, S. L., &amp; Guo, K. (2012). Data mining for the online retail industry: A case study of RFM model-based customer segmentation using data mining. Journal of Database Marketing &amp; Customer Strategy Management, 19(3), 197–208.</w:t>
      </w:r>
    </w:p>
    <w:p>
      <w:pPr>
        <w:pStyle w:val="Normal"/>
        <w:spacing w:before="40" w:after="80"/>
        <w:ind w:hanging="720" w:start="720"/>
        <w:rPr/>
      </w:pPr>
      <w:r>
        <w:rPr>
          <w:rFonts w:ascii="Arial" w:hAnsi="Arial"/>
          <w:sz w:val="18"/>
        </w:rPr>
        <w:t>Davies, D. L., &amp; Bouldin, D. W. (1979). A cluster separation measure. IEEE Transactions on Pattern Analysis and Machine Intelligence, (2), 224–227.</w:t>
      </w:r>
    </w:p>
    <w:p>
      <w:pPr>
        <w:pStyle w:val="Normal"/>
        <w:spacing w:before="40" w:after="80"/>
        <w:ind w:hanging="720" w:start="720"/>
        <w:rPr/>
      </w:pPr>
      <w:r>
        <w:rPr>
          <w:rFonts w:ascii="Arial" w:hAnsi="Arial"/>
          <w:sz w:val="18"/>
        </w:rPr>
        <w:t>Pedregosa, F., et al. (2011). Scikit-learn: Machine Learning in Python. Journal of Machine Learning Research, 12, 2825–2830.</w:t>
      </w:r>
    </w:p>
    <w:p>
      <w:pPr>
        <w:pStyle w:val="Normal"/>
        <w:spacing w:before="40" w:after="80"/>
        <w:ind w:hanging="720" w:start="720"/>
        <w:rPr/>
      </w:pPr>
      <w:r>
        <w:rPr>
          <w:rFonts w:ascii="Arial" w:hAnsi="Arial"/>
          <w:sz w:val="18"/>
        </w:rPr>
        <w:t>Rousseeuw, P. J. (1987). Silhouettes: A graphical aid to the interpretation and validation of cluster analysis. Journal of Computational and Applied Mathematics, 20, 53–65.</w:t>
      </w:r>
    </w:p>
    <w:p>
      <w:pPr>
        <w:pStyle w:val="Normal"/>
        <w:spacing w:before="40" w:after="80"/>
        <w:ind w:hanging="720" w:start="720"/>
        <w:rPr/>
      </w:pPr>
      <w:r>
        <w:rPr>
          <w:rFonts w:ascii="Arial" w:hAnsi="Arial"/>
          <w:sz w:val="18"/>
        </w:rPr>
        <w:t>Van der Maaten, L., &amp; Hinton, G. (2008). Visualizing data using t-SNE. Journal of Machine Learning Research, 9(11), 2579–2605.</w:t>
      </w:r>
    </w:p>
    <w:p>
      <w:pPr>
        <w:pStyle w:val="Normal"/>
        <w:spacing w:before="40" w:after="80"/>
        <w:ind w:hanging="720" w:start="720"/>
        <w:rPr/>
      </w:pPr>
      <w:r>
        <w:rPr>
          <w:rFonts w:ascii="Arial" w:hAnsi="Arial"/>
          <w:sz w:val="18"/>
        </w:rPr>
        <w:t>Ward, J. H. (1963). Hierarchical grouping to optimize an objective function. Journal of the American Statistical Association, 58(301), 236–244.</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LibreOffice/26.2.5.2$Linux_X86_64 LibreOffice_project/620$Build-2</Application>
  <AppVersion>15.0000</AppVersion>
  <Pages>24</Pages>
  <Words>3830</Words>
  <Characters>25716</Characters>
  <CharactersWithSpaces>29331</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2026-09-14T22:45:34Z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