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Note"/>
      </w:pPr>
      <w:r>
        <w:t>TECHNICAL WHITEPAPER   /   VERSION 1.0   /   14 OCTOBER 2026</w:t>
      </w:r>
    </w:p>
    <w:p>
      <w:pPr>
        <w:spacing w:after="440"/>
      </w:pPr>
    </w:p>
    <w:p>
      <w:pPr>
        <w:pStyle w:val="Title"/>
      </w:pPr>
      <w:r>
        <w:t>Adaptive Self-Study</w:t>
        <w:br/>
        <w:t>Recommendation Engine</w:t>
      </w:r>
    </w:p>
    <w:p>
      <w:r>
        <w:rPr>
          <w:sz w:val="30"/>
        </w:rPr>
        <w:t>A transparent, timetable-aware learning and scheduling system for students and teachers</w:t>
      </w:r>
    </w:p>
    <w:p>
      <w:pPr>
        <w:spacing w:after="220"/>
      </w:pPr>
    </w:p>
    <w:tbl>
      <w:tblPr>
        <w:tblW w:type="auto" w:w="0"/>
        <w:jc w:val="center"/>
        <w:tblLayout w:type="fixed"/>
        <w:tblLook w:firstColumn="1" w:firstRow="1" w:lastColumn="0" w:lastRow="0" w:noHBand="0" w:noVBand="1" w:val="04A0"/>
      </w:tblPr>
      <w:tblGrid>
        <w:gridCol w:w="3090"/>
        <w:gridCol w:w="3090"/>
        <w:gridCol w:w="3090"/>
      </w:tblGrid>
      <w:tr>
        <w:trPr>
          <w:tblHeader w:val="true"/>
        </w:trPr>
        <w:tc>
          <w:tcPr>
            <w:tcW w:type="dxa" w:w="3256"/>
            <w:shd w:fill="152845"/>
            <w:vAlign w:val="center"/>
          </w:tcPr>
          <w:p>
            <w:pPr>
              <w:spacing w:after="0"/>
            </w:pPr>
            <w:r>
              <w:rPr>
                <w:b/>
                <w:color w:val="FFFFFF"/>
                <w:sz w:val="16"/>
              </w:rPr>
              <w:t>RECOMMENDATION</w:t>
            </w:r>
          </w:p>
        </w:tc>
        <w:tc>
          <w:tcPr>
            <w:tcW w:type="dxa" w:w="3256"/>
            <w:shd w:fill="152845"/>
            <w:vAlign w:val="center"/>
          </w:tcPr>
          <w:p>
            <w:pPr>
              <w:spacing w:after="0"/>
            </w:pPr>
            <w:r>
              <w:rPr>
                <w:b/>
                <w:color w:val="FFFFFF"/>
                <w:sz w:val="16"/>
              </w:rPr>
              <w:t>ADAPTATION</w:t>
            </w:r>
          </w:p>
        </w:tc>
        <w:tc>
          <w:tcPr>
            <w:tcW w:type="dxa" w:w="3256"/>
            <w:shd w:fill="152845"/>
            <w:vAlign w:val="center"/>
          </w:tcPr>
          <w:p>
            <w:pPr>
              <w:spacing w:after="0"/>
            </w:pPr>
            <w:r>
              <w:rPr>
                <w:b/>
                <w:color w:val="FFFFFF"/>
                <w:sz w:val="16"/>
              </w:rPr>
              <w:t>IMPLEMENTATION</w:t>
            </w:r>
          </w:p>
        </w:tc>
      </w:tr>
      <w:tr>
        <w:trPr>
          <w:cantSplit/>
        </w:trPr>
        <w:tc>
          <w:tcPr>
            <w:tcW w:type="dxa" w:w="3090"/>
            <w:vAlign w:val="center"/>
            <w:tcBorders>
              <w:bottom w:val="single" w:sz="5" w:color="D5DFE8"/>
            </w:tcBorders>
          </w:tcPr>
          <w:p>
            <w:pPr>
              <w:spacing w:after="0" w:before="20"/>
            </w:pPr>
            <w:r>
              <w:rPr>
                <w:b/>
                <w:sz w:val="15"/>
              </w:rPr>
              <w:t>Mastery + exams + context</w:t>
            </w:r>
          </w:p>
        </w:tc>
        <w:tc>
          <w:tcPr>
            <w:tcW w:type="dxa" w:w="3090"/>
            <w:vAlign w:val="center"/>
            <w:tcBorders>
              <w:bottom w:val="single" w:sz="5" w:color="D5DFE8"/>
            </w:tcBorders>
          </w:tcPr>
          <w:p>
            <w:pPr>
              <w:spacing w:after="0" w:before="20"/>
            </w:pPr>
            <w:r>
              <w:rPr>
                <w:sz w:val="15"/>
              </w:rPr>
              <w:t>Prior-smoothed grade / study associations</w:t>
            </w:r>
          </w:p>
        </w:tc>
        <w:tc>
          <w:tcPr>
            <w:tcW w:type="dxa" w:w="3090"/>
            <w:vAlign w:val="center"/>
            <w:tcBorders>
              <w:bottom w:val="single" w:sz="5" w:color="D5DFE8"/>
            </w:tcBorders>
          </w:tcPr>
          <w:p>
            <w:pPr>
              <w:spacing w:after="0" w:before="20"/>
            </w:pPr>
            <w:r>
              <w:rPr>
                <w:sz w:val="15"/>
              </w:rPr>
              <w:t>Python core with MySQL and MongoDB adapters</w:t>
            </w:r>
          </w:p>
        </w:tc>
      </w:tr>
    </w:tbl>
    <w:p>
      <w:pPr>
        <w:spacing w:after="0"/>
      </w:pPr>
    </w:p>
    <w:p>
      <w:pPr>
        <w:pStyle w:val="Heading2"/>
      </w:pPr>
      <w:r>
        <w:t>Abstract</w:t>
      </w:r>
    </w:p>
    <w:p>
      <w:r>
        <w:t>This paper specifies and implements an adaptive recommendation engine that translates dated subject scores, school timetables, available study windows and upcoming assessments into personalized weekly independent-study schedules. It uses an explainable subject-priority function and a constrained greedy scheduling heuristic, plus a conservatively bounded adaptation layer learned from observed grade changes paired with actual logged study time. One shared core is backed by interchangeable MySQL and MongoDB adapters. A synthetic two-student case demonstrates differential allocations, teacher summaries and timetable conflict avoidance. The implementation is an engineering prototype, not a clinically or educationally validated prediction of score gains.</w:t>
      </w:r>
    </w:p>
    <w:p>
      <w:pPr>
        <w:pStyle w:val="Heading2"/>
      </w:pPr>
      <w:r>
        <w:t>Scope and status</w:t>
      </w:r>
    </w:p>
    <w:p>
      <w:r>
        <w:t>Deliverable: an executable Python 3.10+ project with unit tests, local database schemas, a command-line interface, a development REST API, and sample data. The model is not a large language model; its adaptive component is statistical. All student records in the sample are synthetic.</w:t>
      </w:r>
    </w:p>
    <w:p>
      <w:pPr>
        <w:pStyle w:val="SmallNote"/>
      </w:pPr>
      <w:r>
        <w:t>Keywords: personalized learning, spaced practice, scheduling optimization, self-regulated learning, adaptive prioritization, MySQL, MongoDB.</w:t>
      </w:r>
    </w:p>
    <w:p>
      <w:r>
        <w:br w:type="page"/>
      </w:r>
    </w:p>
    <w:p>
      <w:pPr>
        <w:pStyle w:val="Heading1"/>
      </w:pPr>
      <w:r>
        <w:t>1. Executive summary</w:t>
      </w:r>
    </w:p>
    <w:p>
      <w:r>
        <w:t>Students differ in their subject strengths. Equal study time for every subject is often a poor default, but allocating all spare hours to the weakest subject can also neglect retention, deadlines and practical availability. ASLS aims to allocate finite self-study time across enrolled subjects without conflicting with school classes, while giving teachers a clear explanation of each plan.</w:t>
      </w:r>
    </w:p>
    <w:p>
      <w:pPr>
        <w:pStyle w:val="ListBullet"/>
      </w:pPr>
      <w:r>
        <w:t>Generate subject priorities from performance gaps, score trends, examination urgency, classroom exposure and observed gaps in independent practice.</w:t>
      </w:r>
    </w:p>
    <w:p>
      <w:pPr>
        <w:pStyle w:val="ListBullet"/>
      </w:pPr>
      <w:r>
        <w:t>Translate priorities into realistic 30-minute appointments, reserve five-minute gaps, and respect weekly, daily and subject-concentration limits.</w:t>
      </w:r>
    </w:p>
    <w:p>
      <w:pPr>
        <w:pStyle w:val="ListBullet"/>
      </w:pPr>
      <w:r>
        <w:t>Update cautious effectiveness estimates when new grades and completed study logs arrive; cap any learned adjustment to avoid harmful feedback loops.</w:t>
      </w:r>
    </w:p>
    <w:p>
      <w:pPr>
        <w:pStyle w:val="ListBullet"/>
      </w:pPr>
      <w:r>
        <w:t>Produce student-facing rationale and teacher-facing aggregated signals, with database-specific persistence but backend-neutral recommendation logic.</w:t>
      </w:r>
    </w:p>
    <w:p>
      <w:r>
        <w:t>Success is not defined merely by generating a timetable. Operational success requires no conflicts, usable explanations, feasible workloads and useful teacher decisions; educational success must be established through prospective measurement rather than inferred from historical correlation.</w:t>
      </w:r>
    </w:p>
    <w:p>
      <w:pPr>
        <w:pStyle w:val="Heading1"/>
      </w:pPr>
      <w:r>
        <w:t>2. System requirements and assumptions</w:t>
      </w:r>
    </w:p>
    <w:tbl>
      <w:tblPr>
        <w:tblW w:type="auto" w:w="0"/>
        <w:jc w:val="center"/>
        <w:tblLayout w:type="fixed"/>
        <w:tblLook w:firstColumn="1" w:firstRow="1" w:lastColumn="0" w:lastRow="0" w:noHBand="0" w:noVBand="1" w:val="04A0"/>
      </w:tblPr>
      <w:tblGrid>
        <w:gridCol w:w="1502"/>
        <w:gridCol w:w="3600"/>
        <w:gridCol w:w="4167"/>
      </w:tblGrid>
      <w:tr>
        <w:trPr>
          <w:tblHeader w:val="true"/>
        </w:trPr>
        <w:tc>
          <w:tcPr>
            <w:tcW w:type="dxa" w:w="3256"/>
            <w:shd w:fill="152845"/>
            <w:vAlign w:val="center"/>
          </w:tcPr>
          <w:p>
            <w:pPr>
              <w:spacing w:after="0"/>
            </w:pPr>
            <w:r>
              <w:rPr>
                <w:b/>
                <w:color w:val="FFFFFF"/>
                <w:sz w:val="17"/>
              </w:rPr>
              <w:t>Actor</w:t>
            </w:r>
          </w:p>
        </w:tc>
        <w:tc>
          <w:tcPr>
            <w:tcW w:type="dxa" w:w="3256"/>
            <w:shd w:fill="152845"/>
            <w:vAlign w:val="center"/>
          </w:tcPr>
          <w:p>
            <w:pPr>
              <w:spacing w:after="0"/>
            </w:pPr>
            <w:r>
              <w:rPr>
                <w:b/>
                <w:color w:val="FFFFFF"/>
                <w:sz w:val="17"/>
              </w:rPr>
              <w:t>Typical question</w:t>
            </w:r>
          </w:p>
        </w:tc>
        <w:tc>
          <w:tcPr>
            <w:tcW w:type="dxa" w:w="3256"/>
            <w:shd w:fill="152845"/>
            <w:vAlign w:val="center"/>
          </w:tcPr>
          <w:p>
            <w:pPr>
              <w:spacing w:after="0"/>
            </w:pPr>
            <w:r>
              <w:rPr>
                <w:b/>
                <w:color w:val="FFFFFF"/>
                <w:sz w:val="17"/>
              </w:rPr>
              <w:t>Delivered output</w:t>
            </w:r>
          </w:p>
        </w:tc>
      </w:tr>
      <w:tr>
        <w:trPr>
          <w:cantSplit/>
        </w:trPr>
        <w:tc>
          <w:tcPr>
            <w:tcW w:type="dxa" w:w="1502"/>
            <w:vAlign w:val="center"/>
            <w:tcBorders>
              <w:bottom w:val="single" w:sz="5" w:color="D5DFE8"/>
            </w:tcBorders>
          </w:tcPr>
          <w:p>
            <w:pPr>
              <w:spacing w:after="0" w:before="20"/>
            </w:pPr>
            <w:r>
              <w:rPr>
                <w:b/>
                <w:sz w:val="16"/>
              </w:rPr>
              <w:t>Student</w:t>
            </w:r>
          </w:p>
        </w:tc>
        <w:tc>
          <w:tcPr>
            <w:tcW w:type="dxa" w:w="3600"/>
            <w:vAlign w:val="center"/>
            <w:tcBorders>
              <w:bottom w:val="single" w:sz="5" w:color="D5DFE8"/>
            </w:tcBorders>
          </w:tcPr>
          <w:p>
            <w:pPr>
              <w:spacing w:after="0" w:before="20"/>
            </w:pPr>
            <w:r>
              <w:rPr>
                <w:sz w:val="16"/>
              </w:rPr>
              <w:t>What should I study after school this week?</w:t>
            </w:r>
          </w:p>
        </w:tc>
        <w:tc>
          <w:tcPr>
            <w:tcW w:type="dxa" w:w="4167"/>
            <w:vAlign w:val="center"/>
            <w:tcBorders>
              <w:bottom w:val="single" w:sz="5" w:color="D5DFE8"/>
            </w:tcBorders>
          </w:tcPr>
          <w:p>
            <w:pPr>
              <w:spacing w:after="0" w:before="20"/>
            </w:pPr>
            <w:r>
              <w:rPr>
                <w:sz w:val="16"/>
              </w:rPr>
              <w:t>Personal plan, duration and study method</w:t>
            </w:r>
          </w:p>
        </w:tc>
      </w:tr>
      <w:tr>
        <w:trPr>
          <w:cantSplit/>
        </w:trPr>
        <w:tc>
          <w:tcPr>
            <w:tcW w:type="dxa" w:w="1502"/>
            <w:vAlign w:val="center"/>
            <w:shd w:fill="F5F8FB"/>
            <w:tcBorders>
              <w:bottom w:val="single" w:sz="5" w:color="D5DFE8"/>
            </w:tcBorders>
          </w:tcPr>
          <w:p>
            <w:pPr>
              <w:spacing w:after="0" w:before="20"/>
            </w:pPr>
            <w:r>
              <w:rPr>
                <w:b/>
                <w:sz w:val="16"/>
              </w:rPr>
              <w:t>Teacher</w:t>
            </w:r>
          </w:p>
        </w:tc>
        <w:tc>
          <w:tcPr>
            <w:tcW w:type="dxa" w:w="3600"/>
            <w:vAlign w:val="center"/>
            <w:shd w:fill="F5F8FB"/>
            <w:tcBorders>
              <w:bottom w:val="single" w:sz="5" w:color="D5DFE8"/>
            </w:tcBorders>
          </w:tcPr>
          <w:p>
            <w:pPr>
              <w:spacing w:after="0" w:before="20"/>
            </w:pPr>
            <w:r>
              <w:rPr>
                <w:sz w:val="16"/>
              </w:rPr>
              <w:t>Which subjects need extra support in my class?</w:t>
            </w:r>
          </w:p>
        </w:tc>
        <w:tc>
          <w:tcPr>
            <w:tcW w:type="dxa" w:w="4167"/>
            <w:vAlign w:val="center"/>
            <w:shd w:fill="F5F8FB"/>
            <w:tcBorders>
              <w:bottom w:val="single" w:sz="5" w:color="D5DFE8"/>
            </w:tcBorders>
          </w:tcPr>
          <w:p>
            <w:pPr>
              <w:spacing w:after="0" w:before="20"/>
            </w:pPr>
            <w:r>
              <w:rPr>
                <w:sz w:val="16"/>
              </w:rPr>
              <w:t>Aggregated mastery, time and intervention suggestions</w:t>
            </w:r>
          </w:p>
        </w:tc>
      </w:tr>
      <w:tr>
        <w:trPr>
          <w:cantSplit/>
        </w:trPr>
        <w:tc>
          <w:tcPr>
            <w:tcW w:type="dxa" w:w="1502"/>
            <w:vAlign w:val="center"/>
            <w:tcBorders>
              <w:bottom w:val="single" w:sz="5" w:color="D5DFE8"/>
            </w:tcBorders>
          </w:tcPr>
          <w:p>
            <w:pPr>
              <w:spacing w:after="0" w:before="20"/>
            </w:pPr>
            <w:r>
              <w:rPr>
                <w:b/>
                <w:sz w:val="16"/>
              </w:rPr>
              <w:t>Administrator</w:t>
            </w:r>
          </w:p>
        </w:tc>
        <w:tc>
          <w:tcPr>
            <w:tcW w:type="dxa" w:w="3600"/>
            <w:vAlign w:val="center"/>
            <w:tcBorders>
              <w:bottom w:val="single" w:sz="5" w:color="D5DFE8"/>
            </w:tcBorders>
          </w:tcPr>
          <w:p>
            <w:pPr>
              <w:spacing w:after="0" w:before="20"/>
            </w:pPr>
            <w:r>
              <w:rPr>
                <w:sz w:val="16"/>
              </w:rPr>
              <w:t>How do I connect the current SIS and run plans?</w:t>
            </w:r>
          </w:p>
        </w:tc>
        <w:tc>
          <w:tcPr>
            <w:tcW w:type="dxa" w:w="4167"/>
            <w:vAlign w:val="center"/>
            <w:tcBorders>
              <w:bottom w:val="single" w:sz="5" w:color="D5DFE8"/>
            </w:tcBorders>
          </w:tcPr>
          <w:p>
            <w:pPr>
              <w:spacing w:after="0" w:before="20"/>
            </w:pPr>
            <w:r>
              <w:rPr>
                <w:sz w:val="16"/>
              </w:rPr>
              <w:t>Normalized inputs, adapters, persistence, auditable versions</w:t>
            </w:r>
          </w:p>
        </w:tc>
      </w:tr>
    </w:tbl>
    <w:p>
      <w:pPr>
        <w:spacing w:after="0"/>
      </w:pPr>
    </w:p>
    <w:p>
      <w:r>
        <w:t>Minimum inputs: a student identifier, class identifier, subject enrollments, at least one weekly availability window and appropriate study limits. Dated grades, classroom timetable, assessments and actual study logs increase personalization. All scores use a 0-100 scale. Weekdays are Monday=0 through Sunday=6, and the MVP assumes a single school-local timezone.</w:t>
      </w:r>
    </w:p>
    <w:p>
      <w:r>
        <w:t>The planning-week Monday is also the information cutoff. Scores or study logs dated after the cutoff must not affect a recommendation for that period. One grade is sufficient for performance ranking; historical adaptation requires paired grade observations and completed study logs.</w:t>
      </w:r>
    </w:p>
    <w:p>
      <w:pPr>
        <w:pStyle w:val="Heading1"/>
      </w:pPr>
      <w:r>
        <w:t>3. Performance representation</w:t>
      </w:r>
    </w:p>
    <w:p>
      <w:pPr>
        <w:pStyle w:val="Heading2"/>
      </w:pPr>
      <w:r>
        <w:t>3.1 Recent mastery and trend</w:t>
      </w:r>
    </w:p>
    <w:p>
      <w:r>
        <w:t>For student i and subject j, retain up to eight most recent grades at or before the planning cutoff. Compute a recency-weighted average where each grade loses half its weight after 45 days:</w:t>
      </w:r>
    </w:p>
    <w:p>
      <w:pPr>
        <w:pStyle w:val="Formula"/>
        <w:shd w:fill="F5F8FB"/>
      </w:pPr>
      <w:r>
        <w:t>w_r = exp[-ln(2) * age_days(r) / 45] ;  mastery_ij = sum(w_r * score_r) / sum(w_r)</w:t>
      </w:r>
    </w:p>
    <w:p>
      <w:r>
        <w:t>Trend is the most recent grade minus the preceding grade. If no observed score exists, the target score is used solely as a neutral scheduling baseline, and is explicitly marked as missing (not an observed grade). The class summary excludes missing grades from its average.</w:t>
      </w:r>
    </w:p>
    <w:p>
      <w:pPr>
        <w:pStyle w:val="Heading2"/>
      </w:pPr>
      <w:r>
        <w:t>3.2 Explainable priority</w:t>
      </w:r>
    </w:p>
    <w:p>
      <w:pPr>
        <w:pStyle w:val="Formula"/>
        <w:shd w:fill="F5F8FB"/>
      </w:pPr>
      <w:r>
        <w:t>P_ij = (0.25 + 2.00 D_ij + 0.30 T_ij + 0.50 E_ij + 0.15 C_ij + 0.10 R_ij) * L_ij</w:t>
      </w:r>
    </w:p>
    <w:tbl>
      <w:tblPr>
        <w:tblW w:type="auto" w:w="0"/>
        <w:jc w:val="center"/>
        <w:tblLayout w:type="fixed"/>
        <w:tblLook w:firstColumn="1" w:firstRow="1" w:lastColumn="0" w:lastRow="0" w:noHBand="0" w:noVBand="1" w:val="04A0"/>
      </w:tblPr>
      <w:tblGrid>
        <w:gridCol w:w="2041"/>
        <w:gridCol w:w="3572"/>
        <w:gridCol w:w="3657"/>
      </w:tblGrid>
      <w:tr>
        <w:trPr>
          <w:tblHeader w:val="true"/>
        </w:trPr>
        <w:tc>
          <w:tcPr>
            <w:tcW w:type="dxa" w:w="3256"/>
            <w:shd w:fill="152845"/>
            <w:vAlign w:val="center"/>
          </w:tcPr>
          <w:p>
            <w:pPr>
              <w:spacing w:after="0"/>
            </w:pPr>
            <w:r>
              <w:rPr>
                <w:b/>
                <w:color w:val="FFFFFF"/>
                <w:sz w:val="16"/>
              </w:rPr>
              <w:t>Feature</w:t>
            </w:r>
          </w:p>
        </w:tc>
        <w:tc>
          <w:tcPr>
            <w:tcW w:type="dxa" w:w="3256"/>
            <w:shd w:fill="152845"/>
            <w:vAlign w:val="center"/>
          </w:tcPr>
          <w:p>
            <w:pPr>
              <w:spacing w:after="0"/>
            </w:pPr>
            <w:r>
              <w:rPr>
                <w:b/>
                <w:color w:val="FFFFFF"/>
                <w:sz w:val="16"/>
              </w:rPr>
              <w:t>Definition</w:t>
            </w:r>
          </w:p>
        </w:tc>
        <w:tc>
          <w:tcPr>
            <w:tcW w:type="dxa" w:w="3256"/>
            <w:shd w:fill="152845"/>
            <w:vAlign w:val="center"/>
          </w:tcPr>
          <w:p>
            <w:pPr>
              <w:spacing w:after="0"/>
            </w:pPr>
            <w:r>
              <w:rPr>
                <w:b/>
                <w:color w:val="FFFFFF"/>
                <w:sz w:val="16"/>
              </w:rPr>
              <w:t>Interpretation</w:t>
            </w:r>
          </w:p>
        </w:tc>
      </w:tr>
      <w:tr>
        <w:trPr>
          <w:cantSplit/>
        </w:trPr>
        <w:tc>
          <w:tcPr>
            <w:tcW w:type="dxa" w:w="2041"/>
            <w:vAlign w:val="center"/>
            <w:tcBorders>
              <w:bottom w:val="single" w:sz="5" w:color="D5DFE8"/>
            </w:tcBorders>
          </w:tcPr>
          <w:p>
            <w:pPr>
              <w:spacing w:after="0" w:before="20"/>
            </w:pPr>
            <w:r>
              <w:rPr>
                <w:b/>
                <w:sz w:val="15"/>
              </w:rPr>
              <w:t>D - mastery deficit</w:t>
            </w:r>
          </w:p>
        </w:tc>
        <w:tc>
          <w:tcPr>
            <w:tcW w:type="dxa" w:w="3572"/>
            <w:vAlign w:val="center"/>
            <w:tcBorders>
              <w:bottom w:val="single" w:sz="5" w:color="D5DFE8"/>
            </w:tcBorders>
          </w:tcPr>
          <w:p>
            <w:pPr>
              <w:spacing w:after="0" w:before="20"/>
            </w:pPr>
            <w:r>
              <w:rPr>
                <w:sz w:val="15"/>
              </w:rPr>
              <w:t>max(0, target - mastery) / 100</w:t>
            </w:r>
          </w:p>
        </w:tc>
        <w:tc>
          <w:tcPr>
            <w:tcW w:type="dxa" w:w="3657"/>
            <w:vAlign w:val="center"/>
            <w:tcBorders>
              <w:bottom w:val="single" w:sz="5" w:color="D5DFE8"/>
            </w:tcBorders>
          </w:tcPr>
          <w:p>
            <w:pPr>
              <w:spacing w:after="0" w:before="20"/>
            </w:pPr>
            <w:r>
              <w:rPr>
                <w:sz w:val="15"/>
              </w:rPr>
              <w:t>Gap from a student-specific desired score</w:t>
            </w:r>
          </w:p>
        </w:tc>
      </w:tr>
      <w:tr>
        <w:trPr>
          <w:cantSplit/>
        </w:trPr>
        <w:tc>
          <w:tcPr>
            <w:tcW w:type="dxa" w:w="2041"/>
            <w:vAlign w:val="center"/>
            <w:shd w:fill="F5F8FB"/>
            <w:tcBorders>
              <w:bottom w:val="single" w:sz="5" w:color="D5DFE8"/>
            </w:tcBorders>
          </w:tcPr>
          <w:p>
            <w:pPr>
              <w:spacing w:after="0" w:before="20"/>
            </w:pPr>
            <w:r>
              <w:rPr>
                <w:b/>
                <w:sz w:val="15"/>
              </w:rPr>
              <w:t>T - decline</w:t>
            </w:r>
          </w:p>
        </w:tc>
        <w:tc>
          <w:tcPr>
            <w:tcW w:type="dxa" w:w="3572"/>
            <w:vAlign w:val="center"/>
            <w:shd w:fill="F5F8FB"/>
            <w:tcBorders>
              <w:bottom w:val="single" w:sz="5" w:color="D5DFE8"/>
            </w:tcBorders>
          </w:tcPr>
          <w:p>
            <w:pPr>
              <w:spacing w:after="0" w:before="20"/>
            </w:pPr>
            <w:r>
              <w:rPr>
                <w:sz w:val="15"/>
              </w:rPr>
              <w:t>min(1, max(0, -recent_change) / 10)</w:t>
            </w:r>
          </w:p>
        </w:tc>
        <w:tc>
          <w:tcPr>
            <w:tcW w:type="dxa" w:w="3657"/>
            <w:vAlign w:val="center"/>
            <w:shd w:fill="F5F8FB"/>
            <w:tcBorders>
              <w:bottom w:val="single" w:sz="5" w:color="D5DFE8"/>
            </w:tcBorders>
          </w:tcPr>
          <w:p>
            <w:pPr>
              <w:spacing w:after="0" w:before="20"/>
            </w:pPr>
            <w:r>
              <w:rPr>
                <w:sz w:val="15"/>
              </w:rPr>
              <w:t>Increases urgency for falling results</w:t>
            </w:r>
          </w:p>
        </w:tc>
      </w:tr>
      <w:tr>
        <w:trPr>
          <w:cantSplit/>
        </w:trPr>
        <w:tc>
          <w:tcPr>
            <w:tcW w:type="dxa" w:w="2041"/>
            <w:vAlign w:val="center"/>
            <w:tcBorders>
              <w:bottom w:val="single" w:sz="5" w:color="D5DFE8"/>
            </w:tcBorders>
          </w:tcPr>
          <w:p>
            <w:pPr>
              <w:spacing w:after="0" w:before="20"/>
            </w:pPr>
            <w:r>
              <w:rPr>
                <w:b/>
                <w:sz w:val="15"/>
              </w:rPr>
              <w:t>E - exam urgency</w:t>
            </w:r>
          </w:p>
        </w:tc>
        <w:tc>
          <w:tcPr>
            <w:tcW w:type="dxa" w:w="3572"/>
            <w:vAlign w:val="center"/>
            <w:tcBorders>
              <w:bottom w:val="single" w:sz="5" w:color="D5DFE8"/>
            </w:tcBorders>
          </w:tcPr>
          <w:p>
            <w:pPr>
              <w:spacing w:after="0" w:before="20"/>
            </w:pPr>
            <w:r>
              <w:rPr>
                <w:sz w:val="15"/>
              </w:rPr>
              <w:t>max(0, 1 - days_to_next_exam / 15)</w:t>
            </w:r>
          </w:p>
        </w:tc>
        <w:tc>
          <w:tcPr>
            <w:tcW w:type="dxa" w:w="3657"/>
            <w:vAlign w:val="center"/>
            <w:tcBorders>
              <w:bottom w:val="single" w:sz="5" w:color="D5DFE8"/>
            </w:tcBorders>
          </w:tcPr>
          <w:p>
            <w:pPr>
              <w:spacing w:after="0" w:before="20"/>
            </w:pPr>
            <w:r>
              <w:rPr>
                <w:sz w:val="15"/>
              </w:rPr>
              <w:t>Exam within the next 15 days</w:t>
            </w:r>
          </w:p>
        </w:tc>
      </w:tr>
      <w:tr>
        <w:trPr>
          <w:cantSplit/>
        </w:trPr>
        <w:tc>
          <w:tcPr>
            <w:tcW w:type="dxa" w:w="2041"/>
            <w:vAlign w:val="center"/>
            <w:shd w:fill="F5F8FB"/>
            <w:tcBorders>
              <w:bottom w:val="single" w:sz="5" w:color="D5DFE8"/>
            </w:tcBorders>
          </w:tcPr>
          <w:p>
            <w:pPr>
              <w:spacing w:after="0" w:before="20"/>
            </w:pPr>
            <w:r>
              <w:rPr>
                <w:b/>
                <w:sz w:val="15"/>
              </w:rPr>
              <w:t>C - classroom gap</w:t>
            </w:r>
          </w:p>
        </w:tc>
        <w:tc>
          <w:tcPr>
            <w:tcW w:type="dxa" w:w="3572"/>
            <w:vAlign w:val="center"/>
            <w:shd w:fill="F5F8FB"/>
            <w:tcBorders>
              <w:bottom w:val="single" w:sz="5" w:color="D5DFE8"/>
            </w:tcBorders>
          </w:tcPr>
          <w:p>
            <w:pPr>
              <w:spacing w:after="0" w:before="20"/>
            </w:pPr>
            <w:r>
              <w:rPr>
                <w:sz w:val="15"/>
              </w:rPr>
              <w:t>max(0, (180 - class_minutes) / 180)</w:t>
            </w:r>
          </w:p>
        </w:tc>
        <w:tc>
          <w:tcPr>
            <w:tcW w:type="dxa" w:w="3657"/>
            <w:vAlign w:val="center"/>
            <w:shd w:fill="F5F8FB"/>
            <w:tcBorders>
              <w:bottom w:val="single" w:sz="5" w:color="D5DFE8"/>
            </w:tcBorders>
          </w:tcPr>
          <w:p>
            <w:pPr>
              <w:spacing w:after="0" w:before="20"/>
            </w:pPr>
            <w:r>
              <w:rPr>
                <w:sz w:val="15"/>
              </w:rPr>
              <w:t>Limited class exposure in a week</w:t>
            </w:r>
          </w:p>
        </w:tc>
      </w:tr>
      <w:tr>
        <w:trPr>
          <w:cantSplit/>
        </w:trPr>
        <w:tc>
          <w:tcPr>
            <w:tcW w:type="dxa" w:w="2041"/>
            <w:vAlign w:val="center"/>
            <w:tcBorders>
              <w:bottom w:val="single" w:sz="5" w:color="D5DFE8"/>
            </w:tcBorders>
          </w:tcPr>
          <w:p>
            <w:pPr>
              <w:spacing w:after="0" w:before="20"/>
            </w:pPr>
            <w:r>
              <w:rPr>
                <w:b/>
                <w:sz w:val="15"/>
              </w:rPr>
              <w:t>R - practice gap</w:t>
            </w:r>
          </w:p>
        </w:tc>
        <w:tc>
          <w:tcPr>
            <w:tcW w:type="dxa" w:w="3572"/>
            <w:vAlign w:val="center"/>
            <w:tcBorders>
              <w:bottom w:val="single" w:sz="5" w:color="D5DFE8"/>
            </w:tcBorders>
          </w:tcPr>
          <w:p>
            <w:pPr>
              <w:spacing w:after="0" w:before="20"/>
            </w:pPr>
            <w:r>
              <w:rPr>
                <w:sz w:val="15"/>
              </w:rPr>
              <w:t>1 only when the latest observed log is &gt;7 days old</w:t>
            </w:r>
          </w:p>
        </w:tc>
        <w:tc>
          <w:tcPr>
            <w:tcW w:type="dxa" w:w="3657"/>
            <w:vAlign w:val="center"/>
            <w:tcBorders>
              <w:bottom w:val="single" w:sz="5" w:color="D5DFE8"/>
            </w:tcBorders>
          </w:tcPr>
          <w:p>
            <w:pPr>
              <w:spacing w:after="0" w:before="20"/>
            </w:pPr>
            <w:r>
              <w:rPr>
                <w:sz w:val="15"/>
              </w:rPr>
              <w:t>Missing logs are not proof of no practice</w:t>
            </w:r>
          </w:p>
        </w:tc>
      </w:tr>
      <w:tr>
        <w:trPr>
          <w:cantSplit/>
        </w:trPr>
        <w:tc>
          <w:tcPr>
            <w:tcW w:type="dxa" w:w="2041"/>
            <w:vAlign w:val="center"/>
            <w:shd w:fill="F5F8FB"/>
            <w:tcBorders>
              <w:bottom w:val="single" w:sz="5" w:color="D5DFE8"/>
            </w:tcBorders>
          </w:tcPr>
          <w:p>
            <w:pPr>
              <w:spacing w:after="0" w:before="20"/>
            </w:pPr>
            <w:r>
              <w:rPr>
                <w:b/>
                <w:sz w:val="15"/>
              </w:rPr>
              <w:t>L - learned effect</w:t>
            </w:r>
          </w:p>
        </w:tc>
        <w:tc>
          <w:tcPr>
            <w:tcW w:type="dxa" w:w="3572"/>
            <w:vAlign w:val="center"/>
            <w:shd w:fill="F5F8FB"/>
            <w:tcBorders>
              <w:bottom w:val="single" w:sz="5" w:color="D5DFE8"/>
            </w:tcBorders>
          </w:tcPr>
          <w:p>
            <w:pPr>
              <w:spacing w:after="0" w:before="20"/>
            </w:pPr>
            <w:r>
              <w:rPr>
                <w:sz w:val="15"/>
              </w:rPr>
              <w:t>Capped multiplier in [0.80, 1.20]</w:t>
            </w:r>
          </w:p>
        </w:tc>
        <w:tc>
          <w:tcPr>
            <w:tcW w:type="dxa" w:w="3657"/>
            <w:vAlign w:val="center"/>
            <w:shd w:fill="F5F8FB"/>
            <w:tcBorders>
              <w:bottom w:val="single" w:sz="5" w:color="D5DFE8"/>
            </w:tcBorders>
          </w:tcPr>
          <w:p>
            <w:pPr>
              <w:spacing w:after="0" w:before="20"/>
            </w:pPr>
            <w:r>
              <w:rPr>
                <w:sz w:val="15"/>
              </w:rPr>
              <w:t>Bounded adjustment from actual outcomes</w:t>
            </w:r>
          </w:p>
        </w:tc>
      </w:tr>
    </w:tbl>
    <w:p>
      <w:pPr>
        <w:spacing w:after="0"/>
      </w:pPr>
    </w:p>
    <w:p>
      <w:r>
        <w:t>Coefficients, thresholds and target scores are policy choices in this reference implementation. They are not universal educational constants. Schools should validate their values with teachers and prospective data before deployment.</w:t>
      </w:r>
    </w:p>
    <w:p>
      <w:pPr>
        <w:pStyle w:val="Heading1"/>
      </w:pPr>
      <w:r>
        <w:t>4. Constrained scheduling</w:t>
      </w:r>
    </w:p>
    <w:p>
      <w:pPr>
        <w:pStyle w:val="Heading2"/>
      </w:pPr>
      <w:r>
        <w:t>4.1 Feasible time slots</w:t>
      </w:r>
    </w:p>
    <w:p>
      <w:r>
        <w:t>The engine subtracts recurring classroom sessions from each student-provided availability window, then forms 30-minute study slots separated by five-minute gaps. Overlapping availability windows are de-duplicated. Available slots are distributed across days before filling additional slots, supporting spaced participation rather than front-loading the whole week [1]. Daily and weekly limits are interpreted as ceilings, not targets to exceed.</w:t>
      </w:r>
    </w:p>
    <w:p>
      <w:pPr>
        <w:pStyle w:val="Heading2"/>
      </w:pPr>
      <w:r>
        <w:t>4.2 Marginal utility heuristic</w:t>
      </w:r>
    </w:p>
    <w:p>
      <w:pPr>
        <w:pStyle w:val="Formula"/>
        <w:shd w:fill="F5F8FB"/>
      </w:pPr>
      <w:r>
        <w:t>M_ij(k) = P_ij * exp[-allocated_minutes_ij / 180] * q_ij(k) * f_ij(k)</w:t>
      </w:r>
    </w:p>
    <w:p>
      <w:r>
        <w:t>Here, q captures the temporal suitability of slot k (for example, before an upcoming assessment or shortly after a relevant class). The f term favors first exposure and discourages repeating one subject many times on the same day. Each new slot is allocated to the eligible subject with the highest marginal score; this is an interpretable greedy heuristic, not an exact global optimum.</w:t>
      </w:r>
    </w:p>
    <w:p>
      <w:pPr>
        <w:pStyle w:val="Heading2"/>
      </w:pPr>
      <w:r>
        <w:t>4.3 Hard and soft limits</w:t>
      </w:r>
    </w:p>
    <w:tbl>
      <w:tblPr>
        <w:tblW w:type="auto" w:w="0"/>
        <w:jc w:val="center"/>
        <w:tblLayout w:type="fixed"/>
        <w:tblLook w:firstColumn="1" w:firstRow="1" w:lastColumn="0" w:lastRow="0" w:noHBand="0" w:noVBand="1" w:val="04A0"/>
      </w:tblPr>
      <w:tblGrid>
        <w:gridCol w:w="2665"/>
        <w:gridCol w:w="6605"/>
      </w:tblGrid>
      <w:tr>
        <w:trPr>
          <w:tblHeader w:val="true"/>
        </w:trPr>
        <w:tc>
          <w:tcPr>
            <w:tcW w:type="dxa" w:w="4884"/>
            <w:shd w:fill="152845"/>
            <w:vAlign w:val="center"/>
          </w:tcPr>
          <w:p>
            <w:pPr>
              <w:spacing w:after="0"/>
            </w:pPr>
            <w:r>
              <w:rPr>
                <w:b/>
                <w:color w:val="FFFFFF"/>
                <w:sz w:val="17"/>
              </w:rPr>
              <w:t>Constraint</w:t>
            </w:r>
          </w:p>
        </w:tc>
        <w:tc>
          <w:tcPr>
            <w:tcW w:type="dxa" w:w="4884"/>
            <w:shd w:fill="152845"/>
            <w:vAlign w:val="center"/>
          </w:tcPr>
          <w:p>
            <w:pPr>
              <w:spacing w:after="0"/>
            </w:pPr>
            <w:r>
              <w:rPr>
                <w:b/>
                <w:color w:val="FFFFFF"/>
                <w:sz w:val="17"/>
              </w:rPr>
              <w:t>Reference policy</w:t>
            </w:r>
          </w:p>
        </w:tc>
      </w:tr>
      <w:tr>
        <w:trPr>
          <w:cantSplit/>
        </w:trPr>
        <w:tc>
          <w:tcPr>
            <w:tcW w:type="dxa" w:w="2665"/>
            <w:vAlign w:val="center"/>
            <w:tcBorders>
              <w:bottom w:val="single" w:sz="5" w:color="D5DFE8"/>
            </w:tcBorders>
          </w:tcPr>
          <w:p>
            <w:pPr>
              <w:spacing w:after="0" w:before="20"/>
            </w:pPr>
            <w:r>
              <w:rPr>
                <w:b/>
                <w:sz w:val="16"/>
              </w:rPr>
              <w:t>School conflict</w:t>
            </w:r>
          </w:p>
        </w:tc>
        <w:tc>
          <w:tcPr>
            <w:tcW w:type="dxa" w:w="6605"/>
            <w:vAlign w:val="center"/>
            <w:tcBorders>
              <w:bottom w:val="single" w:sz="5" w:color="D5DFE8"/>
            </w:tcBorders>
          </w:tcPr>
          <w:p>
            <w:pPr>
              <w:spacing w:after="0" w:before="20"/>
            </w:pPr>
            <w:r>
              <w:rPr>
                <w:sz w:val="16"/>
              </w:rPr>
              <w:t>Study slots never intersect timetable blocks</w:t>
            </w:r>
          </w:p>
        </w:tc>
      </w:tr>
      <w:tr>
        <w:trPr>
          <w:cantSplit/>
        </w:trPr>
        <w:tc>
          <w:tcPr>
            <w:tcW w:type="dxa" w:w="2665"/>
            <w:vAlign w:val="center"/>
            <w:shd w:fill="F5F8FB"/>
            <w:tcBorders>
              <w:bottom w:val="single" w:sz="5" w:color="D5DFE8"/>
            </w:tcBorders>
          </w:tcPr>
          <w:p>
            <w:pPr>
              <w:spacing w:after="0" w:before="20"/>
            </w:pPr>
            <w:r>
              <w:rPr>
                <w:b/>
                <w:sz w:val="16"/>
              </w:rPr>
              <w:t>Daily and weekly burden</w:t>
            </w:r>
          </w:p>
        </w:tc>
        <w:tc>
          <w:tcPr>
            <w:tcW w:type="dxa" w:w="6605"/>
            <w:vAlign w:val="center"/>
            <w:shd w:fill="F5F8FB"/>
            <w:tcBorders>
              <w:bottom w:val="single" w:sz="5" w:color="D5DFE8"/>
            </w:tcBorders>
          </w:tcPr>
          <w:p>
            <w:pPr>
              <w:spacing w:after="0" w:before="20"/>
            </w:pPr>
            <w:r>
              <w:rPr>
                <w:sz w:val="16"/>
              </w:rPr>
              <w:t>Never exceed each student's recorded minute ceilings</w:t>
            </w:r>
          </w:p>
        </w:tc>
      </w:tr>
      <w:tr>
        <w:trPr>
          <w:cantSplit/>
        </w:trPr>
        <w:tc>
          <w:tcPr>
            <w:tcW w:type="dxa" w:w="2665"/>
            <w:vAlign w:val="center"/>
            <w:tcBorders>
              <w:bottom w:val="single" w:sz="5" w:color="D5DFE8"/>
            </w:tcBorders>
          </w:tcPr>
          <w:p>
            <w:pPr>
              <w:spacing w:after="0" w:before="20"/>
            </w:pPr>
            <w:r>
              <w:rPr>
                <w:b/>
                <w:sz w:val="16"/>
              </w:rPr>
              <w:t>Session duration</w:t>
            </w:r>
          </w:p>
        </w:tc>
        <w:tc>
          <w:tcPr>
            <w:tcW w:type="dxa" w:w="6605"/>
            <w:vAlign w:val="center"/>
            <w:tcBorders>
              <w:bottom w:val="single" w:sz="5" w:color="D5DFE8"/>
            </w:tcBorders>
          </w:tcPr>
          <w:p>
            <w:pPr>
              <w:spacing w:after="0" w:before="20"/>
            </w:pPr>
            <w:r>
              <w:rPr>
                <w:sz w:val="16"/>
              </w:rPr>
              <w:t>30 study minutes plus at least 5 break minutes</w:t>
            </w:r>
          </w:p>
        </w:tc>
      </w:tr>
      <w:tr>
        <w:trPr>
          <w:cantSplit/>
        </w:trPr>
        <w:tc>
          <w:tcPr>
            <w:tcW w:type="dxa" w:w="2665"/>
            <w:vAlign w:val="center"/>
            <w:shd w:fill="F5F8FB"/>
            <w:tcBorders>
              <w:bottom w:val="single" w:sz="5" w:color="D5DFE8"/>
            </w:tcBorders>
          </w:tcPr>
          <w:p>
            <w:pPr>
              <w:spacing w:after="0" w:before="20"/>
            </w:pPr>
            <w:r>
              <w:rPr>
                <w:b/>
                <w:sz w:val="16"/>
              </w:rPr>
              <w:t>Subject concentration</w:t>
            </w:r>
          </w:p>
        </w:tc>
        <w:tc>
          <w:tcPr>
            <w:tcW w:type="dxa" w:w="6605"/>
            <w:vAlign w:val="center"/>
            <w:shd w:fill="F5F8FB"/>
            <w:tcBorders>
              <w:bottom w:val="single" w:sz="5" w:color="D5DFE8"/>
            </w:tcBorders>
          </w:tcPr>
          <w:p>
            <w:pPr>
              <w:spacing w:after="0" w:before="20"/>
            </w:pPr>
            <w:r>
              <w:rPr>
                <w:sz w:val="16"/>
              </w:rPr>
              <w:t>Up to 55% for 3+ subjects; 70% for two; 100% for one</w:t>
            </w:r>
          </w:p>
        </w:tc>
      </w:tr>
      <w:tr>
        <w:trPr>
          <w:cantSplit/>
        </w:trPr>
        <w:tc>
          <w:tcPr>
            <w:tcW w:type="dxa" w:w="2665"/>
            <w:vAlign w:val="center"/>
            <w:tcBorders>
              <w:bottom w:val="single" w:sz="5" w:color="D5DFE8"/>
            </w:tcBorders>
          </w:tcPr>
          <w:p>
            <w:pPr>
              <w:spacing w:after="0" w:before="20"/>
            </w:pPr>
            <w:r>
              <w:rPr>
                <w:b/>
                <w:sz w:val="16"/>
              </w:rPr>
              <w:t>Subject coverage</w:t>
            </w:r>
          </w:p>
        </w:tc>
        <w:tc>
          <w:tcPr>
            <w:tcW w:type="dxa" w:w="6605"/>
            <w:vAlign w:val="center"/>
            <w:tcBorders>
              <w:bottom w:val="single" w:sz="5" w:color="D5DFE8"/>
            </w:tcBorders>
          </w:tcPr>
          <w:p>
            <w:pPr>
              <w:spacing w:after="0" w:before="20"/>
            </w:pPr>
            <w:r>
              <w:rPr>
                <w:sz w:val="16"/>
              </w:rPr>
              <w:t>At least one session for each subject when total available slots permit</w:t>
            </w:r>
          </w:p>
        </w:tc>
      </w:tr>
      <w:tr>
        <w:trPr>
          <w:cantSplit/>
        </w:trPr>
        <w:tc>
          <w:tcPr>
            <w:tcW w:type="dxa" w:w="2665"/>
            <w:vAlign w:val="center"/>
            <w:shd w:fill="F5F8FB"/>
            <w:tcBorders>
              <w:bottom w:val="single" w:sz="5" w:color="D5DFE8"/>
            </w:tcBorders>
          </w:tcPr>
          <w:p>
            <w:pPr>
              <w:spacing w:after="0" w:before="20"/>
            </w:pPr>
            <w:r>
              <w:rPr>
                <w:b/>
                <w:sz w:val="16"/>
              </w:rPr>
              <w:t>Practical availability</w:t>
            </w:r>
          </w:p>
        </w:tc>
        <w:tc>
          <w:tcPr>
            <w:tcW w:type="dxa" w:w="6605"/>
            <w:vAlign w:val="center"/>
            <w:shd w:fill="F5F8FB"/>
            <w:tcBorders>
              <w:bottom w:val="single" w:sz="5" w:color="D5DFE8"/>
            </w:tcBorders>
          </w:tcPr>
          <w:p>
            <w:pPr>
              <w:spacing w:after="0" w:before="20"/>
            </w:pPr>
            <w:r>
              <w:rPr>
                <w:sz w:val="16"/>
              </w:rPr>
              <w:t>Only schedule within declared availability windows</w:t>
            </w:r>
          </w:p>
        </w:tc>
      </w:tr>
    </w:tbl>
    <w:p>
      <w:pPr>
        <w:spacing w:after="0"/>
      </w:pPr>
    </w:p>
    <w:p>
      <w:r>
        <w:t>The reference engine awards a pre-exam preference, but does not yet impose a hard "all revision before examination" deadline. A production scheduler that promises exam-specific guarantees should add a dated assessment constraint and use a constrained optimization solver.</w:t>
      </w:r>
    </w:p>
    <w:p>
      <w:pPr>
        <w:pStyle w:val="Heading1"/>
      </w:pPr>
      <w:r>
        <w:t>5. Adaptive statistical learning</w:t>
      </w:r>
    </w:p>
    <w:p>
      <w:r>
        <w:t>A preference score alone is a static heuristic. ASLS adds an intentionally modest statistical feedback loop. For each consecutive pair of grade observations for the same student and subject, between 3 and 45 days apart, it sums actual completed study minutes strictly after the earlier grade and on or before the later grade. At least 30 minutes must have been logged.</w:t>
      </w:r>
    </w:p>
    <w:p>
      <w:pPr>
        <w:pStyle w:val="Formula"/>
        <w:shd w:fill="F5F8FB"/>
      </w:pPr>
      <w:r>
        <w:t>observed_gain_per_hour = clip((score_after - score_before) / actual_hours, -3, +6)</w:t>
      </w:r>
    </w:p>
    <w:p>
      <w:r>
        <w:t>This is an association, not a causal effect. To reduce instability, subject estimates are shrunk toward 1.0 score point per hour with eight pseudo-observations; student-subject estimates are then shrunk toward the subject estimate with five pseudo-observations:</w:t>
      </w:r>
    </w:p>
    <w:p>
      <w:pPr>
        <w:pStyle w:val="Formula"/>
        <w:shd w:fill="F5F8FB"/>
      </w:pPr>
      <w:r>
        <w:t>mu_subject = (8 * 1.0 + sum(g_subject)) / (8 + n_subject)</w:t>
      </w:r>
    </w:p>
    <w:p>
      <w:pPr>
        <w:pStyle w:val="Formula"/>
        <w:shd w:fill="F5F8FB"/>
      </w:pPr>
      <w:r>
        <w:t>mu_student_subject = (5 * mu_subject + sum(g_student_subject)) / (5 + n_student_subject)</w:t>
      </w:r>
    </w:p>
    <w:p>
      <w:pPr>
        <w:pStyle w:val="Formula"/>
        <w:shd w:fill="F5F8FB"/>
      </w:pPr>
      <w:r>
        <w:t>L_ij = clip(1 + 0.18 * (mu_student_subject - 1.0), 0.80, 1.20)</w:t>
      </w:r>
    </w:p>
    <w:p>
      <w:r>
        <w:t>The engine recalculates these smoothed estimates when new observations arrive; it is "self-improving" only to the extent that accurate and sufficiently numerous new grades and actual study logs are entered. The multiplier cannot be used to withhold all practice from students whose historical results appear difficult to improve. Data without completed study logs produces no training events.</w:t>
      </w:r>
    </w:p>
    <w:p>
      <w:r>
        <w:t>Important limitations include varying test difficulty, incomplete logs, regression to the mean, simultaneous classroom teaching, motivation and the absence of a randomized control. For a genuine predicted causal response to extra study time, use a carefully evaluated treatment effect or randomized intervention design in a later phase.</w:t>
      </w:r>
    </w:p>
    <w:p>
      <w:pPr>
        <w:pStyle w:val="Heading1"/>
      </w:pPr>
      <w:r>
        <w:t>6. End-to-end pipeline</w:t>
      </w:r>
    </w:p>
    <w:tbl>
      <w:tblPr>
        <w:tblW w:type="auto" w:w="0"/>
        <w:jc w:val="center"/>
        <w:tblLayout w:type="fixed"/>
        <w:tblLook w:firstColumn="1" w:firstRow="1" w:lastColumn="0" w:lastRow="0" w:noHBand="0" w:noVBand="1" w:val="04A0"/>
      </w:tblPr>
      <w:tblGrid>
        <w:gridCol w:w="1247"/>
        <w:gridCol w:w="4677"/>
        <w:gridCol w:w="3345"/>
      </w:tblGrid>
      <w:tr>
        <w:trPr>
          <w:tblHeader w:val="true"/>
        </w:trPr>
        <w:tc>
          <w:tcPr>
            <w:tcW w:type="dxa" w:w="3256"/>
            <w:shd w:fill="152845"/>
            <w:vAlign w:val="center"/>
          </w:tcPr>
          <w:p>
            <w:pPr>
              <w:spacing w:after="0"/>
            </w:pPr>
            <w:r>
              <w:rPr>
                <w:b/>
                <w:color w:val="FFFFFF"/>
                <w:sz w:val="16"/>
              </w:rPr>
              <w:t>Stage</w:t>
            </w:r>
          </w:p>
        </w:tc>
        <w:tc>
          <w:tcPr>
            <w:tcW w:type="dxa" w:w="3256"/>
            <w:shd w:fill="152845"/>
            <w:vAlign w:val="center"/>
          </w:tcPr>
          <w:p>
            <w:pPr>
              <w:spacing w:after="0"/>
            </w:pPr>
            <w:r>
              <w:rPr>
                <w:b/>
                <w:color w:val="FFFFFF"/>
                <w:sz w:val="16"/>
              </w:rPr>
              <w:t>Primary responsibility</w:t>
            </w:r>
          </w:p>
        </w:tc>
        <w:tc>
          <w:tcPr>
            <w:tcW w:type="dxa" w:w="3256"/>
            <w:shd w:fill="152845"/>
            <w:vAlign w:val="center"/>
          </w:tcPr>
          <w:p>
            <w:pPr>
              <w:spacing w:after="0"/>
            </w:pPr>
            <w:r>
              <w:rPr>
                <w:b/>
                <w:color w:val="FFFFFF"/>
                <w:sz w:val="16"/>
              </w:rPr>
              <w:t>Implementation</w:t>
            </w:r>
          </w:p>
        </w:tc>
      </w:tr>
      <w:tr>
        <w:trPr>
          <w:cantSplit/>
        </w:trPr>
        <w:tc>
          <w:tcPr>
            <w:tcW w:type="dxa" w:w="1247"/>
            <w:vAlign w:val="center"/>
            <w:tcBorders>
              <w:bottom w:val="single" w:sz="5" w:color="D5DFE8"/>
            </w:tcBorders>
          </w:tcPr>
          <w:p>
            <w:pPr>
              <w:spacing w:after="0" w:before="20"/>
            </w:pPr>
            <w:r>
              <w:rPr>
                <w:b/>
                <w:sz w:val="15"/>
              </w:rPr>
              <w:t>1. Ingestion</w:t>
            </w:r>
          </w:p>
        </w:tc>
        <w:tc>
          <w:tcPr>
            <w:tcW w:type="dxa" w:w="4677"/>
            <w:vAlign w:val="center"/>
            <w:tcBorders>
              <w:bottom w:val="single" w:sz="5" w:color="D5DFE8"/>
            </w:tcBorders>
          </w:tcPr>
          <w:p>
            <w:pPr>
              <w:spacing w:after="0" w:before="20"/>
            </w:pPr>
            <w:r>
              <w:rPr>
                <w:sz w:val="15"/>
              </w:rPr>
              <w:t>Resolve grades, enrollments, availability, timetable, exams, logged study</w:t>
            </w:r>
          </w:p>
        </w:tc>
        <w:tc>
          <w:tcPr>
            <w:tcW w:type="dxa" w:w="3345"/>
            <w:vAlign w:val="center"/>
            <w:tcBorders>
              <w:bottom w:val="single" w:sz="5" w:color="D5DFE8"/>
            </w:tcBorders>
          </w:tcPr>
          <w:p>
            <w:pPr>
              <w:spacing w:after="0" w:before="20"/>
            </w:pPr>
            <w:r>
              <w:rPr>
                <w:sz w:val="15"/>
              </w:rPr>
              <w:t>MySQLStore / MongoStore</w:t>
            </w:r>
          </w:p>
        </w:tc>
      </w:tr>
      <w:tr>
        <w:trPr>
          <w:cantSplit/>
        </w:trPr>
        <w:tc>
          <w:tcPr>
            <w:tcW w:type="dxa" w:w="1247"/>
            <w:vAlign w:val="center"/>
            <w:shd w:fill="F5F8FB"/>
            <w:tcBorders>
              <w:bottom w:val="single" w:sz="5" w:color="D5DFE8"/>
            </w:tcBorders>
          </w:tcPr>
          <w:p>
            <w:pPr>
              <w:spacing w:after="0" w:before="20"/>
            </w:pPr>
            <w:r>
              <w:rPr>
                <w:b/>
                <w:sz w:val="15"/>
              </w:rPr>
              <w:t>2. Cutoff</w:t>
            </w:r>
          </w:p>
        </w:tc>
        <w:tc>
          <w:tcPr>
            <w:tcW w:type="dxa" w:w="4677"/>
            <w:vAlign w:val="center"/>
            <w:shd w:fill="F5F8FB"/>
            <w:tcBorders>
              <w:bottom w:val="single" w:sz="5" w:color="D5DFE8"/>
            </w:tcBorders>
          </w:tcPr>
          <w:p>
            <w:pPr>
              <w:spacing w:after="0" w:before="20"/>
            </w:pPr>
            <w:r>
              <w:rPr>
                <w:sz w:val="15"/>
              </w:rPr>
              <w:t>Ignore observations after the week-start Monday</w:t>
            </w:r>
          </w:p>
        </w:tc>
        <w:tc>
          <w:tcPr>
            <w:tcW w:type="dxa" w:w="3345"/>
            <w:vAlign w:val="center"/>
            <w:shd w:fill="F5F8FB"/>
            <w:tcBorders>
              <w:bottom w:val="single" w:sz="5" w:color="D5DFE8"/>
            </w:tcBorders>
          </w:tcPr>
          <w:p>
            <w:pPr>
              <w:spacing w:after="0" w:before="20"/>
            </w:pPr>
            <w:r>
              <w:rPr>
                <w:sz w:val="15"/>
              </w:rPr>
              <w:t>service + adapters</w:t>
            </w:r>
          </w:p>
        </w:tc>
      </w:tr>
      <w:tr>
        <w:trPr>
          <w:cantSplit/>
        </w:trPr>
        <w:tc>
          <w:tcPr>
            <w:tcW w:type="dxa" w:w="1247"/>
            <w:vAlign w:val="center"/>
            <w:tcBorders>
              <w:bottom w:val="single" w:sz="5" w:color="D5DFE8"/>
            </w:tcBorders>
          </w:tcPr>
          <w:p>
            <w:pPr>
              <w:spacing w:after="0" w:before="20"/>
            </w:pPr>
            <w:r>
              <w:rPr>
                <w:b/>
                <w:sz w:val="15"/>
              </w:rPr>
              <w:t>3. Learning</w:t>
            </w:r>
          </w:p>
        </w:tc>
        <w:tc>
          <w:tcPr>
            <w:tcW w:type="dxa" w:w="4677"/>
            <w:vAlign w:val="center"/>
            <w:tcBorders>
              <w:bottom w:val="single" w:sz="5" w:color="D5DFE8"/>
            </w:tcBorders>
          </w:tcPr>
          <w:p>
            <w:pPr>
              <w:spacing w:after="0" w:before="20"/>
            </w:pPr>
            <w:r>
              <w:rPr>
                <w:sz w:val="15"/>
              </w:rPr>
              <w:t>Pair dated grade changes with observed study logs</w:t>
            </w:r>
          </w:p>
        </w:tc>
        <w:tc>
          <w:tcPr>
            <w:tcW w:type="dxa" w:w="3345"/>
            <w:vAlign w:val="center"/>
            <w:tcBorders>
              <w:bottom w:val="single" w:sz="5" w:color="D5DFE8"/>
            </w:tcBorders>
          </w:tcPr>
          <w:p>
            <w:pPr>
              <w:spacing w:after="0" w:before="20"/>
            </w:pPr>
            <w:r>
              <w:rPr>
                <w:sz w:val="15"/>
              </w:rPr>
              <w:t>learning.py</w:t>
            </w:r>
          </w:p>
        </w:tc>
      </w:tr>
      <w:tr>
        <w:trPr>
          <w:cantSplit/>
        </w:trPr>
        <w:tc>
          <w:tcPr>
            <w:tcW w:type="dxa" w:w="1247"/>
            <w:vAlign w:val="center"/>
            <w:shd w:fill="F5F8FB"/>
            <w:tcBorders>
              <w:bottom w:val="single" w:sz="5" w:color="D5DFE8"/>
            </w:tcBorders>
          </w:tcPr>
          <w:p>
            <w:pPr>
              <w:spacing w:after="0" w:before="20"/>
            </w:pPr>
            <w:r>
              <w:rPr>
                <w:b/>
                <w:sz w:val="15"/>
              </w:rPr>
              <w:t>4. Priority</w:t>
            </w:r>
          </w:p>
        </w:tc>
        <w:tc>
          <w:tcPr>
            <w:tcW w:type="dxa" w:w="4677"/>
            <w:vAlign w:val="center"/>
            <w:shd w:fill="F5F8FB"/>
            <w:tcBorders>
              <w:bottom w:val="single" w:sz="5" w:color="D5DFE8"/>
            </w:tcBorders>
          </w:tcPr>
          <w:p>
            <w:pPr>
              <w:spacing w:after="0" w:before="20"/>
            </w:pPr>
            <w:r>
              <w:rPr>
                <w:sz w:val="15"/>
              </w:rPr>
              <w:t>Compute mastery, trend, context, bounded L and reason codes</w:t>
            </w:r>
          </w:p>
        </w:tc>
        <w:tc>
          <w:tcPr>
            <w:tcW w:type="dxa" w:w="3345"/>
            <w:vAlign w:val="center"/>
            <w:shd w:fill="F5F8FB"/>
            <w:tcBorders>
              <w:bottom w:val="single" w:sz="5" w:color="D5DFE8"/>
            </w:tcBorders>
          </w:tcPr>
          <w:p>
            <w:pPr>
              <w:spacing w:after="0" w:before="20"/>
            </w:pPr>
            <w:r>
              <w:rPr>
                <w:sz w:val="15"/>
              </w:rPr>
              <w:t>core.py</w:t>
            </w:r>
          </w:p>
        </w:tc>
      </w:tr>
      <w:tr>
        <w:trPr>
          <w:cantSplit/>
        </w:trPr>
        <w:tc>
          <w:tcPr>
            <w:tcW w:type="dxa" w:w="1247"/>
            <w:vAlign w:val="center"/>
            <w:tcBorders>
              <w:bottom w:val="single" w:sz="5" w:color="D5DFE8"/>
            </w:tcBorders>
          </w:tcPr>
          <w:p>
            <w:pPr>
              <w:spacing w:after="0" w:before="20"/>
            </w:pPr>
            <w:r>
              <w:rPr>
                <w:b/>
                <w:sz w:val="15"/>
              </w:rPr>
              <w:t>5. Scheduling</w:t>
            </w:r>
          </w:p>
        </w:tc>
        <w:tc>
          <w:tcPr>
            <w:tcW w:type="dxa" w:w="4677"/>
            <w:vAlign w:val="center"/>
            <w:tcBorders>
              <w:bottom w:val="single" w:sz="5" w:color="D5DFE8"/>
            </w:tcBorders>
          </w:tcPr>
          <w:p>
            <w:pPr>
              <w:spacing w:after="0" w:before="20"/>
            </w:pPr>
            <w:r>
              <w:rPr>
                <w:sz w:val="15"/>
              </w:rPr>
              <w:t>Remove conflicts, spread feasible slots, select marginal best subject</w:t>
            </w:r>
          </w:p>
        </w:tc>
        <w:tc>
          <w:tcPr>
            <w:tcW w:type="dxa" w:w="3345"/>
            <w:vAlign w:val="center"/>
            <w:tcBorders>
              <w:bottom w:val="single" w:sz="5" w:color="D5DFE8"/>
            </w:tcBorders>
          </w:tcPr>
          <w:p>
            <w:pPr>
              <w:spacing w:after="0" w:before="20"/>
            </w:pPr>
            <w:r>
              <w:rPr>
                <w:sz w:val="15"/>
              </w:rPr>
              <w:t>core.py</w:t>
            </w:r>
          </w:p>
        </w:tc>
      </w:tr>
      <w:tr>
        <w:trPr>
          <w:cantSplit/>
        </w:trPr>
        <w:tc>
          <w:tcPr>
            <w:tcW w:type="dxa" w:w="1247"/>
            <w:vAlign w:val="center"/>
            <w:shd w:fill="F5F8FB"/>
            <w:tcBorders>
              <w:bottom w:val="single" w:sz="5" w:color="D5DFE8"/>
            </w:tcBorders>
          </w:tcPr>
          <w:p>
            <w:pPr>
              <w:spacing w:after="0" w:before="20"/>
            </w:pPr>
            <w:r>
              <w:rPr>
                <w:b/>
                <w:sz w:val="15"/>
              </w:rPr>
              <w:t>6. Persistence</w:t>
            </w:r>
          </w:p>
        </w:tc>
        <w:tc>
          <w:tcPr>
            <w:tcW w:type="dxa" w:w="4677"/>
            <w:vAlign w:val="center"/>
            <w:shd w:fill="F5F8FB"/>
            <w:tcBorders>
              <w:bottom w:val="single" w:sz="5" w:color="D5DFE8"/>
            </w:tcBorders>
          </w:tcPr>
          <w:p>
            <w:pPr>
              <w:spacing w:after="0" w:before="20"/>
            </w:pPr>
            <w:r>
              <w:rPr>
                <w:sz w:val="15"/>
              </w:rPr>
              <w:t>Store per-week allocations and recommended appointments</w:t>
            </w:r>
          </w:p>
        </w:tc>
        <w:tc>
          <w:tcPr>
            <w:tcW w:type="dxa" w:w="3345"/>
            <w:vAlign w:val="center"/>
            <w:shd w:fill="F5F8FB"/>
            <w:tcBorders>
              <w:bottom w:val="single" w:sz="5" w:color="D5DFE8"/>
            </w:tcBorders>
          </w:tcPr>
          <w:p>
            <w:pPr>
              <w:spacing w:after="0" w:before="20"/>
            </w:pPr>
            <w:r>
              <w:rPr>
                <w:sz w:val="15"/>
              </w:rPr>
              <w:t>store.save_plan</w:t>
            </w:r>
          </w:p>
        </w:tc>
      </w:tr>
      <w:tr>
        <w:trPr>
          <w:cantSplit/>
        </w:trPr>
        <w:tc>
          <w:tcPr>
            <w:tcW w:type="dxa" w:w="1247"/>
            <w:vAlign w:val="center"/>
            <w:tcBorders>
              <w:bottom w:val="single" w:sz="5" w:color="D5DFE8"/>
            </w:tcBorders>
          </w:tcPr>
          <w:p>
            <w:pPr>
              <w:spacing w:after="0" w:before="20"/>
            </w:pPr>
            <w:r>
              <w:rPr>
                <w:b/>
                <w:sz w:val="15"/>
              </w:rPr>
              <w:t>7. Delivery</w:t>
            </w:r>
          </w:p>
        </w:tc>
        <w:tc>
          <w:tcPr>
            <w:tcW w:type="dxa" w:w="4677"/>
            <w:vAlign w:val="center"/>
            <w:tcBorders>
              <w:bottom w:val="single" w:sz="5" w:color="D5DFE8"/>
            </w:tcBorders>
          </w:tcPr>
          <w:p>
            <w:pPr>
              <w:spacing w:after="0" w:before="20"/>
            </w:pPr>
            <w:r>
              <w:rPr>
                <w:sz w:val="15"/>
              </w:rPr>
              <w:t>Emit JSON plan and aggregated teacher view</w:t>
            </w:r>
          </w:p>
        </w:tc>
        <w:tc>
          <w:tcPr>
            <w:tcW w:type="dxa" w:w="3345"/>
            <w:vAlign w:val="center"/>
            <w:tcBorders>
              <w:bottom w:val="single" w:sz="5" w:color="D5DFE8"/>
            </w:tcBorders>
          </w:tcPr>
          <w:p>
            <w:pPr>
              <w:spacing w:after="0" w:before="20"/>
            </w:pPr>
            <w:r>
              <w:rPr>
                <w:sz w:val="15"/>
              </w:rPr>
              <w:t>CLI / FastAPI</w:t>
            </w:r>
          </w:p>
        </w:tc>
      </w:tr>
    </w:tbl>
    <w:p>
      <w:pPr>
        <w:spacing w:after="0"/>
      </w:pPr>
    </w:p>
    <w:p>
      <w:pPr>
        <w:pStyle w:val="Heading2"/>
      </w:pPr>
      <w:r>
        <w:t>6.1 Pseudocode</w:t>
      </w:r>
    </w:p>
    <w:p>
      <w:pPr>
        <w:pStyle w:val="Formula"/>
        <w:shd w:fill="F5F8FB"/>
      </w:pPr>
      <w:r>
        <w:t>for student in class:</w:t>
        <w:br/>
        <w:t xml:space="preserve">  history, logs, availability, classes, exams = read_db(student)</w:t>
        <w:br/>
        <w:t xml:space="preserve">  L = derive_outcomes_and_shrunk_rates(history, logs, cutoff)</w:t>
        <w:br/>
        <w:t xml:space="preserve">  P = score_each_enrolled_subject(history, exams, classes, L)</w:t>
        <w:br/>
        <w:t xml:space="preserve">  slots = subtract_class_and_space_study_windows(availability, classes)</w:t>
        <w:br/>
        <w:t xml:space="preserve">  slots = spread_across_week_and_apply_daily_weekly_limits(slots)</w:t>
        <w:br/>
        <w:t xml:space="preserve">  for slot in slots:</w:t>
        <w:br/>
        <w:t xml:space="preserve">    subject = argmax_eligible_marginal_utility(P, current_allocations, slot)</w:t>
        <w:br/>
        <w:t xml:space="preserve">    append_recommendation(subject, slot, explanation)</w:t>
        <w:br/>
        <w:t xml:space="preserve">  save_one_student_week(plan)</w:t>
      </w:r>
    </w:p>
    <w:p>
      <w:pPr>
        <w:pStyle w:val="Heading1"/>
      </w:pPr>
      <w:r>
        <w:t>7. Synthetic reference experiment</w:t>
      </w:r>
    </w:p>
    <w:p>
      <w:r>
        <w:t>The accompanying project includes two invented students with identical classroom timetables but different score profiles. This section reports output generated by the executable engine for the week beginning 19 October 2026. Results are illustrative of system behavior; they are not measurements of real learning improvement.</w:t>
      </w:r>
    </w:p>
    <w:tbl>
      <w:tblPr>
        <w:tblW w:type="auto" w:w="0"/>
        <w:jc w:val="center"/>
        <w:tblLayout w:type="fixed"/>
        <w:tblLook w:firstColumn="1" w:firstRow="1" w:lastColumn="0" w:lastRow="0" w:noHBand="0" w:noVBand="1" w:val="04A0"/>
      </w:tblPr>
      <w:tblGrid>
        <w:gridCol w:w="1928"/>
        <w:gridCol w:w="1984"/>
        <w:gridCol w:w="1474"/>
        <w:gridCol w:w="1984"/>
        <w:gridCol w:w="1899"/>
      </w:tblGrid>
      <w:tr>
        <w:trPr>
          <w:tblHeader w:val="true"/>
        </w:trPr>
        <w:tc>
          <w:tcPr>
            <w:tcW w:type="dxa" w:w="1954"/>
            <w:shd w:fill="152845"/>
            <w:vAlign w:val="center"/>
          </w:tcPr>
          <w:p>
            <w:pPr>
              <w:spacing w:after="0"/>
            </w:pPr>
            <w:r>
              <w:rPr>
                <w:b/>
                <w:color w:val="FFFFFF"/>
                <w:sz w:val="16"/>
              </w:rPr>
              <w:t>Subject</w:t>
            </w:r>
          </w:p>
        </w:tc>
        <w:tc>
          <w:tcPr>
            <w:tcW w:type="dxa" w:w="1954"/>
            <w:shd w:fill="152845"/>
            <w:vAlign w:val="center"/>
          </w:tcPr>
          <w:p>
            <w:pPr>
              <w:spacing w:after="0"/>
            </w:pPr>
            <w:r>
              <w:rPr>
                <w:b/>
                <w:color w:val="FFFFFF"/>
                <w:sz w:val="16"/>
              </w:rPr>
              <w:t>Student A mastery</w:t>
            </w:r>
          </w:p>
        </w:tc>
        <w:tc>
          <w:tcPr>
            <w:tcW w:type="dxa" w:w="1954"/>
            <w:shd w:fill="152845"/>
            <w:vAlign w:val="center"/>
          </w:tcPr>
          <w:p>
            <w:pPr>
              <w:spacing w:after="0"/>
            </w:pPr>
            <w:r>
              <w:rPr>
                <w:b/>
                <w:color w:val="FFFFFF"/>
                <w:sz w:val="16"/>
              </w:rPr>
              <w:t>A: study</w:t>
            </w:r>
          </w:p>
        </w:tc>
        <w:tc>
          <w:tcPr>
            <w:tcW w:type="dxa" w:w="1954"/>
            <w:shd w:fill="152845"/>
            <w:vAlign w:val="center"/>
          </w:tcPr>
          <w:p>
            <w:pPr>
              <w:spacing w:after="0"/>
            </w:pPr>
            <w:r>
              <w:rPr>
                <w:b/>
                <w:color w:val="FFFFFF"/>
                <w:sz w:val="16"/>
              </w:rPr>
              <w:t>Student B mastery</w:t>
            </w:r>
          </w:p>
        </w:tc>
        <w:tc>
          <w:tcPr>
            <w:tcW w:type="dxa" w:w="1954"/>
            <w:shd w:fill="152845"/>
            <w:vAlign w:val="center"/>
          </w:tcPr>
          <w:p>
            <w:pPr>
              <w:spacing w:after="0"/>
            </w:pPr>
            <w:r>
              <w:rPr>
                <w:b/>
                <w:color w:val="FFFFFF"/>
                <w:sz w:val="16"/>
              </w:rPr>
              <w:t>B: study</w:t>
            </w:r>
          </w:p>
        </w:tc>
      </w:tr>
      <w:tr>
        <w:trPr>
          <w:cantSplit/>
        </w:trPr>
        <w:tc>
          <w:tcPr>
            <w:tcW w:type="dxa" w:w="1928"/>
            <w:vAlign w:val="center"/>
            <w:tcBorders>
              <w:bottom w:val="single" w:sz="5" w:color="D5DFE8"/>
            </w:tcBorders>
          </w:tcPr>
          <w:p>
            <w:pPr>
              <w:spacing w:after="0" w:before="20"/>
            </w:pPr>
            <w:r>
              <w:rPr>
                <w:b/>
                <w:sz w:val="15"/>
              </w:rPr>
              <w:t>English</w:t>
            </w:r>
          </w:p>
        </w:tc>
        <w:tc>
          <w:tcPr>
            <w:tcW w:type="dxa" w:w="1984"/>
            <w:vAlign w:val="center"/>
            <w:tcBorders>
              <w:bottom w:val="single" w:sz="5" w:color="D5DFE8"/>
            </w:tcBorders>
          </w:tcPr>
          <w:p>
            <w:pPr>
              <w:spacing w:after="0" w:before="20"/>
            </w:pPr>
            <w:r>
              <w:rPr>
                <w:sz w:val="15"/>
              </w:rPr>
              <w:t>90.1%</w:t>
            </w:r>
          </w:p>
        </w:tc>
        <w:tc>
          <w:tcPr>
            <w:tcW w:type="dxa" w:w="1474"/>
            <w:vAlign w:val="center"/>
            <w:tcBorders>
              <w:bottom w:val="single" w:sz="5" w:color="D5DFE8"/>
            </w:tcBorders>
          </w:tcPr>
          <w:p>
            <w:pPr>
              <w:spacing w:after="0" w:before="20"/>
            </w:pPr>
            <w:r>
              <w:rPr>
                <w:sz w:val="15"/>
              </w:rPr>
              <w:t>0.5 h</w:t>
            </w:r>
          </w:p>
        </w:tc>
        <w:tc>
          <w:tcPr>
            <w:tcW w:type="dxa" w:w="1984"/>
            <w:vAlign w:val="center"/>
            <w:tcBorders>
              <w:bottom w:val="single" w:sz="5" w:color="D5DFE8"/>
            </w:tcBorders>
          </w:tcPr>
          <w:p>
            <w:pPr>
              <w:spacing w:after="0" w:before="20"/>
            </w:pPr>
            <w:r>
              <w:rPr>
                <w:sz w:val="15"/>
              </w:rPr>
              <w:t>58.5%</w:t>
            </w:r>
          </w:p>
        </w:tc>
        <w:tc>
          <w:tcPr>
            <w:tcW w:type="dxa" w:w="1899"/>
            <w:vAlign w:val="center"/>
            <w:tcBorders>
              <w:bottom w:val="single" w:sz="5" w:color="D5DFE8"/>
            </w:tcBorders>
          </w:tcPr>
          <w:p>
            <w:pPr>
              <w:spacing w:after="0" w:before="20"/>
            </w:pPr>
            <w:r>
              <w:rPr>
                <w:sz w:val="15"/>
              </w:rPr>
              <w:t>2.5 h</w:t>
            </w:r>
          </w:p>
        </w:tc>
      </w:tr>
      <w:tr>
        <w:trPr>
          <w:cantSplit/>
        </w:trPr>
        <w:tc>
          <w:tcPr>
            <w:tcW w:type="dxa" w:w="1928"/>
            <w:vAlign w:val="center"/>
            <w:shd w:fill="F5F8FB"/>
            <w:tcBorders>
              <w:bottom w:val="single" w:sz="5" w:color="D5DFE8"/>
            </w:tcBorders>
          </w:tcPr>
          <w:p>
            <w:pPr>
              <w:spacing w:after="0" w:before="20"/>
            </w:pPr>
            <w:r>
              <w:rPr>
                <w:b/>
                <w:sz w:val="15"/>
              </w:rPr>
              <w:t>Mathematics</w:t>
            </w:r>
          </w:p>
        </w:tc>
        <w:tc>
          <w:tcPr>
            <w:tcW w:type="dxa" w:w="1984"/>
            <w:vAlign w:val="center"/>
            <w:shd w:fill="F5F8FB"/>
            <w:tcBorders>
              <w:bottom w:val="single" w:sz="5" w:color="D5DFE8"/>
            </w:tcBorders>
          </w:tcPr>
          <w:p>
            <w:pPr>
              <w:spacing w:after="0" w:before="20"/>
            </w:pPr>
            <w:r>
              <w:rPr>
                <w:sz w:val="15"/>
              </w:rPr>
              <w:t>68.7%</w:t>
            </w:r>
          </w:p>
        </w:tc>
        <w:tc>
          <w:tcPr>
            <w:tcW w:type="dxa" w:w="1474"/>
            <w:vAlign w:val="center"/>
            <w:shd w:fill="F5F8FB"/>
            <w:tcBorders>
              <w:bottom w:val="single" w:sz="5" w:color="D5DFE8"/>
            </w:tcBorders>
          </w:tcPr>
          <w:p>
            <w:pPr>
              <w:spacing w:after="0" w:before="20"/>
            </w:pPr>
            <w:r>
              <w:rPr>
                <w:sz w:val="15"/>
              </w:rPr>
              <w:t>2 h</w:t>
            </w:r>
          </w:p>
        </w:tc>
        <w:tc>
          <w:tcPr>
            <w:tcW w:type="dxa" w:w="1984"/>
            <w:vAlign w:val="center"/>
            <w:shd w:fill="F5F8FB"/>
            <w:tcBorders>
              <w:bottom w:val="single" w:sz="5" w:color="D5DFE8"/>
            </w:tcBorders>
          </w:tcPr>
          <w:p>
            <w:pPr>
              <w:spacing w:after="0" w:before="20"/>
            </w:pPr>
            <w:r>
              <w:rPr>
                <w:sz w:val="15"/>
              </w:rPr>
              <w:t>83.1%</w:t>
            </w:r>
          </w:p>
        </w:tc>
        <w:tc>
          <w:tcPr>
            <w:tcW w:type="dxa" w:w="1899"/>
            <w:vAlign w:val="center"/>
            <w:shd w:fill="F5F8FB"/>
            <w:tcBorders>
              <w:bottom w:val="single" w:sz="5" w:color="D5DFE8"/>
            </w:tcBorders>
          </w:tcPr>
          <w:p>
            <w:pPr>
              <w:spacing w:after="0" w:before="20"/>
            </w:pPr>
            <w:r>
              <w:rPr>
                <w:sz w:val="15"/>
              </w:rPr>
              <w:t>0.5 h</w:t>
            </w:r>
          </w:p>
        </w:tc>
      </w:tr>
      <w:tr>
        <w:trPr>
          <w:cantSplit/>
        </w:trPr>
        <w:tc>
          <w:tcPr>
            <w:tcW w:type="dxa" w:w="1928"/>
            <w:vAlign w:val="center"/>
            <w:tcBorders>
              <w:bottom w:val="single" w:sz="5" w:color="D5DFE8"/>
            </w:tcBorders>
          </w:tcPr>
          <w:p>
            <w:pPr>
              <w:spacing w:after="0" w:before="20"/>
            </w:pPr>
            <w:r>
              <w:rPr>
                <w:b/>
                <w:sz w:val="15"/>
              </w:rPr>
              <w:t>Physics</w:t>
            </w:r>
          </w:p>
        </w:tc>
        <w:tc>
          <w:tcPr>
            <w:tcW w:type="dxa" w:w="1984"/>
            <w:vAlign w:val="center"/>
            <w:tcBorders>
              <w:bottom w:val="single" w:sz="5" w:color="D5DFE8"/>
            </w:tcBorders>
          </w:tcPr>
          <w:p>
            <w:pPr>
              <w:spacing w:after="0" w:before="20"/>
            </w:pPr>
            <w:r>
              <w:rPr>
                <w:sz w:val="15"/>
              </w:rPr>
              <w:t>59.6%</w:t>
            </w:r>
          </w:p>
        </w:tc>
        <w:tc>
          <w:tcPr>
            <w:tcW w:type="dxa" w:w="1474"/>
            <w:vAlign w:val="center"/>
            <w:tcBorders>
              <w:bottom w:val="single" w:sz="5" w:color="D5DFE8"/>
            </w:tcBorders>
          </w:tcPr>
          <w:p>
            <w:pPr>
              <w:spacing w:after="0" w:before="20"/>
            </w:pPr>
            <w:r>
              <w:rPr>
                <w:sz w:val="15"/>
              </w:rPr>
              <w:t>3.5 h</w:t>
            </w:r>
          </w:p>
        </w:tc>
        <w:tc>
          <w:tcPr>
            <w:tcW w:type="dxa" w:w="1984"/>
            <w:vAlign w:val="center"/>
            <w:tcBorders>
              <w:bottom w:val="single" w:sz="5" w:color="D5DFE8"/>
            </w:tcBorders>
          </w:tcPr>
          <w:p>
            <w:pPr>
              <w:spacing w:after="0" w:before="20"/>
            </w:pPr>
            <w:r>
              <w:rPr>
                <w:sz w:val="15"/>
              </w:rPr>
              <w:t>90.1%</w:t>
            </w:r>
          </w:p>
        </w:tc>
        <w:tc>
          <w:tcPr>
            <w:tcW w:type="dxa" w:w="1899"/>
            <w:vAlign w:val="center"/>
            <w:tcBorders>
              <w:bottom w:val="single" w:sz="5" w:color="D5DFE8"/>
            </w:tcBorders>
          </w:tcPr>
          <w:p>
            <w:pPr>
              <w:spacing w:after="0" w:before="20"/>
            </w:pPr>
            <w:r>
              <w:rPr>
                <w:sz w:val="15"/>
              </w:rPr>
              <w:t>2 h</w:t>
            </w:r>
          </w:p>
        </w:tc>
      </w:tr>
      <w:tr>
        <w:trPr>
          <w:cantSplit/>
        </w:trPr>
        <w:tc>
          <w:tcPr>
            <w:tcW w:type="dxa" w:w="1928"/>
            <w:vAlign w:val="center"/>
            <w:shd w:fill="F5F8FB"/>
            <w:tcBorders>
              <w:bottom w:val="single" w:sz="5" w:color="D5DFE8"/>
            </w:tcBorders>
          </w:tcPr>
          <w:p>
            <w:pPr>
              <w:spacing w:after="0" w:before="20"/>
            </w:pPr>
            <w:r>
              <w:rPr>
                <w:b/>
                <w:sz w:val="15"/>
              </w:rPr>
              <w:t>Chemistry</w:t>
            </w:r>
          </w:p>
        </w:tc>
        <w:tc>
          <w:tcPr>
            <w:tcW w:type="dxa" w:w="1984"/>
            <w:vAlign w:val="center"/>
            <w:shd w:fill="F5F8FB"/>
            <w:tcBorders>
              <w:bottom w:val="single" w:sz="5" w:color="D5DFE8"/>
            </w:tcBorders>
          </w:tcPr>
          <w:p>
            <w:pPr>
              <w:spacing w:after="0" w:before="20"/>
            </w:pPr>
            <w:r>
              <w:rPr>
                <w:sz w:val="15"/>
              </w:rPr>
              <w:t>71.7%</w:t>
            </w:r>
          </w:p>
        </w:tc>
        <w:tc>
          <w:tcPr>
            <w:tcW w:type="dxa" w:w="1474"/>
            <w:vAlign w:val="center"/>
            <w:shd w:fill="F5F8FB"/>
            <w:tcBorders>
              <w:bottom w:val="single" w:sz="5" w:color="D5DFE8"/>
            </w:tcBorders>
          </w:tcPr>
          <w:p>
            <w:pPr>
              <w:spacing w:after="0" w:before="20"/>
            </w:pPr>
            <w:r>
              <w:rPr>
                <w:sz w:val="15"/>
              </w:rPr>
              <w:t>3 h</w:t>
            </w:r>
          </w:p>
        </w:tc>
        <w:tc>
          <w:tcPr>
            <w:tcW w:type="dxa" w:w="1984"/>
            <w:vAlign w:val="center"/>
            <w:shd w:fill="F5F8FB"/>
            <w:tcBorders>
              <w:bottom w:val="single" w:sz="5" w:color="D5DFE8"/>
            </w:tcBorders>
          </w:tcPr>
          <w:p>
            <w:pPr>
              <w:spacing w:after="0" w:before="20"/>
            </w:pPr>
            <w:r>
              <w:rPr>
                <w:sz w:val="15"/>
              </w:rPr>
              <w:t>73.1%</w:t>
            </w:r>
          </w:p>
        </w:tc>
        <w:tc>
          <w:tcPr>
            <w:tcW w:type="dxa" w:w="1899"/>
            <w:vAlign w:val="center"/>
            <w:shd w:fill="F5F8FB"/>
            <w:tcBorders>
              <w:bottom w:val="single" w:sz="5" w:color="D5DFE8"/>
            </w:tcBorders>
          </w:tcPr>
          <w:p>
            <w:pPr>
              <w:spacing w:after="0" w:before="20"/>
            </w:pPr>
            <w:r>
              <w:rPr>
                <w:sz w:val="15"/>
              </w:rPr>
              <w:t>2.5 h</w:t>
            </w:r>
          </w:p>
        </w:tc>
      </w:tr>
      <w:tr>
        <w:trPr>
          <w:cantSplit/>
        </w:trPr>
        <w:tc>
          <w:tcPr>
            <w:tcW w:type="dxa" w:w="1928"/>
            <w:vAlign w:val="center"/>
            <w:tcBorders>
              <w:bottom w:val="single" w:sz="5" w:color="D5DFE8"/>
            </w:tcBorders>
          </w:tcPr>
          <w:p>
            <w:pPr>
              <w:spacing w:after="0" w:before="20"/>
            </w:pPr>
            <w:r>
              <w:rPr>
                <w:b/>
                <w:sz w:val="15"/>
              </w:rPr>
              <w:t>History</w:t>
            </w:r>
          </w:p>
        </w:tc>
        <w:tc>
          <w:tcPr>
            <w:tcW w:type="dxa" w:w="1984"/>
            <w:vAlign w:val="center"/>
            <w:tcBorders>
              <w:bottom w:val="single" w:sz="5" w:color="D5DFE8"/>
            </w:tcBorders>
          </w:tcPr>
          <w:p>
            <w:pPr>
              <w:spacing w:after="0" w:before="20"/>
            </w:pPr>
            <w:r>
              <w:rPr>
                <w:sz w:val="15"/>
              </w:rPr>
              <w:t>84.7%</w:t>
            </w:r>
          </w:p>
        </w:tc>
        <w:tc>
          <w:tcPr>
            <w:tcW w:type="dxa" w:w="1474"/>
            <w:vAlign w:val="center"/>
            <w:tcBorders>
              <w:bottom w:val="single" w:sz="5" w:color="D5DFE8"/>
            </w:tcBorders>
          </w:tcPr>
          <w:p>
            <w:pPr>
              <w:spacing w:after="0" w:before="20"/>
            </w:pPr>
            <w:r>
              <w:rPr>
                <w:sz w:val="15"/>
              </w:rPr>
              <w:t>0.5 h</w:t>
            </w:r>
          </w:p>
        </w:tc>
        <w:tc>
          <w:tcPr>
            <w:tcW w:type="dxa" w:w="1984"/>
            <w:vAlign w:val="center"/>
            <w:tcBorders>
              <w:bottom w:val="single" w:sz="5" w:color="D5DFE8"/>
            </w:tcBorders>
          </w:tcPr>
          <w:p>
            <w:pPr>
              <w:spacing w:after="0" w:before="20"/>
            </w:pPr>
            <w:r>
              <w:rPr>
                <w:sz w:val="15"/>
              </w:rPr>
              <w:t>75.3%</w:t>
            </w:r>
          </w:p>
        </w:tc>
        <w:tc>
          <w:tcPr>
            <w:tcW w:type="dxa" w:w="1899"/>
            <w:vAlign w:val="center"/>
            <w:tcBorders>
              <w:bottom w:val="single" w:sz="5" w:color="D5DFE8"/>
            </w:tcBorders>
          </w:tcPr>
          <w:p>
            <w:pPr>
              <w:spacing w:after="0" w:before="20"/>
            </w:pPr>
            <w:r>
              <w:rPr>
                <w:sz w:val="15"/>
              </w:rPr>
              <w:t>1.5 h</w:t>
            </w:r>
          </w:p>
        </w:tc>
      </w:tr>
    </w:tbl>
    <w:p>
      <w:pPr>
        <w:spacing w:after="0"/>
      </w:pPr>
    </w:p>
    <w:p>
      <w:r>
        <w:t>Student A receives 9.5 scheduled study hours (of a 10-hour weekly ceiling). Student B receives 9 hours (of a 9-hour ceiling). Unused weekly allowance can result from the available windows and mandatory session gaps.</w:t>
      </w:r>
    </w:p>
    <w:p>
      <w:r>
        <w:t>The physics quiz increases Physics urgency for both students. Nonetheless, the English-strong/Physics-weak student receives much more Physics time than English time, and the Physics-strong/English-weak student receives more English than Physics time. Wednesday availability spanning 15:00-17:30 automatically excludes the 15:30-16:30 class.</w:t>
      </w:r>
    </w:p>
    <w:p>
      <w:pPr>
        <w:pStyle w:val="Heading2"/>
      </w:pPr>
      <w:r>
        <w:t>Teacher use case</w:t>
      </w:r>
    </w:p>
    <w:p>
      <w:r>
        <w:t>The teacher summary aggregates time, students under a specified observed-mastery threshold (70) and subject averages. It may recommend small-group diagnostics for subjects with struggling learners. A deployed school platform must apply teacher-class authorization and suppress or restrict small-group reports if re-identification is possible. [2]</w:t>
      </w:r>
    </w:p>
    <w:p>
      <w:pPr>
        <w:pStyle w:val="Heading1"/>
      </w:pPr>
      <w:r>
        <w:t>8. Database and software architecture</w:t>
      </w:r>
    </w:p>
    <w:tbl>
      <w:tblPr>
        <w:tblW w:type="auto" w:w="0"/>
        <w:jc w:val="center"/>
        <w:tblLayout w:type="fixed"/>
        <w:tblLook w:firstColumn="1" w:firstRow="1" w:lastColumn="0" w:lastRow="0" w:noHBand="0" w:noVBand="1" w:val="04A0"/>
      </w:tblPr>
      <w:tblGrid>
        <w:gridCol w:w="1899"/>
        <w:gridCol w:w="3685"/>
        <w:gridCol w:w="3685"/>
      </w:tblGrid>
      <w:tr>
        <w:trPr>
          <w:tblHeader w:val="true"/>
        </w:trPr>
        <w:tc>
          <w:tcPr>
            <w:tcW w:type="dxa" w:w="3256"/>
            <w:shd w:fill="152845"/>
            <w:vAlign w:val="center"/>
          </w:tcPr>
          <w:p>
            <w:pPr>
              <w:spacing w:after="0"/>
            </w:pPr>
            <w:r>
              <w:rPr>
                <w:b/>
                <w:color w:val="FFFFFF"/>
                <w:sz w:val="16"/>
              </w:rPr>
              <w:t>Domain</w:t>
            </w:r>
          </w:p>
        </w:tc>
        <w:tc>
          <w:tcPr>
            <w:tcW w:type="dxa" w:w="3256"/>
            <w:shd w:fill="152845"/>
            <w:vAlign w:val="center"/>
          </w:tcPr>
          <w:p>
            <w:pPr>
              <w:spacing w:after="0"/>
            </w:pPr>
            <w:r>
              <w:rPr>
                <w:b/>
                <w:color w:val="FFFFFF"/>
                <w:sz w:val="16"/>
              </w:rPr>
              <w:t>MySQL representation</w:t>
            </w:r>
          </w:p>
        </w:tc>
        <w:tc>
          <w:tcPr>
            <w:tcW w:type="dxa" w:w="3256"/>
            <w:shd w:fill="152845"/>
            <w:vAlign w:val="center"/>
          </w:tcPr>
          <w:p>
            <w:pPr>
              <w:spacing w:after="0"/>
            </w:pPr>
            <w:r>
              <w:rPr>
                <w:b/>
                <w:color w:val="FFFFFF"/>
                <w:sz w:val="16"/>
              </w:rPr>
              <w:t>MongoDB representation</w:t>
            </w:r>
          </w:p>
        </w:tc>
      </w:tr>
      <w:tr>
        <w:trPr>
          <w:cantSplit/>
        </w:trPr>
        <w:tc>
          <w:tcPr>
            <w:tcW w:type="dxa" w:w="1899"/>
            <w:vAlign w:val="center"/>
            <w:tcBorders>
              <w:bottom w:val="single" w:sz="5" w:color="D5DFE8"/>
            </w:tcBorders>
          </w:tcPr>
          <w:p>
            <w:pPr>
              <w:spacing w:after="0" w:before="20"/>
            </w:pPr>
            <w:r>
              <w:rPr>
                <w:b/>
                <w:sz w:val="15"/>
              </w:rPr>
              <w:t>Student + subjects</w:t>
            </w:r>
          </w:p>
        </w:tc>
        <w:tc>
          <w:tcPr>
            <w:tcW w:type="dxa" w:w="3685"/>
            <w:vAlign w:val="center"/>
            <w:tcBorders>
              <w:bottom w:val="single" w:sz="5" w:color="D5DFE8"/>
            </w:tcBorders>
          </w:tcPr>
          <w:p>
            <w:pPr>
              <w:spacing w:after="0" w:before="20"/>
            </w:pPr>
            <w:r>
              <w:rPr>
                <w:sz w:val="15"/>
              </w:rPr>
              <w:t>sr_students + sr_enrollments + sr_subjects</w:t>
            </w:r>
          </w:p>
        </w:tc>
        <w:tc>
          <w:tcPr>
            <w:tcW w:type="dxa" w:w="3685"/>
            <w:vAlign w:val="center"/>
            <w:tcBorders>
              <w:bottom w:val="single" w:sz="5" w:color="D5DFE8"/>
            </w:tcBorders>
          </w:tcPr>
          <w:p>
            <w:pPr>
              <w:spacing w:after="0" w:before="20"/>
            </w:pPr>
            <w:r>
              <w:rPr>
                <w:sz w:val="15"/>
              </w:rPr>
              <w:t>Three collections using student_id / subject_id</w:t>
            </w:r>
          </w:p>
        </w:tc>
      </w:tr>
      <w:tr>
        <w:trPr>
          <w:cantSplit/>
        </w:trPr>
        <w:tc>
          <w:tcPr>
            <w:tcW w:type="dxa" w:w="1899"/>
            <w:vAlign w:val="center"/>
            <w:shd w:fill="F5F8FB"/>
            <w:tcBorders>
              <w:bottom w:val="single" w:sz="5" w:color="D5DFE8"/>
            </w:tcBorders>
          </w:tcPr>
          <w:p>
            <w:pPr>
              <w:spacing w:after="0" w:before="20"/>
            </w:pPr>
            <w:r>
              <w:rPr>
                <w:b/>
                <w:sz w:val="15"/>
              </w:rPr>
              <w:t>Grades + logs</w:t>
            </w:r>
          </w:p>
        </w:tc>
        <w:tc>
          <w:tcPr>
            <w:tcW w:type="dxa" w:w="3685"/>
            <w:vAlign w:val="center"/>
            <w:shd w:fill="F5F8FB"/>
            <w:tcBorders>
              <w:bottom w:val="single" w:sz="5" w:color="D5DFE8"/>
            </w:tcBorders>
          </w:tcPr>
          <w:p>
            <w:pPr>
              <w:spacing w:after="0" w:before="20"/>
            </w:pPr>
            <w:r>
              <w:rPr>
                <w:sz w:val="15"/>
              </w:rPr>
              <w:t>sr_scores + sr_study_logs, DATE indices</w:t>
            </w:r>
          </w:p>
        </w:tc>
        <w:tc>
          <w:tcPr>
            <w:tcW w:type="dxa" w:w="3685"/>
            <w:vAlign w:val="center"/>
            <w:shd w:fill="F5F8FB"/>
            <w:tcBorders>
              <w:bottom w:val="single" w:sz="5" w:color="D5DFE8"/>
            </w:tcBorders>
          </w:tcPr>
          <w:p>
            <w:pPr>
              <w:spacing w:after="0" w:before="20"/>
            </w:pPr>
            <w:r>
              <w:rPr>
                <w:sz w:val="15"/>
              </w:rPr>
              <w:t>sr_scores + sr_study_logs, ISO date string indices</w:t>
            </w:r>
          </w:p>
        </w:tc>
      </w:tr>
      <w:tr>
        <w:trPr>
          <w:cantSplit/>
        </w:trPr>
        <w:tc>
          <w:tcPr>
            <w:tcW w:type="dxa" w:w="1899"/>
            <w:vAlign w:val="center"/>
            <w:tcBorders>
              <w:bottom w:val="single" w:sz="5" w:color="D5DFE8"/>
            </w:tcBorders>
          </w:tcPr>
          <w:p>
            <w:pPr>
              <w:spacing w:after="0" w:before="20"/>
            </w:pPr>
            <w:r>
              <w:rPr>
                <w:b/>
                <w:sz w:val="15"/>
              </w:rPr>
              <w:t>Availability / classes / exams</w:t>
            </w:r>
          </w:p>
        </w:tc>
        <w:tc>
          <w:tcPr>
            <w:tcW w:type="dxa" w:w="3685"/>
            <w:vAlign w:val="center"/>
            <w:tcBorders>
              <w:bottom w:val="single" w:sz="5" w:color="D5DFE8"/>
            </w:tcBorders>
          </w:tcPr>
          <w:p>
            <w:pPr>
              <w:spacing w:after="0" w:before="20"/>
            </w:pPr>
            <w:r>
              <w:rPr>
                <w:sz w:val="15"/>
              </w:rPr>
              <w:t>sr_availability + sr_class_timetable + sr_assessments</w:t>
            </w:r>
          </w:p>
        </w:tc>
        <w:tc>
          <w:tcPr>
            <w:tcW w:type="dxa" w:w="3685"/>
            <w:vAlign w:val="center"/>
            <w:tcBorders>
              <w:bottom w:val="single" w:sz="5" w:color="D5DFE8"/>
            </w:tcBorders>
          </w:tcPr>
          <w:p>
            <w:pPr>
              <w:spacing w:after="0" w:before="20"/>
            </w:pPr>
            <w:r>
              <w:rPr>
                <w:sz w:val="15"/>
              </w:rPr>
              <w:t>Analogous collections</w:t>
            </w:r>
          </w:p>
        </w:tc>
      </w:tr>
      <w:tr>
        <w:trPr>
          <w:cantSplit/>
        </w:trPr>
        <w:tc>
          <w:tcPr>
            <w:tcW w:type="dxa" w:w="1899"/>
            <w:vAlign w:val="center"/>
            <w:shd w:fill="F5F8FB"/>
            <w:tcBorders>
              <w:bottom w:val="single" w:sz="5" w:color="D5DFE8"/>
            </w:tcBorders>
          </w:tcPr>
          <w:p>
            <w:pPr>
              <w:spacing w:after="0" w:before="20"/>
            </w:pPr>
            <w:r>
              <w:rPr>
                <w:b/>
                <w:sz w:val="15"/>
              </w:rPr>
              <w:t>Generated plan</w:t>
            </w:r>
          </w:p>
        </w:tc>
        <w:tc>
          <w:tcPr>
            <w:tcW w:type="dxa" w:w="3685"/>
            <w:vAlign w:val="center"/>
            <w:shd w:fill="F5F8FB"/>
            <w:tcBorders>
              <w:bottom w:val="single" w:sz="5" w:color="D5DFE8"/>
            </w:tcBorders>
          </w:tcPr>
          <w:p>
            <w:pPr>
              <w:spacing w:after="0" w:before="20"/>
            </w:pPr>
            <w:r>
              <w:rPr>
                <w:sz w:val="15"/>
              </w:rPr>
              <w:t>sr_recommendations + sr_plan_sessions</w:t>
            </w:r>
          </w:p>
        </w:tc>
        <w:tc>
          <w:tcPr>
            <w:tcW w:type="dxa" w:w="3685"/>
            <w:vAlign w:val="center"/>
            <w:shd w:fill="F5F8FB"/>
            <w:tcBorders>
              <w:bottom w:val="single" w:sz="5" w:color="D5DFE8"/>
            </w:tcBorders>
          </w:tcPr>
          <w:p>
            <w:pPr>
              <w:spacing w:after="0" w:before="20"/>
            </w:pPr>
            <w:r>
              <w:rPr>
                <w:sz w:val="15"/>
              </w:rPr>
              <w:t>One sr_plans document per student/week</w:t>
            </w:r>
          </w:p>
        </w:tc>
      </w:tr>
      <w:tr>
        <w:trPr>
          <w:cantSplit/>
        </w:trPr>
        <w:tc>
          <w:tcPr>
            <w:tcW w:type="dxa" w:w="1899"/>
            <w:vAlign w:val="center"/>
            <w:tcBorders>
              <w:bottom w:val="single" w:sz="5" w:color="D5DFE8"/>
            </w:tcBorders>
          </w:tcPr>
          <w:p>
            <w:pPr>
              <w:spacing w:after="0" w:before="20"/>
            </w:pPr>
            <w:r>
              <w:rPr>
                <w:b/>
                <w:sz w:val="15"/>
              </w:rPr>
              <w:t>Atomicity</w:t>
            </w:r>
          </w:p>
        </w:tc>
        <w:tc>
          <w:tcPr>
            <w:tcW w:type="dxa" w:w="3685"/>
            <w:vAlign w:val="center"/>
            <w:tcBorders>
              <w:bottom w:val="single" w:sz="5" w:color="D5DFE8"/>
            </w:tcBorders>
          </w:tcPr>
          <w:p>
            <w:pPr>
              <w:spacing w:after="0" w:before="20"/>
            </w:pPr>
            <w:r>
              <w:rPr>
                <w:sz w:val="15"/>
              </w:rPr>
              <w:t>Transactional delete-and-insert for one student/week</w:t>
            </w:r>
          </w:p>
        </w:tc>
        <w:tc>
          <w:tcPr>
            <w:tcW w:type="dxa" w:w="3685"/>
            <w:vAlign w:val="center"/>
            <w:tcBorders>
              <w:bottom w:val="single" w:sz="5" w:color="D5DFE8"/>
            </w:tcBorders>
          </w:tcPr>
          <w:p>
            <w:pPr>
              <w:spacing w:after="0" w:before="20"/>
            </w:pPr>
            <w:r>
              <w:rPr>
                <w:sz w:val="15"/>
              </w:rPr>
              <w:t>Atomic single-document replacement for one student/week</w:t>
            </w:r>
          </w:p>
        </w:tc>
      </w:tr>
    </w:tbl>
    <w:p>
      <w:pPr>
        <w:spacing w:after="0"/>
      </w:pPr>
    </w:p>
    <w:p>
      <w:r>
        <w:t>Both adapters map persistence-specific formats to identical Python dataclasses. The scoring and scheduling logic never issues SQL or MongoDB queries. In the MySQL implementation the generated plan is replaced inside a transaction; in MongoDB the whole student-week output is stored in one atomic document. A full class batch is not globally atomic in either backend.</w:t>
      </w:r>
    </w:p>
    <w:p>
      <w:pPr>
        <w:pStyle w:val="Heading2"/>
      </w:pPr>
      <w:r>
        <w:t>8.1 API surfaces</w:t>
      </w:r>
    </w:p>
    <w:p>
      <w:r>
        <w:t>The CLI has demo, student and class commands. The optional FastAPI development application exposes read-only GET endpoints for students and classes, plus explicit POST generation endpoints to persist plans. Because the starter API intentionally contains no identity and role checks, it must stay bound to localhost until integrated behind a secure application server.</w:t>
      </w:r>
    </w:p>
    <w:p>
      <w:pPr>
        <w:pStyle w:val="Heading2"/>
      </w:pPr>
      <w:r>
        <w:t>8.2 Existing student score tables</w:t>
      </w:r>
    </w:p>
    <w:p>
      <w:r>
        <w:t>Existing installations can retain their current tbl_student_score table and create a view or repeatable ETL job that maps its actual columns into student_id, subject_id, score, recorded_on. Exact legacy columns are unknown, so the package does not perform a destructive schema migration. The recommendation engine can coexist with a separate prediction-score engine if their input/output contracts remain clear.</w:t>
      </w:r>
    </w:p>
    <w:p>
      <w:pPr>
        <w:pStyle w:val="Heading1"/>
      </w:pPr>
      <w:r>
        <w:t>9. Quality, safety, privacy and evaluation</w:t>
      </w:r>
    </w:p>
    <w:p>
      <w:pPr>
        <w:pStyle w:val="Heading2"/>
      </w:pPr>
      <w:r>
        <w:t>9.1 Engineering acceptance tests</w:t>
      </w:r>
    </w:p>
    <w:tbl>
      <w:tblPr>
        <w:tblW w:type="auto" w:w="0"/>
        <w:jc w:val="center"/>
        <w:tblLayout w:type="fixed"/>
        <w:tblLook w:firstColumn="1" w:firstRow="1" w:lastColumn="0" w:lastRow="0" w:noHBand="0" w:noVBand="1" w:val="04A0"/>
      </w:tblPr>
      <w:tblGrid>
        <w:gridCol w:w="2438"/>
        <w:gridCol w:w="6831"/>
      </w:tblGrid>
      <w:tr>
        <w:trPr>
          <w:tblHeader w:val="true"/>
        </w:trPr>
        <w:tc>
          <w:tcPr>
            <w:tcW w:type="dxa" w:w="4884"/>
            <w:shd w:fill="152845"/>
            <w:vAlign w:val="center"/>
          </w:tcPr>
          <w:p>
            <w:pPr>
              <w:spacing w:after="0"/>
            </w:pPr>
            <w:r>
              <w:rPr>
                <w:b/>
                <w:color w:val="FFFFFF"/>
                <w:sz w:val="16"/>
              </w:rPr>
              <w:t>Measure</w:t>
            </w:r>
          </w:p>
        </w:tc>
        <w:tc>
          <w:tcPr>
            <w:tcW w:type="dxa" w:w="4884"/>
            <w:shd w:fill="152845"/>
            <w:vAlign w:val="center"/>
          </w:tcPr>
          <w:p>
            <w:pPr>
              <w:spacing w:after="0"/>
            </w:pPr>
            <w:r>
              <w:rPr>
                <w:b/>
                <w:color w:val="FFFFFF"/>
                <w:sz w:val="16"/>
              </w:rPr>
              <w:t>Acceptance criterion</w:t>
            </w:r>
          </w:p>
        </w:tc>
      </w:tr>
      <w:tr>
        <w:trPr>
          <w:cantSplit/>
        </w:trPr>
        <w:tc>
          <w:tcPr>
            <w:tcW w:type="dxa" w:w="2438"/>
            <w:vAlign w:val="center"/>
            <w:tcBorders>
              <w:bottom w:val="single" w:sz="5" w:color="D5DFE8"/>
            </w:tcBorders>
          </w:tcPr>
          <w:p>
            <w:pPr>
              <w:spacing w:after="0" w:before="20"/>
            </w:pPr>
            <w:r>
              <w:rPr>
                <w:b/>
                <w:sz w:val="15"/>
              </w:rPr>
              <w:t>No timetable overlap</w:t>
            </w:r>
          </w:p>
        </w:tc>
        <w:tc>
          <w:tcPr>
            <w:tcW w:type="dxa" w:w="6831"/>
            <w:vAlign w:val="center"/>
            <w:tcBorders>
              <w:bottom w:val="single" w:sz="5" w:color="D5DFE8"/>
            </w:tcBorders>
          </w:tcPr>
          <w:p>
            <w:pPr>
              <w:spacing w:after="0" w:before="20"/>
            </w:pPr>
            <w:r>
              <w:rPr>
                <w:sz w:val="15"/>
              </w:rPr>
              <w:t>Zero study/class collisions across all emitted sessions</w:t>
            </w:r>
          </w:p>
        </w:tc>
      </w:tr>
      <w:tr>
        <w:trPr>
          <w:cantSplit/>
        </w:trPr>
        <w:tc>
          <w:tcPr>
            <w:tcW w:type="dxa" w:w="2438"/>
            <w:vAlign w:val="center"/>
            <w:shd w:fill="F5F8FB"/>
            <w:tcBorders>
              <w:bottom w:val="single" w:sz="5" w:color="D5DFE8"/>
            </w:tcBorders>
          </w:tcPr>
          <w:p>
            <w:pPr>
              <w:spacing w:after="0" w:before="20"/>
            </w:pPr>
            <w:r>
              <w:rPr>
                <w:b/>
                <w:sz w:val="15"/>
              </w:rPr>
              <w:t>Study ceilings</w:t>
            </w:r>
          </w:p>
        </w:tc>
        <w:tc>
          <w:tcPr>
            <w:tcW w:type="dxa" w:w="6831"/>
            <w:vAlign w:val="center"/>
            <w:shd w:fill="F5F8FB"/>
            <w:tcBorders>
              <w:bottom w:val="single" w:sz="5" w:color="D5DFE8"/>
            </w:tcBorders>
          </w:tcPr>
          <w:p>
            <w:pPr>
              <w:spacing w:after="0" w:before="20"/>
            </w:pPr>
            <w:r>
              <w:rPr>
                <w:sz w:val="15"/>
              </w:rPr>
              <w:t>Every student's planned daily and weekly minutes &lt;= recorded limits</w:t>
            </w:r>
          </w:p>
        </w:tc>
      </w:tr>
      <w:tr>
        <w:trPr>
          <w:cantSplit/>
        </w:trPr>
        <w:tc>
          <w:tcPr>
            <w:tcW w:type="dxa" w:w="2438"/>
            <w:vAlign w:val="center"/>
            <w:tcBorders>
              <w:bottom w:val="single" w:sz="5" w:color="D5DFE8"/>
            </w:tcBorders>
          </w:tcPr>
          <w:p>
            <w:pPr>
              <w:spacing w:after="0" w:before="20"/>
            </w:pPr>
            <w:r>
              <w:rPr>
                <w:b/>
                <w:sz w:val="15"/>
              </w:rPr>
              <w:t>Break spacing</w:t>
            </w:r>
          </w:p>
        </w:tc>
        <w:tc>
          <w:tcPr>
            <w:tcW w:type="dxa" w:w="6831"/>
            <w:vAlign w:val="center"/>
            <w:tcBorders>
              <w:bottom w:val="single" w:sz="5" w:color="D5DFE8"/>
            </w:tcBorders>
          </w:tcPr>
          <w:p>
            <w:pPr>
              <w:spacing w:after="0" w:before="20"/>
            </w:pPr>
            <w:r>
              <w:rPr>
                <w:sz w:val="15"/>
              </w:rPr>
              <w:t>At least 5 minutes between sessions on the same day</w:t>
            </w:r>
          </w:p>
        </w:tc>
      </w:tr>
      <w:tr>
        <w:trPr>
          <w:cantSplit/>
        </w:trPr>
        <w:tc>
          <w:tcPr>
            <w:tcW w:type="dxa" w:w="2438"/>
            <w:vAlign w:val="center"/>
            <w:shd w:fill="F5F8FB"/>
            <w:tcBorders>
              <w:bottom w:val="single" w:sz="5" w:color="D5DFE8"/>
            </w:tcBorders>
          </w:tcPr>
          <w:p>
            <w:pPr>
              <w:spacing w:after="0" w:before="20"/>
            </w:pPr>
            <w:r>
              <w:rPr>
                <w:b/>
                <w:sz w:val="15"/>
              </w:rPr>
              <w:t>Coverage</w:t>
            </w:r>
          </w:p>
        </w:tc>
        <w:tc>
          <w:tcPr>
            <w:tcW w:type="dxa" w:w="6831"/>
            <w:vAlign w:val="center"/>
            <w:shd w:fill="F5F8FB"/>
            <w:tcBorders>
              <w:bottom w:val="single" w:sz="5" w:color="D5DFE8"/>
            </w:tcBorders>
          </w:tcPr>
          <w:p>
            <w:pPr>
              <w:spacing w:after="0" w:before="20"/>
            </w:pPr>
            <w:r>
              <w:rPr>
                <w:sz w:val="15"/>
              </w:rPr>
              <w:t>When slots &gt;= subject count, every enrolled subject receives &gt;=1 slot</w:t>
            </w:r>
          </w:p>
        </w:tc>
      </w:tr>
      <w:tr>
        <w:trPr>
          <w:cantSplit/>
        </w:trPr>
        <w:tc>
          <w:tcPr>
            <w:tcW w:type="dxa" w:w="2438"/>
            <w:vAlign w:val="center"/>
            <w:tcBorders>
              <w:bottom w:val="single" w:sz="5" w:color="D5DFE8"/>
            </w:tcBorders>
          </w:tcPr>
          <w:p>
            <w:pPr>
              <w:spacing w:after="0" w:before="20"/>
            </w:pPr>
            <w:r>
              <w:rPr>
                <w:b/>
                <w:sz w:val="15"/>
              </w:rPr>
              <w:t>Data cutoff</w:t>
            </w:r>
          </w:p>
        </w:tc>
        <w:tc>
          <w:tcPr>
            <w:tcW w:type="dxa" w:w="6831"/>
            <w:vAlign w:val="center"/>
            <w:tcBorders>
              <w:bottom w:val="single" w:sz="5" w:color="D5DFE8"/>
            </w:tcBorders>
          </w:tcPr>
          <w:p>
            <w:pPr>
              <w:spacing w:after="0" w:before="20"/>
            </w:pPr>
            <w:r>
              <w:rPr>
                <w:sz w:val="15"/>
              </w:rPr>
              <w:t>No grades dated later than the selected planning Monday used</w:t>
            </w:r>
          </w:p>
        </w:tc>
      </w:tr>
      <w:tr>
        <w:trPr>
          <w:cantSplit/>
        </w:trPr>
        <w:tc>
          <w:tcPr>
            <w:tcW w:type="dxa" w:w="2438"/>
            <w:vAlign w:val="center"/>
            <w:shd w:fill="F5F8FB"/>
            <w:tcBorders>
              <w:bottom w:val="single" w:sz="5" w:color="D5DFE8"/>
            </w:tcBorders>
          </w:tcPr>
          <w:p>
            <w:pPr>
              <w:spacing w:after="0" w:before="20"/>
            </w:pPr>
            <w:r>
              <w:rPr>
                <w:b/>
                <w:sz w:val="15"/>
              </w:rPr>
              <w:t>Reproducibility</w:t>
            </w:r>
          </w:p>
        </w:tc>
        <w:tc>
          <w:tcPr>
            <w:tcW w:type="dxa" w:w="6831"/>
            <w:vAlign w:val="center"/>
            <w:shd w:fill="F5F8FB"/>
            <w:tcBorders>
              <w:bottom w:val="single" w:sz="5" w:color="D5DFE8"/>
            </w:tcBorders>
          </w:tcPr>
          <w:p>
            <w:pPr>
              <w:spacing w:after="0" w:before="20"/>
            </w:pPr>
            <w:r>
              <w:rPr>
                <w:sz w:val="15"/>
              </w:rPr>
              <w:t>Identical normalized inputs yield identical allocations across backends</w:t>
            </w:r>
          </w:p>
        </w:tc>
      </w:tr>
      <w:tr>
        <w:trPr>
          <w:cantSplit/>
        </w:trPr>
        <w:tc>
          <w:tcPr>
            <w:tcW w:type="dxa" w:w="2438"/>
            <w:vAlign w:val="center"/>
            <w:tcBorders>
              <w:bottom w:val="single" w:sz="5" w:color="D5DFE8"/>
            </w:tcBorders>
          </w:tcPr>
          <w:p>
            <w:pPr>
              <w:spacing w:after="0" w:before="20"/>
            </w:pPr>
            <w:r>
              <w:rPr>
                <w:b/>
                <w:sz w:val="15"/>
              </w:rPr>
              <w:t>Privacy</w:t>
            </w:r>
          </w:p>
        </w:tc>
        <w:tc>
          <w:tcPr>
            <w:tcW w:type="dxa" w:w="6831"/>
            <w:vAlign w:val="center"/>
            <w:tcBorders>
              <w:bottom w:val="single" w:sz="5" w:color="D5DFE8"/>
            </w:tcBorders>
          </w:tcPr>
          <w:p>
            <w:pPr>
              <w:spacing w:after="0" w:before="20"/>
            </w:pPr>
            <w:r>
              <w:rPr>
                <w:sz w:val="15"/>
              </w:rPr>
              <w:t>Authenticated teacher can see only authorized class data</w:t>
            </w:r>
          </w:p>
        </w:tc>
      </w:tr>
    </w:tbl>
    <w:p>
      <w:pPr>
        <w:spacing w:after="0"/>
      </w:pPr>
    </w:p>
    <w:p>
      <w:pPr>
        <w:pStyle w:val="Heading2"/>
      </w:pPr>
      <w:r>
        <w:t>9.2 Educational evaluation</w:t>
      </w:r>
    </w:p>
    <w:p>
      <w:r>
        <w:t>Before high-stakes deployment, conduct a teacher-reviewed pilot with students and guardians as appropriate. Compare the plan against an appropriate baseline, for example a teacher-authored timetable or a balanced subject plan. Track adherence, actual weekly study burden, grade change on comparable assessments, learner satisfaction, teacher overrides, and differential effects across groups. Whenever possible, use prospectively designed comparisons to avoid over-attributing improvement to the recommender.</w:t>
      </w:r>
    </w:p>
    <w:p>
      <w:pPr>
        <w:pStyle w:val="Heading2"/>
      </w:pPr>
      <w:r>
        <w:t>9.3 Data protection and fairness</w:t>
      </w:r>
    </w:p>
    <w:p>
      <w:r>
        <w:t>Student records are sensitive educational information. A school-grade production deployment needs authentication, class-level and student-level authorization, audit logs, data minimization, encryption at rest/in transit, retention rules, teacher override workflows, consent/governance review and policies applicable to its jurisdiction. Avoid sensitive characteristics as model optimization shortcuts. Monitor whether recommended workloads or learning opportunities are systematically inequitable.</w:t>
      </w:r>
    </w:p>
    <w:p>
      <w:pPr>
        <w:pStyle w:val="Heading1"/>
      </w:pPr>
      <w:r>
        <w:t>10. Limitations and recommended roadmap</w:t>
      </w:r>
    </w:p>
    <w:tbl>
      <w:tblPr>
        <w:tblW w:type="auto" w:w="0"/>
        <w:jc w:val="center"/>
        <w:tblLayout w:type="fixed"/>
        <w:tblLook w:firstColumn="1" w:firstRow="1" w:lastColumn="0" w:lastRow="0" w:noHBand="0" w:noVBand="1" w:val="04A0"/>
      </w:tblPr>
      <w:tblGrid>
        <w:gridCol w:w="2268"/>
        <w:gridCol w:w="4110"/>
        <w:gridCol w:w="2891"/>
      </w:tblGrid>
      <w:tr>
        <w:trPr>
          <w:tblHeader w:val="true"/>
        </w:trPr>
        <w:tc>
          <w:tcPr>
            <w:tcW w:type="dxa" w:w="3256"/>
            <w:shd w:fill="152845"/>
            <w:vAlign w:val="center"/>
          </w:tcPr>
          <w:p>
            <w:pPr>
              <w:spacing w:after="0"/>
            </w:pPr>
            <w:r>
              <w:rPr>
                <w:b/>
                <w:color w:val="FFFFFF"/>
                <w:sz w:val="16"/>
              </w:rPr>
              <w:t>Stage</w:t>
            </w:r>
          </w:p>
        </w:tc>
        <w:tc>
          <w:tcPr>
            <w:tcW w:type="dxa" w:w="3256"/>
            <w:shd w:fill="152845"/>
            <w:vAlign w:val="center"/>
          </w:tcPr>
          <w:p>
            <w:pPr>
              <w:spacing w:after="0"/>
            </w:pPr>
            <w:r>
              <w:rPr>
                <w:b/>
                <w:color w:val="FFFFFF"/>
                <w:sz w:val="16"/>
              </w:rPr>
              <w:t>Deliverable</w:t>
            </w:r>
          </w:p>
        </w:tc>
        <w:tc>
          <w:tcPr>
            <w:tcW w:type="dxa" w:w="3256"/>
            <w:shd w:fill="152845"/>
            <w:vAlign w:val="center"/>
          </w:tcPr>
          <w:p>
            <w:pPr>
              <w:spacing w:after="0"/>
            </w:pPr>
            <w:r>
              <w:rPr>
                <w:b/>
                <w:color w:val="FFFFFF"/>
                <w:sz w:val="16"/>
              </w:rPr>
              <w:t>Exit test</w:t>
            </w:r>
          </w:p>
        </w:tc>
      </w:tr>
      <w:tr>
        <w:trPr>
          <w:cantSplit/>
        </w:trPr>
        <w:tc>
          <w:tcPr>
            <w:tcW w:type="dxa" w:w="2268"/>
            <w:vAlign w:val="center"/>
            <w:tcBorders>
              <w:bottom w:val="single" w:sz="5" w:color="D5DFE8"/>
            </w:tcBorders>
          </w:tcPr>
          <w:p>
            <w:pPr>
              <w:spacing w:after="0" w:before="20"/>
            </w:pPr>
            <w:r>
              <w:rPr>
                <w:b/>
                <w:sz w:val="15"/>
              </w:rPr>
              <w:t>Phase 1 - working prototype</w:t>
            </w:r>
          </w:p>
        </w:tc>
        <w:tc>
          <w:tcPr>
            <w:tcW w:type="dxa" w:w="4110"/>
            <w:vAlign w:val="center"/>
            <w:tcBorders>
              <w:bottom w:val="single" w:sz="5" w:color="D5DFE8"/>
            </w:tcBorders>
          </w:tcPr>
          <w:p>
            <w:pPr>
              <w:spacing w:after="0" w:before="20"/>
            </w:pPr>
            <w:r>
              <w:rPr>
                <w:sz w:val="15"/>
              </w:rPr>
              <w:t>Core scheduler, explanations, MySQL/Mongo adapters, tests</w:t>
            </w:r>
          </w:p>
        </w:tc>
        <w:tc>
          <w:tcPr>
            <w:tcW w:type="dxa" w:w="2891"/>
            <w:vAlign w:val="center"/>
            <w:tcBorders>
              <w:bottom w:val="single" w:sz="5" w:color="D5DFE8"/>
            </w:tcBorders>
          </w:tcPr>
          <w:p>
            <w:pPr>
              <w:spacing w:after="0" w:before="20"/>
            </w:pPr>
            <w:r>
              <w:rPr>
                <w:sz w:val="15"/>
              </w:rPr>
              <w:t>Conflict-free synthetic plans</w:t>
            </w:r>
          </w:p>
        </w:tc>
      </w:tr>
      <w:tr>
        <w:trPr>
          <w:cantSplit/>
        </w:trPr>
        <w:tc>
          <w:tcPr>
            <w:tcW w:type="dxa" w:w="2268"/>
            <w:vAlign w:val="center"/>
            <w:shd w:fill="F5F8FB"/>
            <w:tcBorders>
              <w:bottom w:val="single" w:sz="5" w:color="D5DFE8"/>
            </w:tcBorders>
          </w:tcPr>
          <w:p>
            <w:pPr>
              <w:spacing w:after="0" w:before="20"/>
            </w:pPr>
            <w:r>
              <w:rPr>
                <w:b/>
                <w:sz w:val="15"/>
              </w:rPr>
              <w:t>Phase 2 - school pilot</w:t>
            </w:r>
          </w:p>
        </w:tc>
        <w:tc>
          <w:tcPr>
            <w:tcW w:type="dxa" w:w="4110"/>
            <w:vAlign w:val="center"/>
            <w:shd w:fill="F5F8FB"/>
            <w:tcBorders>
              <w:bottom w:val="single" w:sz="5" w:color="D5DFE8"/>
            </w:tcBorders>
          </w:tcPr>
          <w:p>
            <w:pPr>
              <w:spacing w:after="0" w:before="20"/>
            </w:pPr>
            <w:r>
              <w:rPr>
                <w:sz w:val="15"/>
              </w:rPr>
              <w:t>Real timetable/grade ingestion, authorized teacher review, audit</w:t>
            </w:r>
          </w:p>
        </w:tc>
        <w:tc>
          <w:tcPr>
            <w:tcW w:type="dxa" w:w="2891"/>
            <w:vAlign w:val="center"/>
            <w:shd w:fill="F5F8FB"/>
            <w:tcBorders>
              <w:bottom w:val="single" w:sz="5" w:color="D5DFE8"/>
            </w:tcBorders>
          </w:tcPr>
          <w:p>
            <w:pPr>
              <w:spacing w:after="0" w:before="20"/>
            </w:pPr>
            <w:r>
              <w:rPr>
                <w:sz w:val="15"/>
              </w:rPr>
              <w:t>Usable plans and low override burden</w:t>
            </w:r>
          </w:p>
        </w:tc>
      </w:tr>
      <w:tr>
        <w:trPr>
          <w:cantSplit/>
        </w:trPr>
        <w:tc>
          <w:tcPr>
            <w:tcW w:type="dxa" w:w="2268"/>
            <w:vAlign w:val="center"/>
            <w:tcBorders>
              <w:bottom w:val="single" w:sz="5" w:color="D5DFE8"/>
            </w:tcBorders>
          </w:tcPr>
          <w:p>
            <w:pPr>
              <w:spacing w:after="0" w:before="20"/>
            </w:pPr>
            <w:r>
              <w:rPr>
                <w:b/>
                <w:sz w:val="15"/>
              </w:rPr>
              <w:t>Phase 3 - richer learner model</w:t>
            </w:r>
          </w:p>
        </w:tc>
        <w:tc>
          <w:tcPr>
            <w:tcW w:type="dxa" w:w="4110"/>
            <w:vAlign w:val="center"/>
            <w:tcBorders>
              <w:bottom w:val="single" w:sz="5" w:color="D5DFE8"/>
            </w:tcBorders>
          </w:tcPr>
          <w:p>
            <w:pPr>
              <w:spacing w:after="0" w:before="20"/>
            </w:pPr>
            <w:r>
              <w:rPr>
                <w:sz w:val="15"/>
              </w:rPr>
              <w:t>Topic-level mastery, prerequisites, delayed retention and uncertainty</w:t>
            </w:r>
          </w:p>
        </w:tc>
        <w:tc>
          <w:tcPr>
            <w:tcW w:type="dxa" w:w="2891"/>
            <w:vAlign w:val="center"/>
            <w:tcBorders>
              <w:bottom w:val="single" w:sz="5" w:color="D5DFE8"/>
            </w:tcBorders>
          </w:tcPr>
          <w:p>
            <w:pPr>
              <w:spacing w:after="0" w:before="20"/>
            </w:pPr>
            <w:r>
              <w:rPr>
                <w:sz w:val="15"/>
              </w:rPr>
              <w:t>Validated topic recommendations</w:t>
            </w:r>
          </w:p>
        </w:tc>
      </w:tr>
      <w:tr>
        <w:trPr>
          <w:cantSplit/>
        </w:trPr>
        <w:tc>
          <w:tcPr>
            <w:tcW w:type="dxa" w:w="2268"/>
            <w:vAlign w:val="center"/>
            <w:shd w:fill="F5F8FB"/>
            <w:tcBorders>
              <w:bottom w:val="single" w:sz="5" w:color="D5DFE8"/>
            </w:tcBorders>
          </w:tcPr>
          <w:p>
            <w:pPr>
              <w:spacing w:after="0" w:before="20"/>
            </w:pPr>
            <w:r>
              <w:rPr>
                <w:b/>
                <w:sz w:val="15"/>
              </w:rPr>
              <w:t>Phase 4 - optimizer</w:t>
            </w:r>
          </w:p>
        </w:tc>
        <w:tc>
          <w:tcPr>
            <w:tcW w:type="dxa" w:w="4110"/>
            <w:vAlign w:val="center"/>
            <w:shd w:fill="F5F8FB"/>
            <w:tcBorders>
              <w:bottom w:val="single" w:sz="5" w:color="D5DFE8"/>
            </w:tcBorders>
          </w:tcPr>
          <w:p>
            <w:pPr>
              <w:spacing w:after="0" w:before="20"/>
            </w:pPr>
            <w:r>
              <w:rPr>
                <w:sz w:val="15"/>
              </w:rPr>
              <w:t>Assignment constraints for exam deadlines and homework, CP-SAT/MILP</w:t>
            </w:r>
          </w:p>
        </w:tc>
        <w:tc>
          <w:tcPr>
            <w:tcW w:type="dxa" w:w="2891"/>
            <w:vAlign w:val="center"/>
            <w:shd w:fill="F5F8FB"/>
            <w:tcBorders>
              <w:bottom w:val="single" w:sz="5" w:color="D5DFE8"/>
            </w:tcBorders>
          </w:tcPr>
          <w:p>
            <w:pPr>
              <w:spacing w:after="0" w:before="20"/>
            </w:pPr>
            <w:r>
              <w:rPr>
                <w:sz w:val="15"/>
              </w:rPr>
              <w:t>Measured advantage over greedy baseline</w:t>
            </w:r>
          </w:p>
        </w:tc>
      </w:tr>
      <w:tr>
        <w:trPr>
          <w:cantSplit/>
        </w:trPr>
        <w:tc>
          <w:tcPr>
            <w:tcW w:type="dxa" w:w="2268"/>
            <w:vAlign w:val="center"/>
            <w:tcBorders>
              <w:bottom w:val="single" w:sz="5" w:color="D5DFE8"/>
            </w:tcBorders>
          </w:tcPr>
          <w:p>
            <w:pPr>
              <w:spacing w:after="0" w:before="20"/>
            </w:pPr>
            <w:r>
              <w:rPr>
                <w:b/>
                <w:sz w:val="15"/>
              </w:rPr>
              <w:t>Phase 5 - adaptive evaluation</w:t>
            </w:r>
          </w:p>
        </w:tc>
        <w:tc>
          <w:tcPr>
            <w:tcW w:type="dxa" w:w="4110"/>
            <w:vAlign w:val="center"/>
            <w:tcBorders>
              <w:bottom w:val="single" w:sz="5" w:color="D5DFE8"/>
            </w:tcBorders>
          </w:tcPr>
          <w:p>
            <w:pPr>
              <w:spacing w:after="0" w:before="20"/>
            </w:pPr>
            <w:r>
              <w:rPr>
                <w:sz w:val="15"/>
              </w:rPr>
              <w:t>Controlled interventions, calibration, longitudinal feedback</w:t>
            </w:r>
          </w:p>
        </w:tc>
        <w:tc>
          <w:tcPr>
            <w:tcW w:type="dxa" w:w="2891"/>
            <w:vAlign w:val="center"/>
            <w:tcBorders>
              <w:bottom w:val="single" w:sz="5" w:color="D5DFE8"/>
            </w:tcBorders>
          </w:tcPr>
          <w:p>
            <w:pPr>
              <w:spacing w:after="0" w:before="20"/>
            </w:pPr>
            <w:r>
              <w:rPr>
                <w:sz w:val="15"/>
              </w:rPr>
              <w:t>Credible improvement with equity audit</w:t>
            </w:r>
          </w:p>
        </w:tc>
      </w:tr>
    </w:tbl>
    <w:p>
      <w:pPr>
        <w:spacing w:after="0"/>
      </w:pPr>
    </w:p>
    <w:p>
      <w:r>
        <w:t>The current version does not understand curriculum topics, special accommodations, irregular term breaks, overnight schedules or non-school activities unless supplied as unavailable time. It does not produce a trustworthy numerical forecast of future grades. Priority coefficients are configurable policy assumptions only through code in this reference implementation; a production product should externalize and version them.</w:t>
      </w:r>
    </w:p>
    <w:p>
      <w:pPr>
        <w:pStyle w:val="Heading1"/>
      </w:pPr>
      <w:r>
        <w:t>References</w:t>
      </w:r>
    </w:p>
    <w:p>
      <w:pPr>
        <w:pStyle w:val="SmallNote"/>
      </w:pPr>
      <w:r>
        <w:t>[1] Dunlosky J. et al. (2013). Improving Students' Learning With Effective Learning Techniques. Psychological Science in the Public Interest, 14(1). https://doi.org/10.1177/1529100612453266</w:t>
      </w:r>
    </w:p>
    <w:p>
      <w:pPr>
        <w:pStyle w:val="SmallNote"/>
      </w:pPr>
      <w:r>
        <w:t>[2] Education Endowment Foundation (2025). Metacognition and Self-Regulated Learning, Second Edition. https://educationendowmentfoundation.org.uk/education-evidence/guidance-reports/metacognition</w:t>
      </w:r>
    </w:p>
    <w:p>
      <w:pPr>
        <w:pStyle w:val="SmallNote"/>
      </w:pPr>
      <w:r>
        <w:t>[3] Oracle. MySQL Connector/Python Developer Guide. https://dev.mysql.com/doc/connector-python/en/</w:t>
      </w:r>
    </w:p>
    <w:p>
      <w:pPr>
        <w:pStyle w:val="SmallNote"/>
      </w:pPr>
      <w:r>
        <w:t>[4] MongoDB. PyMongo Driver: Bulk Write Operations and CRUD Guide. https://www.mongodb.com/docs/languages/python/pymongo-driver/current/crud/bulk-write/</w:t>
      </w:r>
    </w:p>
    <w:p>
      <w:pPr>
        <w:pStyle w:val="Heading1"/>
      </w:pPr>
      <w:r>
        <w:t>Appendix A. Execution quick reference</w:t>
      </w:r>
    </w:p>
    <w:p>
      <w:pPr>
        <w:pStyle w:val="Formula"/>
        <w:shd w:fill="F5F8FB"/>
      </w:pPr>
      <w:r>
        <w:t>python -m asls.cli demo --week 2026-10-19 --output demo.json</w:t>
        <w:br/>
        <w:t>python -m asls.cli student --backend mysql --student-id 101 --week 2026-10-19</w:t>
        <w:br/>
        <w:t>python -m asls.cli class --backend mongodb --class-id 10 --week 2026-10-19</w:t>
        <w:br/>
        <w:t>python -m unittest discover -s tests -v</w:t>
      </w:r>
    </w:p>
    <w:p>
      <w:r>
        <w:t>The project README contains step-by-step installation, schema initialization, synthetic-data seeding, environment configuration, API routes and deployment warnings.</w:t>
      </w:r>
    </w:p>
    <w:sectPr w:rsidR="00FC693F" w:rsidRPr="0006063C" w:rsidSect="00034616">
      <w:headerReference w:type="default" r:id="rId9"/>
      <w:footerReference w:type="default" r:id="rId10"/>
      <w:pgSz w:w="12240" w:h="15840"/>
      <w:pgMar w:top="1202" w:right="1236" w:bottom="1134" w:left="1236" w:header="442" w:footer="46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7884"/>
        <w:sz w:val="15"/>
      </w:rPr>
      <w:t xml:space="preserve">ASLS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465262"/>
        <w:sz w:val="14"/>
      </w:rPr>
      <w:t>ASLS   /   ADAPTIVE STUDENT LEARNING &amp; STUDY SCHEDULING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Liberation Sans" w:hAnsi="Liberation Sans"/>
      <w:color w:val="15284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Liberation Sans" w:hAnsi="Liberation Sans"/>
      <w:b/>
      <w:bCs/>
      <w:color w:val="15284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067284"/>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1528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before="0"/>
      <w:contextualSpacing/>
    </w:pPr>
    <w:rPr>
      <w:rFonts w:asciiTheme="majorHAnsi" w:eastAsiaTheme="majorEastAsia" w:hAnsiTheme="majorHAnsi" w:cstheme="majorBidi" w:ascii="Liberation Sans" w:hAnsi="Liberation Sans"/>
      <w:b/>
      <w:color w:val="1528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basedOn w:val="Normal"/>
    <w:pPr>
      <w:keepLines/>
      <w:spacing w:before="100" w:after="180"/>
      <w:ind w:left="227"/>
    </w:pPr>
    <w:rPr>
      <w:rFonts w:ascii="Liberation Mono" w:hAnsi="Liberation Mono"/>
      <w:color w:val="152845"/>
      <w:sz w:val="19"/>
    </w:rPr>
  </w:style>
  <w:style w:type="paragraph" w:customStyle="1" w:styleId="SmallNote">
    <w:name w:val="SmallNote"/>
    <w:basedOn w:val="Normal"/>
    <w:pPr>
      <w:spacing w:after="100"/>
    </w:pPr>
    <w:rPr>
      <w:color w:val="69788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ASLS: Adaptive Self-Study Recommendation Engine - Technical Whitepaper</dc:title>
  <dc:subject>Algorithm, adaptive learning, MySQL and MongoDB deployment</dc:subject>
  <dc:creator>Technical Architecture</dc:creator>
  <cp:keywords/>
  <dc:description>generated by python-docx</dc:description>
  <cp:lastModifiedBy/>
  <cp:revision>1</cp:revision>
  <dcterms:created xsi:type="dcterms:W3CDTF">2013-12-23T23:15:00Z</dcterms:created>
  <dcterms:modified xsi:type="dcterms:W3CDTF">2013-12-23T23:15:00Z</dcterms:modified>
  <cp:category/>
</cp:coreProperties>
</file>