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School Server Design and Installation Guide</w:t>
      </w:r>
    </w:p>
    <w:p>
      <w:pPr>
        <w:jc w:val="center"/>
      </w:pPr>
      <w:r>
        <w:rPr>
          <w:b/>
          <w:sz w:val="26"/>
        </w:rPr>
        <w:t>Reference architecture for an offline-capable AI platform and student and teacher web applications</w:t>
      </w:r>
    </w:p>
    <w:p>
      <w:pPr>
        <w:jc w:val="center"/>
      </w:pPr>
      <w:r>
        <w:rPr>
          <w:i/>
        </w:rPr>
        <w:t>Design baseline: 1,000–3,000 users • On premises • High availability • Segmented development environment</w:t>
      </w:r>
    </w:p>
    <w:p>
      <w:r>
        <w:br/>
        <w:t>This guide gives a complete reference design and installation sequence for a school that needs reliable administrative services, a private AI engine, and a safe platform where students and teachers can build and publish web applications. The recommended result is a small private cloud: three virtualization hosts carry protected services; a dedicated GPU server performs AI inference; storage and backup remain independent; and student workloads are isolated by network policy and permissions.</w:t>
      </w:r>
    </w:p>
    <w:p>
      <w:r>
        <w:t>The design is intentionally vendor-neutral. Equivalent Dell, HPE, Lenovo, or Supermicro hardware may be substituted after confirming firmware, network adapters, GPU support, power, cooling, and local warranty. Final sizing must follow measured concurrency, dataset size, retention, camera workload, and the AI model selected.</w:t>
      </w:r>
    </w:p>
    <w:p>
      <w:pPr>
        <w:pStyle w:val="Heading1"/>
      </w:pPr>
      <w:r>
        <w:t>Design decision at a glance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c>
          <w:tcPr>
            <w:tcW w:type="dxa" w:w="1800"/>
            <w:shd w:fill="1F4E78"/>
            <w:vAlign w:val="center"/>
            <w:tcMar>
              <w:top w:w="100" w:type="dxa"/>
              <w:start w:w="110" w:type="dxa"/>
              <w:bottom w:w="100" w:type="dxa"/>
              <w:end w:w="110" w:type="dxa"/>
            </w:tcMar>
          </w:tcPr>
          <w:p>
            <w:r>
              <w:rPr>
                <w:b/>
                <w:color w:val="FFFFFF"/>
                <w:sz w:val="18"/>
              </w:rPr>
              <w:t>Area</w:t>
            </w:r>
          </w:p>
        </w:tc>
        <w:tc>
          <w:tcPr>
            <w:tcW w:type="dxa" w:w="3528"/>
            <w:shd w:fill="1F4E78"/>
            <w:vAlign w:val="center"/>
            <w:tcMar>
              <w:top w:w="100" w:type="dxa"/>
              <w:start w:w="110" w:type="dxa"/>
              <w:bottom w:w="100" w:type="dxa"/>
              <w:end w:w="110" w:type="dxa"/>
            </w:tcMar>
          </w:tcPr>
          <w:p>
            <w:r>
              <w:rPr>
                <w:b/>
                <w:color w:val="FFFFFF"/>
                <w:sz w:val="18"/>
              </w:rPr>
              <w:t>Recommended decision</w:t>
            </w:r>
          </w:p>
        </w:tc>
        <w:tc>
          <w:tcPr>
            <w:tcW w:type="dxa" w:w="4608"/>
            <w:shd w:fill="1F4E78"/>
            <w:vAlign w:val="center"/>
            <w:tcMar>
              <w:top w:w="100" w:type="dxa"/>
              <w:start w:w="110" w:type="dxa"/>
              <w:bottom w:w="100" w:type="dxa"/>
              <w:end w:w="110" w:type="dxa"/>
            </w:tcMar>
          </w:tcPr>
          <w:p>
            <w:r>
              <w:rPr>
                <w:b/>
                <w:color w:val="FFFFFF"/>
                <w:sz w:val="18"/>
              </w:rPr>
              <w:t>Reason</w:t>
            </w:r>
          </w:p>
        </w:tc>
      </w:tr>
      <w:tr>
        <w:tc>
          <w:tcPr>
            <w:tcW w:type="dxa" w:w="1800"/>
            <w:vAlign w:val="center"/>
            <w:tcMar>
              <w:top w:w="100" w:type="dxa"/>
              <w:start w:w="110" w:type="dxa"/>
              <w:bottom w:w="100" w:type="dxa"/>
              <w:end w:w="110" w:type="dxa"/>
            </w:tcMar>
          </w:tcPr>
          <w:p>
            <w:pPr>
              <w:spacing w:after="0"/>
            </w:pPr>
            <w:r>
              <w:rPr>
                <w:sz w:val="17"/>
              </w:rPr>
              <w:t>Core compute</w:t>
            </w:r>
          </w:p>
        </w:tc>
        <w:tc>
          <w:tcPr>
            <w:tcW w:type="dxa" w:w="3528"/>
            <w:vAlign w:val="center"/>
            <w:tcMar>
              <w:top w:w="100" w:type="dxa"/>
              <w:start w:w="110" w:type="dxa"/>
              <w:bottom w:w="100" w:type="dxa"/>
              <w:end w:w="110" w:type="dxa"/>
            </w:tcMar>
          </w:tcPr>
          <w:p>
            <w:pPr>
              <w:spacing w:after="0"/>
            </w:pPr>
            <w:r>
              <w:rPr>
                <w:sz w:val="17"/>
              </w:rPr>
              <w:t>Three identical Proxmox VE nodes</w:t>
            </w:r>
          </w:p>
        </w:tc>
        <w:tc>
          <w:tcPr>
            <w:tcW w:type="dxa" w:w="4608"/>
            <w:vAlign w:val="center"/>
            <w:tcMar>
              <w:top w:w="100" w:type="dxa"/>
              <w:start w:w="110" w:type="dxa"/>
              <w:bottom w:w="100" w:type="dxa"/>
              <w:end w:w="110" w:type="dxa"/>
            </w:tcMar>
          </w:tcPr>
          <w:p>
            <w:pPr>
              <w:spacing w:after="0"/>
            </w:pPr>
            <w:r>
              <w:rPr>
                <w:sz w:val="17"/>
              </w:rPr>
              <w:t>Quorum and maintenance without shutting down all services</w:t>
            </w:r>
          </w:p>
        </w:tc>
      </w:tr>
      <w:tr>
        <w:tc>
          <w:tcPr>
            <w:tcW w:type="dxa" w:w="1800"/>
            <w:vAlign w:val="center"/>
            <w:shd w:fill="EAF2F8"/>
            <w:tcMar>
              <w:top w:w="100" w:type="dxa"/>
              <w:start w:w="110" w:type="dxa"/>
              <w:bottom w:w="100" w:type="dxa"/>
              <w:end w:w="110" w:type="dxa"/>
            </w:tcMar>
          </w:tcPr>
          <w:p>
            <w:pPr>
              <w:spacing w:after="0"/>
            </w:pPr>
            <w:r>
              <w:rPr>
                <w:sz w:val="17"/>
              </w:rPr>
              <w:t>AI</w:t>
            </w:r>
          </w:p>
        </w:tc>
        <w:tc>
          <w:tcPr>
            <w:tcW w:type="dxa" w:w="3528"/>
            <w:vAlign w:val="center"/>
            <w:shd w:fill="EAF2F8"/>
            <w:tcMar>
              <w:top w:w="100" w:type="dxa"/>
              <w:start w:w="110" w:type="dxa"/>
              <w:bottom w:w="100" w:type="dxa"/>
              <w:end w:w="110" w:type="dxa"/>
            </w:tcMar>
          </w:tcPr>
          <w:p>
            <w:pPr>
              <w:spacing w:after="0"/>
            </w:pPr>
            <w:r>
              <w:rPr>
                <w:sz w:val="17"/>
              </w:rPr>
              <w:t>Dedicated Ubuntu GPU server</w:t>
            </w:r>
          </w:p>
        </w:tc>
        <w:tc>
          <w:tcPr>
            <w:tcW w:type="dxa" w:w="4608"/>
            <w:vAlign w:val="center"/>
            <w:shd w:fill="EAF2F8"/>
            <w:tcMar>
              <w:top w:w="100" w:type="dxa"/>
              <w:start w:w="110" w:type="dxa"/>
              <w:bottom w:w="100" w:type="dxa"/>
              <w:end w:w="110" w:type="dxa"/>
            </w:tcMar>
          </w:tcPr>
          <w:p>
            <w:pPr>
              <w:spacing w:after="0"/>
            </w:pPr>
            <w:r>
              <w:rPr>
                <w:sz w:val="17"/>
              </w:rPr>
              <w:t>Prevents AI jobs from starving school applications</w:t>
            </w:r>
          </w:p>
        </w:tc>
      </w:tr>
      <w:tr>
        <w:tc>
          <w:tcPr>
            <w:tcW w:type="dxa" w:w="1800"/>
            <w:vAlign w:val="center"/>
            <w:tcMar>
              <w:top w:w="100" w:type="dxa"/>
              <w:start w:w="110" w:type="dxa"/>
              <w:bottom w:w="100" w:type="dxa"/>
              <w:end w:w="110" w:type="dxa"/>
            </w:tcMar>
          </w:tcPr>
          <w:p>
            <w:pPr>
              <w:spacing w:after="0"/>
            </w:pPr>
            <w:r>
              <w:rPr>
                <w:sz w:val="17"/>
              </w:rPr>
              <w:t>Applications</w:t>
            </w:r>
          </w:p>
        </w:tc>
        <w:tc>
          <w:tcPr>
            <w:tcW w:type="dxa" w:w="3528"/>
            <w:vAlign w:val="center"/>
            <w:tcMar>
              <w:top w:w="100" w:type="dxa"/>
              <w:start w:w="110" w:type="dxa"/>
              <w:bottom w:w="100" w:type="dxa"/>
              <w:end w:w="110" w:type="dxa"/>
            </w:tcMar>
          </w:tcPr>
          <w:p>
            <w:pPr>
              <w:spacing w:after="0"/>
            </w:pPr>
            <w:r>
              <w:rPr>
                <w:sz w:val="17"/>
              </w:rPr>
              <w:t>VMs for protected services; Docker for app workloads</w:t>
            </w:r>
          </w:p>
        </w:tc>
        <w:tc>
          <w:tcPr>
            <w:tcW w:type="dxa" w:w="4608"/>
            <w:vAlign w:val="center"/>
            <w:tcMar>
              <w:top w:w="100" w:type="dxa"/>
              <w:start w:w="110" w:type="dxa"/>
              <w:bottom w:w="100" w:type="dxa"/>
              <w:end w:w="110" w:type="dxa"/>
            </w:tcMar>
          </w:tcPr>
          <w:p>
            <w:pPr>
              <w:spacing w:after="0"/>
            </w:pPr>
            <w:r>
              <w:rPr>
                <w:sz w:val="17"/>
              </w:rPr>
              <w:t>Clear isolation with simple operations</w:t>
            </w:r>
          </w:p>
        </w:tc>
      </w:tr>
      <w:tr>
        <w:tc>
          <w:tcPr>
            <w:tcW w:type="dxa" w:w="1800"/>
            <w:vAlign w:val="center"/>
            <w:shd w:fill="EAF2F8"/>
            <w:tcMar>
              <w:top w:w="100" w:type="dxa"/>
              <w:start w:w="110" w:type="dxa"/>
              <w:bottom w:w="100" w:type="dxa"/>
              <w:end w:w="110" w:type="dxa"/>
            </w:tcMar>
          </w:tcPr>
          <w:p>
            <w:pPr>
              <w:spacing w:after="0"/>
            </w:pPr>
            <w:r>
              <w:rPr>
                <w:sz w:val="17"/>
              </w:rPr>
              <w:t>Student projects</w:t>
            </w:r>
          </w:p>
        </w:tc>
        <w:tc>
          <w:tcPr>
            <w:tcW w:type="dxa" w:w="3528"/>
            <w:vAlign w:val="center"/>
            <w:shd w:fill="EAF2F8"/>
            <w:tcMar>
              <w:top w:w="100" w:type="dxa"/>
              <w:start w:w="110" w:type="dxa"/>
              <w:bottom w:w="100" w:type="dxa"/>
              <w:end w:w="110" w:type="dxa"/>
            </w:tcMar>
          </w:tcPr>
          <w:p>
            <w:pPr>
              <w:spacing w:after="0"/>
            </w:pPr>
            <w:r>
              <w:rPr>
                <w:sz w:val="17"/>
              </w:rPr>
              <w:t>Separate VLAN, Git service, CI runner, quotas and reverse proxy</w:t>
            </w:r>
          </w:p>
        </w:tc>
        <w:tc>
          <w:tcPr>
            <w:tcW w:type="dxa" w:w="4608"/>
            <w:vAlign w:val="center"/>
            <w:shd w:fill="EAF2F8"/>
            <w:tcMar>
              <w:top w:w="100" w:type="dxa"/>
              <w:start w:w="110" w:type="dxa"/>
              <w:bottom w:w="100" w:type="dxa"/>
              <w:end w:w="110" w:type="dxa"/>
            </w:tcMar>
          </w:tcPr>
          <w:p>
            <w:pPr>
              <w:spacing w:after="0"/>
            </w:pPr>
            <w:r>
              <w:rPr>
                <w:sz w:val="17"/>
              </w:rPr>
              <w:t>Limits blast radius of unsafe or broken code</w:t>
            </w:r>
          </w:p>
        </w:tc>
      </w:tr>
      <w:tr>
        <w:tc>
          <w:tcPr>
            <w:tcW w:type="dxa" w:w="1800"/>
            <w:vAlign w:val="center"/>
            <w:tcMar>
              <w:top w:w="100" w:type="dxa"/>
              <w:start w:w="110" w:type="dxa"/>
              <w:bottom w:w="100" w:type="dxa"/>
              <w:end w:w="110" w:type="dxa"/>
            </w:tcMar>
          </w:tcPr>
          <w:p>
            <w:pPr>
              <w:spacing w:after="0"/>
            </w:pPr>
            <w:r>
              <w:rPr>
                <w:sz w:val="17"/>
              </w:rPr>
              <w:t>Data</w:t>
            </w:r>
          </w:p>
        </w:tc>
        <w:tc>
          <w:tcPr>
            <w:tcW w:type="dxa" w:w="3528"/>
            <w:vAlign w:val="center"/>
            <w:tcMar>
              <w:top w:w="100" w:type="dxa"/>
              <w:start w:w="110" w:type="dxa"/>
              <w:bottom w:w="100" w:type="dxa"/>
              <w:end w:w="110" w:type="dxa"/>
            </w:tcMar>
          </w:tcPr>
          <w:p>
            <w:pPr>
              <w:spacing w:after="0"/>
            </w:pPr>
            <w:r>
              <w:rPr>
                <w:sz w:val="17"/>
              </w:rPr>
              <w:t>Central PostgreSQL service for approved apps; separate test databases</w:t>
            </w:r>
          </w:p>
        </w:tc>
        <w:tc>
          <w:tcPr>
            <w:tcW w:type="dxa" w:w="4608"/>
            <w:vAlign w:val="center"/>
            <w:tcMar>
              <w:top w:w="100" w:type="dxa"/>
              <w:start w:w="110" w:type="dxa"/>
              <w:bottom w:w="100" w:type="dxa"/>
              <w:end w:w="110" w:type="dxa"/>
            </w:tcMar>
          </w:tcPr>
          <w:p>
            <w:pPr>
              <w:spacing w:after="0"/>
            </w:pPr>
            <w:r>
              <w:rPr>
                <w:sz w:val="17"/>
              </w:rPr>
              <w:t>Protects production records</w:t>
            </w:r>
          </w:p>
        </w:tc>
      </w:tr>
      <w:tr>
        <w:tc>
          <w:tcPr>
            <w:tcW w:type="dxa" w:w="1800"/>
            <w:vAlign w:val="center"/>
            <w:shd w:fill="EAF2F8"/>
            <w:tcMar>
              <w:top w:w="100" w:type="dxa"/>
              <w:start w:w="110" w:type="dxa"/>
              <w:bottom w:w="100" w:type="dxa"/>
              <w:end w:w="110" w:type="dxa"/>
            </w:tcMar>
          </w:tcPr>
          <w:p>
            <w:pPr>
              <w:spacing w:after="0"/>
            </w:pPr>
            <w:r>
              <w:rPr>
                <w:sz w:val="17"/>
              </w:rPr>
              <w:t>Storage</w:t>
            </w:r>
          </w:p>
        </w:tc>
        <w:tc>
          <w:tcPr>
            <w:tcW w:type="dxa" w:w="3528"/>
            <w:vAlign w:val="center"/>
            <w:shd w:fill="EAF2F8"/>
            <w:tcMar>
              <w:top w:w="100" w:type="dxa"/>
              <w:start w:w="110" w:type="dxa"/>
              <w:bottom w:w="100" w:type="dxa"/>
              <w:end w:w="110" w:type="dxa"/>
            </w:tcMar>
          </w:tcPr>
          <w:p>
            <w:pPr>
              <w:spacing w:after="0"/>
            </w:pPr>
            <w:r>
              <w:rPr>
                <w:sz w:val="17"/>
              </w:rPr>
              <w:t>Redundant NAS with snapshots</w:t>
            </w:r>
          </w:p>
        </w:tc>
        <w:tc>
          <w:tcPr>
            <w:tcW w:type="dxa" w:w="4608"/>
            <w:vAlign w:val="center"/>
            <w:shd w:fill="EAF2F8"/>
            <w:tcMar>
              <w:top w:w="100" w:type="dxa"/>
              <w:start w:w="110" w:type="dxa"/>
              <w:bottom w:w="100" w:type="dxa"/>
              <w:end w:w="110" w:type="dxa"/>
            </w:tcMar>
          </w:tcPr>
          <w:p>
            <w:pPr>
              <w:spacing w:after="0"/>
            </w:pPr>
            <w:r>
              <w:rPr>
                <w:sz w:val="17"/>
              </w:rPr>
              <w:t>Shared files and VM data with recoverability</w:t>
            </w:r>
          </w:p>
        </w:tc>
      </w:tr>
      <w:tr>
        <w:tc>
          <w:tcPr>
            <w:tcW w:type="dxa" w:w="1800"/>
            <w:vAlign w:val="center"/>
            <w:tcMar>
              <w:top w:w="100" w:type="dxa"/>
              <w:start w:w="110" w:type="dxa"/>
              <w:bottom w:w="100" w:type="dxa"/>
              <w:end w:w="110" w:type="dxa"/>
            </w:tcMar>
          </w:tcPr>
          <w:p>
            <w:pPr>
              <w:spacing w:after="0"/>
            </w:pPr>
            <w:r>
              <w:rPr>
                <w:sz w:val="17"/>
              </w:rPr>
              <w:t>Backup</w:t>
            </w:r>
          </w:p>
        </w:tc>
        <w:tc>
          <w:tcPr>
            <w:tcW w:type="dxa" w:w="3528"/>
            <w:vAlign w:val="center"/>
            <w:tcMar>
              <w:top w:w="100" w:type="dxa"/>
              <w:start w:w="110" w:type="dxa"/>
              <w:bottom w:w="100" w:type="dxa"/>
              <w:end w:w="110" w:type="dxa"/>
            </w:tcMar>
          </w:tcPr>
          <w:p>
            <w:pPr>
              <w:spacing w:after="0"/>
            </w:pPr>
            <w:r>
              <w:rPr>
                <w:sz w:val="17"/>
              </w:rPr>
              <w:t>Independent backup server plus offline or off-site copy</w:t>
            </w:r>
          </w:p>
        </w:tc>
        <w:tc>
          <w:tcPr>
            <w:tcW w:type="dxa" w:w="4608"/>
            <w:vAlign w:val="center"/>
            <w:tcMar>
              <w:top w:w="100" w:type="dxa"/>
              <w:start w:w="110" w:type="dxa"/>
              <w:bottom w:w="100" w:type="dxa"/>
              <w:end w:w="110" w:type="dxa"/>
            </w:tcMar>
          </w:tcPr>
          <w:p>
            <w:pPr>
              <w:spacing w:after="0"/>
            </w:pPr>
            <w:r>
              <w:rPr>
                <w:sz w:val="17"/>
              </w:rPr>
              <w:t>A snapshot alone is not a backup</w:t>
            </w:r>
          </w:p>
        </w:tc>
      </w:tr>
      <w:tr>
        <w:tc>
          <w:tcPr>
            <w:tcW w:type="dxa" w:w="1800"/>
            <w:vAlign w:val="center"/>
            <w:shd w:fill="EAF2F8"/>
            <w:tcMar>
              <w:top w:w="100" w:type="dxa"/>
              <w:start w:w="110" w:type="dxa"/>
              <w:bottom w:w="100" w:type="dxa"/>
              <w:end w:w="110" w:type="dxa"/>
            </w:tcMar>
          </w:tcPr>
          <w:p>
            <w:pPr>
              <w:spacing w:after="0"/>
            </w:pPr>
            <w:r>
              <w:rPr>
                <w:sz w:val="17"/>
              </w:rPr>
              <w:t>Security</w:t>
            </w:r>
          </w:p>
        </w:tc>
        <w:tc>
          <w:tcPr>
            <w:tcW w:type="dxa" w:w="3528"/>
            <w:vAlign w:val="center"/>
            <w:shd w:fill="EAF2F8"/>
            <w:tcMar>
              <w:top w:w="100" w:type="dxa"/>
              <w:start w:w="110" w:type="dxa"/>
              <w:bottom w:w="100" w:type="dxa"/>
              <w:end w:w="110" w:type="dxa"/>
            </w:tcMar>
          </w:tcPr>
          <w:p>
            <w:pPr>
              <w:spacing w:after="0"/>
            </w:pPr>
            <w:r>
              <w:rPr>
                <w:sz w:val="17"/>
              </w:rPr>
              <w:t>Default-deny VLAN firewall rules and MFA for administrators</w:t>
            </w:r>
          </w:p>
        </w:tc>
        <w:tc>
          <w:tcPr>
            <w:tcW w:type="dxa" w:w="4608"/>
            <w:vAlign w:val="center"/>
            <w:shd w:fill="EAF2F8"/>
            <w:tcMar>
              <w:top w:w="100" w:type="dxa"/>
              <w:start w:w="110" w:type="dxa"/>
              <w:bottom w:w="100" w:type="dxa"/>
              <w:end w:w="110" w:type="dxa"/>
            </w:tcMar>
          </w:tcPr>
          <w:p>
            <w:pPr>
              <w:spacing w:after="0"/>
            </w:pPr>
            <w:r>
              <w:rPr>
                <w:sz w:val="17"/>
              </w:rPr>
              <w:t>Student and IoT networks never reach protected data directly</w:t>
            </w:r>
          </w:p>
        </w:tc>
      </w:tr>
    </w:tbl>
    <w:p>
      <w:pPr>
        <w:spacing w:after="40"/>
      </w:pPr>
    </w:p>
    <w:p>
      <w:pPr>
        <w:pStyle w:val="Heading1"/>
      </w:pPr>
      <w:r>
        <w:t>1 Scope and assumptions</w:t>
      </w:r>
    </w:p>
    <w:p>
      <w:pPr>
        <w:pStyle w:val="ListBullet"/>
      </w:pPr>
      <w:r>
        <w:t>Medium school with approximately 1,000–3,000 named users and fewer than 500 concurrent users.</w:t>
      </w:r>
    </w:p>
    <w:p>
      <w:pPr>
        <w:pStyle w:val="ListBullet"/>
      </w:pPr>
      <w:r>
        <w:t>One secure server room with controlled access, cooling, UPS power, grounding, fire detection, and redundant network switching.</w:t>
      </w:r>
    </w:p>
    <w:p>
      <w:pPr>
        <w:pStyle w:val="ListBullet"/>
      </w:pPr>
      <w:r>
        <w:t>Internet may fail; core applications and the knowledge-base AI must continue locally.</w:t>
      </w:r>
    </w:p>
    <w:p>
      <w:pPr>
        <w:pStyle w:val="ListBullet"/>
      </w:pPr>
      <w:r>
        <w:t>The school hosts an LMS, intranet, identity services, databases, file services, monitoring, source control, development workspaces, and dozens of small web applications.</w:t>
      </w:r>
    </w:p>
    <w:p>
      <w:pPr>
        <w:pStyle w:val="ListBullet"/>
      </w:pPr>
      <w:r>
        <w:t>AI is primarily inference and retrieval-augmented generation, not training a foundation model from scratch.</w:t>
      </w:r>
    </w:p>
    <w:p>
      <w:pPr>
        <w:pStyle w:val="ListBullet"/>
      </w:pPr>
      <w:r>
        <w:t>A trained systems administrator owns operations; students do not receive hypervisor, firewall, backup, or production database administration rights.</w:t>
      </w:r>
    </w:p>
    <w:p>
      <w:pPr>
        <w:pStyle w:val="Heading2"/>
      </w:pPr>
      <w:r>
        <w:t>Availability targets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c>
          <w:tcPr>
            <w:tcW w:type="dxa" w:w="1584"/>
            <w:shd w:fill="1F4E78"/>
            <w:vAlign w:val="center"/>
            <w:tcMar>
              <w:top w:w="100" w:type="dxa"/>
              <w:start w:w="110" w:type="dxa"/>
              <w:bottom w:w="100" w:type="dxa"/>
              <w:end w:w="110" w:type="dxa"/>
            </w:tcMar>
          </w:tcPr>
          <w:p>
            <w:r>
              <w:rPr>
                <w:b/>
                <w:color w:val="FFFFFF"/>
                <w:sz w:val="18"/>
              </w:rPr>
              <w:t>Service class</w:t>
            </w:r>
          </w:p>
        </w:tc>
        <w:tc>
          <w:tcPr>
            <w:tcW w:type="dxa" w:w="3384"/>
            <w:shd w:fill="1F4E78"/>
            <w:vAlign w:val="center"/>
            <w:tcMar>
              <w:top w:w="100" w:type="dxa"/>
              <w:start w:w="110" w:type="dxa"/>
              <w:bottom w:w="100" w:type="dxa"/>
              <w:end w:w="110" w:type="dxa"/>
            </w:tcMar>
          </w:tcPr>
          <w:p>
            <w:r>
              <w:rPr>
                <w:b/>
                <w:color w:val="FFFFFF"/>
                <w:sz w:val="18"/>
              </w:rPr>
              <w:t>Examples</w:t>
            </w:r>
          </w:p>
        </w:tc>
        <w:tc>
          <w:tcPr>
            <w:tcW w:type="dxa" w:w="1872"/>
            <w:shd w:fill="1F4E78"/>
            <w:vAlign w:val="center"/>
            <w:tcMar>
              <w:top w:w="100" w:type="dxa"/>
              <w:start w:w="110" w:type="dxa"/>
              <w:bottom w:w="100" w:type="dxa"/>
              <w:end w:w="110" w:type="dxa"/>
            </w:tcMar>
          </w:tcPr>
          <w:p>
            <w:r>
              <w:rPr>
                <w:b/>
                <w:color w:val="FFFFFF"/>
                <w:sz w:val="18"/>
              </w:rPr>
              <w:t>Target</w:t>
            </w:r>
          </w:p>
        </w:tc>
        <w:tc>
          <w:tcPr>
            <w:tcW w:type="dxa" w:w="3312"/>
            <w:shd w:fill="1F4E78"/>
            <w:vAlign w:val="center"/>
            <w:tcMar>
              <w:top w:w="100" w:type="dxa"/>
              <w:start w:w="110" w:type="dxa"/>
              <w:bottom w:w="100" w:type="dxa"/>
              <w:end w:w="110" w:type="dxa"/>
            </w:tcMar>
          </w:tcPr>
          <w:p>
            <w:r>
              <w:rPr>
                <w:b/>
                <w:color w:val="FFFFFF"/>
                <w:sz w:val="18"/>
              </w:rPr>
              <w:t>Recovery approach</w:t>
            </w:r>
          </w:p>
        </w:tc>
      </w:tr>
      <w:tr>
        <w:tc>
          <w:tcPr>
            <w:tcW w:type="dxa" w:w="1584"/>
            <w:vAlign w:val="center"/>
            <w:tcMar>
              <w:top w:w="100" w:type="dxa"/>
              <w:start w:w="110" w:type="dxa"/>
              <w:bottom w:w="100" w:type="dxa"/>
              <w:end w:w="110" w:type="dxa"/>
            </w:tcMar>
          </w:tcPr>
          <w:p>
            <w:pPr>
              <w:spacing w:after="0"/>
            </w:pPr>
            <w:r>
              <w:rPr>
                <w:sz w:val="17"/>
              </w:rPr>
              <w:t>Critical</w:t>
            </w:r>
          </w:p>
        </w:tc>
        <w:tc>
          <w:tcPr>
            <w:tcW w:type="dxa" w:w="3384"/>
            <w:vAlign w:val="center"/>
            <w:tcMar>
              <w:top w:w="100" w:type="dxa"/>
              <w:start w:w="110" w:type="dxa"/>
              <w:bottom w:w="100" w:type="dxa"/>
              <w:end w:w="110" w:type="dxa"/>
            </w:tcMar>
          </w:tcPr>
          <w:p>
            <w:pPr>
              <w:spacing w:after="0"/>
            </w:pPr>
            <w:r>
              <w:rPr>
                <w:sz w:val="17"/>
              </w:rPr>
              <w:t>Identity, DNS, firewall, student information integration</w:t>
            </w:r>
          </w:p>
        </w:tc>
        <w:tc>
          <w:tcPr>
            <w:tcW w:type="dxa" w:w="1872"/>
            <w:vAlign w:val="center"/>
            <w:tcMar>
              <w:top w:w="100" w:type="dxa"/>
              <w:start w:w="110" w:type="dxa"/>
              <w:bottom w:w="100" w:type="dxa"/>
              <w:end w:w="110" w:type="dxa"/>
            </w:tcMar>
          </w:tcPr>
          <w:p>
            <w:pPr>
              <w:spacing w:after="0"/>
            </w:pPr>
            <w:r>
              <w:rPr>
                <w:sz w:val="17"/>
              </w:rPr>
              <w:t>99.9% during school hours</w:t>
            </w:r>
          </w:p>
        </w:tc>
        <w:tc>
          <w:tcPr>
            <w:tcW w:type="dxa" w:w="3312"/>
            <w:vAlign w:val="center"/>
            <w:tcMar>
              <w:top w:w="100" w:type="dxa"/>
              <w:start w:w="110" w:type="dxa"/>
              <w:bottom w:w="100" w:type="dxa"/>
              <w:end w:w="110" w:type="dxa"/>
            </w:tcMar>
          </w:tcPr>
          <w:p>
            <w:pPr>
              <w:spacing w:after="0"/>
            </w:pPr>
            <w:r>
              <w:rPr>
                <w:sz w:val="17"/>
              </w:rPr>
              <w:t>HA VMs, configuration backup, tested restore</w:t>
            </w:r>
          </w:p>
        </w:tc>
      </w:tr>
      <w:tr>
        <w:tc>
          <w:tcPr>
            <w:tcW w:type="dxa" w:w="1584"/>
            <w:vAlign w:val="center"/>
            <w:shd w:fill="EAF2F8"/>
            <w:tcMar>
              <w:top w:w="100" w:type="dxa"/>
              <w:start w:w="110" w:type="dxa"/>
              <w:bottom w:w="100" w:type="dxa"/>
              <w:end w:w="110" w:type="dxa"/>
            </w:tcMar>
          </w:tcPr>
          <w:p>
            <w:pPr>
              <w:spacing w:after="0"/>
            </w:pPr>
            <w:r>
              <w:rPr>
                <w:sz w:val="17"/>
              </w:rPr>
              <w:t>Important</w:t>
            </w:r>
          </w:p>
        </w:tc>
        <w:tc>
          <w:tcPr>
            <w:tcW w:type="dxa" w:w="3384"/>
            <w:vAlign w:val="center"/>
            <w:shd w:fill="EAF2F8"/>
            <w:tcMar>
              <w:top w:w="100" w:type="dxa"/>
              <w:start w:w="110" w:type="dxa"/>
              <w:bottom w:w="100" w:type="dxa"/>
              <w:end w:w="110" w:type="dxa"/>
            </w:tcMar>
          </w:tcPr>
          <w:p>
            <w:pPr>
              <w:spacing w:after="0"/>
            </w:pPr>
            <w:r>
              <w:rPr>
                <w:sz w:val="17"/>
              </w:rPr>
              <w:t>LMS, Git, shared databases, AI gateway</w:t>
            </w:r>
          </w:p>
        </w:tc>
        <w:tc>
          <w:tcPr>
            <w:tcW w:type="dxa" w:w="1872"/>
            <w:vAlign w:val="center"/>
            <w:shd w:fill="EAF2F8"/>
            <w:tcMar>
              <w:top w:w="100" w:type="dxa"/>
              <w:start w:w="110" w:type="dxa"/>
              <w:bottom w:w="100" w:type="dxa"/>
              <w:end w:w="110" w:type="dxa"/>
            </w:tcMar>
          </w:tcPr>
          <w:p>
            <w:pPr>
              <w:spacing w:after="0"/>
            </w:pPr>
            <w:r>
              <w:rPr>
                <w:sz w:val="17"/>
              </w:rPr>
              <w:t>99.5%</w:t>
            </w:r>
          </w:p>
        </w:tc>
        <w:tc>
          <w:tcPr>
            <w:tcW w:type="dxa" w:w="3312"/>
            <w:vAlign w:val="center"/>
            <w:shd w:fill="EAF2F8"/>
            <w:tcMar>
              <w:top w:w="100" w:type="dxa"/>
              <w:start w:w="110" w:type="dxa"/>
              <w:bottom w:w="100" w:type="dxa"/>
              <w:end w:w="110" w:type="dxa"/>
            </w:tcMar>
          </w:tcPr>
          <w:p>
            <w:pPr>
              <w:spacing w:after="0"/>
            </w:pPr>
            <w:r>
              <w:rPr>
                <w:sz w:val="17"/>
              </w:rPr>
              <w:t>Restart or failover; documented maintenance window</w:t>
            </w:r>
          </w:p>
        </w:tc>
      </w:tr>
      <w:tr>
        <w:tc>
          <w:tcPr>
            <w:tcW w:type="dxa" w:w="1584"/>
            <w:vAlign w:val="center"/>
            <w:tcMar>
              <w:top w:w="100" w:type="dxa"/>
              <w:start w:w="110" w:type="dxa"/>
              <w:bottom w:w="100" w:type="dxa"/>
              <w:end w:w="110" w:type="dxa"/>
            </w:tcMar>
          </w:tcPr>
          <w:p>
            <w:pPr>
              <w:spacing w:after="0"/>
            </w:pPr>
            <w:r>
              <w:rPr>
                <w:sz w:val="17"/>
              </w:rPr>
              <w:t>Experimental</w:t>
            </w:r>
          </w:p>
        </w:tc>
        <w:tc>
          <w:tcPr>
            <w:tcW w:type="dxa" w:w="3384"/>
            <w:vAlign w:val="center"/>
            <w:tcMar>
              <w:top w:w="100" w:type="dxa"/>
              <w:start w:w="110" w:type="dxa"/>
              <w:bottom w:w="100" w:type="dxa"/>
              <w:end w:w="110" w:type="dxa"/>
            </w:tcMar>
          </w:tcPr>
          <w:p>
            <w:pPr>
              <w:spacing w:after="0"/>
            </w:pPr>
            <w:r>
              <w:rPr>
                <w:sz w:val="17"/>
              </w:rPr>
              <w:t>Student projects and sandboxes</w:t>
            </w:r>
          </w:p>
        </w:tc>
        <w:tc>
          <w:tcPr>
            <w:tcW w:type="dxa" w:w="1872"/>
            <w:vAlign w:val="center"/>
            <w:tcMar>
              <w:top w:w="100" w:type="dxa"/>
              <w:start w:w="110" w:type="dxa"/>
              <w:bottom w:w="100" w:type="dxa"/>
              <w:end w:w="110" w:type="dxa"/>
            </w:tcMar>
          </w:tcPr>
          <w:p>
            <w:pPr>
              <w:spacing w:after="0"/>
            </w:pPr>
            <w:r>
              <w:rPr>
                <w:sz w:val="17"/>
              </w:rPr>
              <w:t>Best effort</w:t>
            </w:r>
          </w:p>
        </w:tc>
        <w:tc>
          <w:tcPr>
            <w:tcW w:type="dxa" w:w="3312"/>
            <w:vAlign w:val="center"/>
            <w:tcMar>
              <w:top w:w="100" w:type="dxa"/>
              <w:start w:w="110" w:type="dxa"/>
              <w:bottom w:w="100" w:type="dxa"/>
              <w:end w:w="110" w:type="dxa"/>
            </w:tcMar>
          </w:tcPr>
          <w:p>
            <w:pPr>
              <w:spacing w:after="0"/>
            </w:pPr>
            <w:r>
              <w:rPr>
                <w:sz w:val="17"/>
              </w:rPr>
              <w:t>Redeploy from Git; no guarantee</w:t>
            </w:r>
          </w:p>
        </w:tc>
      </w:tr>
      <w:tr>
        <w:tc>
          <w:tcPr>
            <w:tcW w:type="dxa" w:w="1584"/>
            <w:vAlign w:val="center"/>
            <w:shd w:fill="EAF2F8"/>
            <w:tcMar>
              <w:top w:w="100" w:type="dxa"/>
              <w:start w:w="110" w:type="dxa"/>
              <w:bottom w:w="100" w:type="dxa"/>
              <w:end w:w="110" w:type="dxa"/>
            </w:tcMar>
          </w:tcPr>
          <w:p>
            <w:pPr>
              <w:spacing w:after="0"/>
            </w:pPr>
            <w:r>
              <w:rPr>
                <w:sz w:val="17"/>
              </w:rPr>
              <w:t>Archive</w:t>
            </w:r>
          </w:p>
        </w:tc>
        <w:tc>
          <w:tcPr>
            <w:tcW w:type="dxa" w:w="3384"/>
            <w:vAlign w:val="center"/>
            <w:shd w:fill="EAF2F8"/>
            <w:tcMar>
              <w:top w:w="100" w:type="dxa"/>
              <w:start w:w="110" w:type="dxa"/>
              <w:bottom w:w="100" w:type="dxa"/>
              <w:end w:w="110" w:type="dxa"/>
            </w:tcMar>
          </w:tcPr>
          <w:p>
            <w:pPr>
              <w:spacing w:after="0"/>
            </w:pPr>
            <w:r>
              <w:rPr>
                <w:sz w:val="17"/>
              </w:rPr>
              <w:t>Old datasets and project artifacts</w:t>
            </w:r>
          </w:p>
        </w:tc>
        <w:tc>
          <w:tcPr>
            <w:tcW w:type="dxa" w:w="1872"/>
            <w:vAlign w:val="center"/>
            <w:shd w:fill="EAF2F8"/>
            <w:tcMar>
              <w:top w:w="100" w:type="dxa"/>
              <w:start w:w="110" w:type="dxa"/>
              <w:bottom w:w="100" w:type="dxa"/>
              <w:end w:w="110" w:type="dxa"/>
            </w:tcMar>
          </w:tcPr>
          <w:p>
            <w:pPr>
              <w:spacing w:after="0"/>
            </w:pPr>
            <w:r>
              <w:rPr>
                <w:sz w:val="17"/>
              </w:rPr>
              <w:t>Capacity focused</w:t>
            </w:r>
          </w:p>
        </w:tc>
        <w:tc>
          <w:tcPr>
            <w:tcW w:type="dxa" w:w="3312"/>
            <w:vAlign w:val="center"/>
            <w:shd w:fill="EAF2F8"/>
            <w:tcMar>
              <w:top w:w="100" w:type="dxa"/>
              <w:start w:w="110" w:type="dxa"/>
              <w:bottom w:w="100" w:type="dxa"/>
              <w:end w:w="110" w:type="dxa"/>
            </w:tcMar>
          </w:tcPr>
          <w:p>
            <w:pPr>
              <w:spacing w:after="0"/>
            </w:pPr>
            <w:r>
              <w:rPr>
                <w:sz w:val="17"/>
              </w:rPr>
              <w:t>Snapshots plus backup retention</w:t>
            </w:r>
          </w:p>
        </w:tc>
      </w:tr>
    </w:tbl>
    <w:p>
      <w:pPr>
        <w:spacing w:after="40"/>
      </w:pPr>
    </w:p>
    <w:p>
      <w:pPr>
        <w:pStyle w:val="Heading1"/>
      </w:pPr>
      <w:r>
        <w:t>2 Physical and logical architecture</w:t>
      </w:r>
    </w:p>
    <w:p>
      <w:r>
        <w:t>The protected and experimental environments share physical infrastructure only where controls are explicit. The firewall is the policy enforcement point. Management interfaces use a dedicated VLAN and are reachable only from an administrator workstation or VPN.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c>
          <w:tcPr>
            <w:tcW w:type="dxa" w:w="2232"/>
            <w:shd w:fill="1F4E78"/>
            <w:vAlign w:val="center"/>
            <w:tcMar>
              <w:top w:w="100" w:type="dxa"/>
              <w:start w:w="110" w:type="dxa"/>
              <w:bottom w:w="100" w:type="dxa"/>
              <w:end w:w="110" w:type="dxa"/>
            </w:tcMar>
          </w:tcPr>
          <w:p>
            <w:r>
              <w:rPr>
                <w:b/>
                <w:color w:val="FFFFFF"/>
                <w:sz w:val="18"/>
              </w:rPr>
              <w:t>Zone / component</w:t>
            </w:r>
          </w:p>
        </w:tc>
        <w:tc>
          <w:tcPr>
            <w:tcW w:type="dxa" w:w="3024"/>
            <w:shd w:fill="1F4E78"/>
            <w:vAlign w:val="center"/>
            <w:tcMar>
              <w:top w:w="100" w:type="dxa"/>
              <w:start w:w="110" w:type="dxa"/>
              <w:bottom w:w="100" w:type="dxa"/>
              <w:end w:w="110" w:type="dxa"/>
            </w:tcMar>
          </w:tcPr>
          <w:p>
            <w:r>
              <w:rPr>
                <w:b/>
                <w:color w:val="FFFFFF"/>
                <w:sz w:val="18"/>
              </w:rPr>
              <w:t>Connections</w:t>
            </w:r>
          </w:p>
        </w:tc>
        <w:tc>
          <w:tcPr>
            <w:tcW w:type="dxa" w:w="4608"/>
            <w:shd w:fill="1F4E78"/>
            <w:vAlign w:val="center"/>
            <w:tcMar>
              <w:top w:w="100" w:type="dxa"/>
              <w:start w:w="110" w:type="dxa"/>
              <w:bottom w:w="100" w:type="dxa"/>
              <w:end w:w="110" w:type="dxa"/>
            </w:tcMar>
          </w:tcPr>
          <w:p>
            <w:r>
              <w:rPr>
                <w:b/>
                <w:color w:val="FFFFFF"/>
                <w:sz w:val="18"/>
              </w:rPr>
              <w:t>Primary function</w:t>
            </w:r>
          </w:p>
        </w:tc>
      </w:tr>
      <w:tr>
        <w:tc>
          <w:tcPr>
            <w:tcW w:type="dxa" w:w="2232"/>
            <w:vAlign w:val="center"/>
            <w:tcMar>
              <w:top w:w="100" w:type="dxa"/>
              <w:start w:w="110" w:type="dxa"/>
              <w:bottom w:w="100" w:type="dxa"/>
              <w:end w:w="110" w:type="dxa"/>
            </w:tcMar>
          </w:tcPr>
          <w:p>
            <w:pPr>
              <w:spacing w:after="0"/>
            </w:pPr>
            <w:r>
              <w:rPr>
                <w:sz w:val="17"/>
              </w:rPr>
              <w:t>Internet edge</w:t>
            </w:r>
          </w:p>
        </w:tc>
        <w:tc>
          <w:tcPr>
            <w:tcW w:type="dxa" w:w="3024"/>
            <w:vAlign w:val="center"/>
            <w:tcMar>
              <w:top w:w="100" w:type="dxa"/>
              <w:start w:w="110" w:type="dxa"/>
              <w:bottom w:w="100" w:type="dxa"/>
              <w:end w:w="110" w:type="dxa"/>
            </w:tcMar>
          </w:tcPr>
          <w:p>
            <w:pPr>
              <w:spacing w:after="0"/>
            </w:pPr>
            <w:r>
              <w:rPr>
                <w:sz w:val="17"/>
              </w:rPr>
              <w:t>ISP → firewall pair</w:t>
            </w:r>
          </w:p>
        </w:tc>
        <w:tc>
          <w:tcPr>
            <w:tcW w:type="dxa" w:w="4608"/>
            <w:vAlign w:val="center"/>
            <w:tcMar>
              <w:top w:w="100" w:type="dxa"/>
              <w:start w:w="110" w:type="dxa"/>
              <w:bottom w:w="100" w:type="dxa"/>
              <w:end w:w="110" w:type="dxa"/>
            </w:tcMar>
          </w:tcPr>
          <w:p>
            <w:pPr>
              <w:spacing w:after="0"/>
            </w:pPr>
            <w:r>
              <w:rPr>
                <w:sz w:val="17"/>
              </w:rPr>
              <w:t>Filtering, VPN, NAT, intrusion prevention</w:t>
            </w:r>
          </w:p>
        </w:tc>
      </w:tr>
      <w:tr>
        <w:tc>
          <w:tcPr>
            <w:tcW w:type="dxa" w:w="2232"/>
            <w:vAlign w:val="center"/>
            <w:shd w:fill="EAF2F8"/>
            <w:tcMar>
              <w:top w:w="100" w:type="dxa"/>
              <w:start w:w="110" w:type="dxa"/>
              <w:bottom w:w="100" w:type="dxa"/>
              <w:end w:w="110" w:type="dxa"/>
            </w:tcMar>
          </w:tcPr>
          <w:p>
            <w:pPr>
              <w:spacing w:after="0"/>
            </w:pPr>
            <w:r>
              <w:rPr>
                <w:sz w:val="17"/>
              </w:rPr>
              <w:t>Core switching</w:t>
            </w:r>
          </w:p>
        </w:tc>
        <w:tc>
          <w:tcPr>
            <w:tcW w:type="dxa" w:w="3024"/>
            <w:vAlign w:val="center"/>
            <w:shd w:fill="EAF2F8"/>
            <w:tcMar>
              <w:top w:w="100" w:type="dxa"/>
              <w:start w:w="110" w:type="dxa"/>
              <w:bottom w:w="100" w:type="dxa"/>
              <w:end w:w="110" w:type="dxa"/>
            </w:tcMar>
          </w:tcPr>
          <w:p>
            <w:pPr>
              <w:spacing w:after="0"/>
            </w:pPr>
            <w:r>
              <w:rPr>
                <w:sz w:val="17"/>
              </w:rPr>
              <w:t>Two managed Layer 3 switches</w:t>
            </w:r>
          </w:p>
        </w:tc>
        <w:tc>
          <w:tcPr>
            <w:tcW w:type="dxa" w:w="4608"/>
            <w:vAlign w:val="center"/>
            <w:shd w:fill="EAF2F8"/>
            <w:tcMar>
              <w:top w:w="100" w:type="dxa"/>
              <w:start w:w="110" w:type="dxa"/>
              <w:bottom w:w="100" w:type="dxa"/>
              <w:end w:w="110" w:type="dxa"/>
            </w:tcMar>
          </w:tcPr>
          <w:p>
            <w:pPr>
              <w:spacing w:after="0"/>
            </w:pPr>
            <w:r>
              <w:rPr>
                <w:sz w:val="17"/>
              </w:rPr>
              <w:t>Redundant VLAN trunks and 10/25 Gb server links</w:t>
            </w:r>
          </w:p>
        </w:tc>
      </w:tr>
      <w:tr>
        <w:tc>
          <w:tcPr>
            <w:tcW w:type="dxa" w:w="2232"/>
            <w:vAlign w:val="center"/>
            <w:tcMar>
              <w:top w:w="100" w:type="dxa"/>
              <w:start w:w="110" w:type="dxa"/>
              <w:bottom w:w="100" w:type="dxa"/>
              <w:end w:w="110" w:type="dxa"/>
            </w:tcMar>
          </w:tcPr>
          <w:p>
            <w:pPr>
              <w:spacing w:after="0"/>
            </w:pPr>
            <w:r>
              <w:rPr>
                <w:sz w:val="17"/>
              </w:rPr>
              <w:t>Compute cluster</w:t>
            </w:r>
          </w:p>
        </w:tc>
        <w:tc>
          <w:tcPr>
            <w:tcW w:type="dxa" w:w="3024"/>
            <w:vAlign w:val="center"/>
            <w:tcMar>
              <w:top w:w="100" w:type="dxa"/>
              <w:start w:w="110" w:type="dxa"/>
              <w:bottom w:w="100" w:type="dxa"/>
              <w:end w:w="110" w:type="dxa"/>
            </w:tcMar>
          </w:tcPr>
          <w:p>
            <w:pPr>
              <w:spacing w:after="0"/>
            </w:pPr>
            <w:r>
              <w:rPr>
                <w:sz w:val="17"/>
              </w:rPr>
              <w:t>PVE01, PVE02, PVE03</w:t>
            </w:r>
          </w:p>
        </w:tc>
        <w:tc>
          <w:tcPr>
            <w:tcW w:type="dxa" w:w="4608"/>
            <w:vAlign w:val="center"/>
            <w:tcMar>
              <w:top w:w="100" w:type="dxa"/>
              <w:start w:w="110" w:type="dxa"/>
              <w:bottom w:w="100" w:type="dxa"/>
              <w:end w:w="110" w:type="dxa"/>
            </w:tcMar>
          </w:tcPr>
          <w:p>
            <w:pPr>
              <w:spacing w:after="0"/>
            </w:pPr>
            <w:r>
              <w:rPr>
                <w:sz w:val="17"/>
              </w:rPr>
              <w:t>Protected VMs and application VMs</w:t>
            </w:r>
          </w:p>
        </w:tc>
      </w:tr>
      <w:tr>
        <w:tc>
          <w:tcPr>
            <w:tcW w:type="dxa" w:w="2232"/>
            <w:vAlign w:val="center"/>
            <w:shd w:fill="EAF2F8"/>
            <w:tcMar>
              <w:top w:w="100" w:type="dxa"/>
              <w:start w:w="110" w:type="dxa"/>
              <w:bottom w:w="100" w:type="dxa"/>
              <w:end w:w="110" w:type="dxa"/>
            </w:tcMar>
          </w:tcPr>
          <w:p>
            <w:pPr>
              <w:spacing w:after="0"/>
            </w:pPr>
            <w:r>
              <w:rPr>
                <w:sz w:val="17"/>
              </w:rPr>
              <w:t>AI zone</w:t>
            </w:r>
          </w:p>
        </w:tc>
        <w:tc>
          <w:tcPr>
            <w:tcW w:type="dxa" w:w="3024"/>
            <w:vAlign w:val="center"/>
            <w:shd w:fill="EAF2F8"/>
            <w:tcMar>
              <w:top w:w="100" w:type="dxa"/>
              <w:start w:w="110" w:type="dxa"/>
              <w:bottom w:w="100" w:type="dxa"/>
              <w:end w:w="110" w:type="dxa"/>
            </w:tcMar>
          </w:tcPr>
          <w:p>
            <w:pPr>
              <w:spacing w:after="0"/>
            </w:pPr>
            <w:r>
              <w:rPr>
                <w:sz w:val="17"/>
              </w:rPr>
              <w:t>GPU01</w:t>
            </w:r>
          </w:p>
        </w:tc>
        <w:tc>
          <w:tcPr>
            <w:tcW w:type="dxa" w:w="4608"/>
            <w:vAlign w:val="center"/>
            <w:shd w:fill="EAF2F8"/>
            <w:tcMar>
              <w:top w:w="100" w:type="dxa"/>
              <w:start w:w="110" w:type="dxa"/>
              <w:bottom w:w="100" w:type="dxa"/>
              <w:end w:w="110" w:type="dxa"/>
            </w:tcMar>
          </w:tcPr>
          <w:p>
            <w:pPr>
              <w:spacing w:after="0"/>
            </w:pPr>
            <w:r>
              <w:rPr>
                <w:sz w:val="17"/>
              </w:rPr>
              <w:t>LLM inference, embeddings, speech and vision services</w:t>
            </w:r>
          </w:p>
        </w:tc>
      </w:tr>
      <w:tr>
        <w:tc>
          <w:tcPr>
            <w:tcW w:type="dxa" w:w="2232"/>
            <w:vAlign w:val="center"/>
            <w:tcMar>
              <w:top w:w="100" w:type="dxa"/>
              <w:start w:w="110" w:type="dxa"/>
              <w:bottom w:w="100" w:type="dxa"/>
              <w:end w:w="110" w:type="dxa"/>
            </w:tcMar>
          </w:tcPr>
          <w:p>
            <w:pPr>
              <w:spacing w:after="0"/>
            </w:pPr>
            <w:r>
              <w:rPr>
                <w:sz w:val="17"/>
              </w:rPr>
              <w:t>Storage zone</w:t>
            </w:r>
          </w:p>
        </w:tc>
        <w:tc>
          <w:tcPr>
            <w:tcW w:type="dxa" w:w="3024"/>
            <w:vAlign w:val="center"/>
            <w:tcMar>
              <w:top w:w="100" w:type="dxa"/>
              <w:start w:w="110" w:type="dxa"/>
              <w:bottom w:w="100" w:type="dxa"/>
              <w:end w:w="110" w:type="dxa"/>
            </w:tcMar>
          </w:tcPr>
          <w:p>
            <w:pPr>
              <w:spacing w:after="0"/>
            </w:pPr>
            <w:r>
              <w:rPr>
                <w:sz w:val="17"/>
              </w:rPr>
              <w:t>NAS01</w:t>
            </w:r>
          </w:p>
        </w:tc>
        <w:tc>
          <w:tcPr>
            <w:tcW w:type="dxa" w:w="4608"/>
            <w:vAlign w:val="center"/>
            <w:tcMar>
              <w:top w:w="100" w:type="dxa"/>
              <w:start w:w="110" w:type="dxa"/>
              <w:bottom w:w="100" w:type="dxa"/>
              <w:end w:w="110" w:type="dxa"/>
            </w:tcMar>
          </w:tcPr>
          <w:p>
            <w:pPr>
              <w:spacing w:after="0"/>
            </w:pPr>
            <w:r>
              <w:rPr>
                <w:sz w:val="17"/>
              </w:rPr>
              <w:t>NFS/SMB, datasets, snapshots; optional VM datastore</w:t>
            </w:r>
          </w:p>
        </w:tc>
      </w:tr>
      <w:tr>
        <w:tc>
          <w:tcPr>
            <w:tcW w:type="dxa" w:w="2232"/>
            <w:vAlign w:val="center"/>
            <w:shd w:fill="EAF2F8"/>
            <w:tcMar>
              <w:top w:w="100" w:type="dxa"/>
              <w:start w:w="110" w:type="dxa"/>
              <w:bottom w:w="100" w:type="dxa"/>
              <w:end w:w="110" w:type="dxa"/>
            </w:tcMar>
          </w:tcPr>
          <w:p>
            <w:pPr>
              <w:spacing w:after="0"/>
            </w:pPr>
            <w:r>
              <w:rPr>
                <w:sz w:val="17"/>
              </w:rPr>
              <w:t>Backup zone</w:t>
            </w:r>
          </w:p>
        </w:tc>
        <w:tc>
          <w:tcPr>
            <w:tcW w:type="dxa" w:w="3024"/>
            <w:vAlign w:val="center"/>
            <w:shd w:fill="EAF2F8"/>
            <w:tcMar>
              <w:top w:w="100" w:type="dxa"/>
              <w:start w:w="110" w:type="dxa"/>
              <w:bottom w:w="100" w:type="dxa"/>
              <w:end w:w="110" w:type="dxa"/>
            </w:tcMar>
          </w:tcPr>
          <w:p>
            <w:pPr>
              <w:spacing w:after="0"/>
            </w:pPr>
            <w:r>
              <w:rPr>
                <w:sz w:val="17"/>
              </w:rPr>
              <w:t>PBS01</w:t>
            </w:r>
          </w:p>
        </w:tc>
        <w:tc>
          <w:tcPr>
            <w:tcW w:type="dxa" w:w="4608"/>
            <w:vAlign w:val="center"/>
            <w:shd w:fill="EAF2F8"/>
            <w:tcMar>
              <w:top w:w="100" w:type="dxa"/>
              <w:start w:w="110" w:type="dxa"/>
              <w:bottom w:w="100" w:type="dxa"/>
              <w:end w:w="110" w:type="dxa"/>
            </w:tcMar>
          </w:tcPr>
          <w:p>
            <w:pPr>
              <w:spacing w:after="0"/>
            </w:pPr>
            <w:r>
              <w:rPr>
                <w:sz w:val="17"/>
              </w:rPr>
              <w:t>Immutable-minded backup target with separate credentials</w:t>
            </w:r>
          </w:p>
        </w:tc>
      </w:tr>
      <w:tr>
        <w:tc>
          <w:tcPr>
            <w:tcW w:type="dxa" w:w="2232"/>
            <w:vAlign w:val="center"/>
            <w:tcMar>
              <w:top w:w="100" w:type="dxa"/>
              <w:start w:w="110" w:type="dxa"/>
              <w:bottom w:w="100" w:type="dxa"/>
              <w:end w:w="110" w:type="dxa"/>
            </w:tcMar>
          </w:tcPr>
          <w:p>
            <w:pPr>
              <w:spacing w:after="0"/>
            </w:pPr>
            <w:r>
              <w:rPr>
                <w:sz w:val="17"/>
              </w:rPr>
              <w:t>Development zone</w:t>
            </w:r>
          </w:p>
        </w:tc>
        <w:tc>
          <w:tcPr>
            <w:tcW w:type="dxa" w:w="3024"/>
            <w:vAlign w:val="center"/>
            <w:tcMar>
              <w:top w:w="100" w:type="dxa"/>
              <w:start w:w="110" w:type="dxa"/>
              <w:bottom w:w="100" w:type="dxa"/>
              <w:end w:w="110" w:type="dxa"/>
            </w:tcMar>
          </w:tcPr>
          <w:p>
            <w:pPr>
              <w:spacing w:after="0"/>
            </w:pPr>
            <w:r>
              <w:rPr>
                <w:sz w:val="17"/>
              </w:rPr>
              <w:t>Git, runners, registry, sandbox apps</w:t>
            </w:r>
          </w:p>
        </w:tc>
        <w:tc>
          <w:tcPr>
            <w:tcW w:type="dxa" w:w="4608"/>
            <w:vAlign w:val="center"/>
            <w:tcMar>
              <w:top w:w="100" w:type="dxa"/>
              <w:start w:w="110" w:type="dxa"/>
              <w:bottom w:w="100" w:type="dxa"/>
              <w:end w:w="110" w:type="dxa"/>
            </w:tcMar>
          </w:tcPr>
          <w:p>
            <w:pPr>
              <w:spacing w:after="0"/>
            </w:pPr>
            <w:r>
              <w:rPr>
                <w:sz w:val="17"/>
              </w:rPr>
              <w:t>Student and teacher build and deployment platform</w:t>
            </w:r>
          </w:p>
        </w:tc>
      </w:tr>
      <w:tr>
        <w:tc>
          <w:tcPr>
            <w:tcW w:type="dxa" w:w="2232"/>
            <w:vAlign w:val="center"/>
            <w:shd w:fill="EAF2F8"/>
            <w:tcMar>
              <w:top w:w="100" w:type="dxa"/>
              <w:start w:w="110" w:type="dxa"/>
              <w:bottom w:w="100" w:type="dxa"/>
              <w:end w:w="110" w:type="dxa"/>
            </w:tcMar>
          </w:tcPr>
          <w:p>
            <w:pPr>
              <w:spacing w:after="0"/>
            </w:pPr>
            <w:r>
              <w:rPr>
                <w:sz w:val="17"/>
              </w:rPr>
              <w:t>Operations zone</w:t>
            </w:r>
          </w:p>
        </w:tc>
        <w:tc>
          <w:tcPr>
            <w:tcW w:type="dxa" w:w="3024"/>
            <w:vAlign w:val="center"/>
            <w:shd w:fill="EAF2F8"/>
            <w:tcMar>
              <w:top w:w="100" w:type="dxa"/>
              <w:start w:w="110" w:type="dxa"/>
              <w:bottom w:w="100" w:type="dxa"/>
              <w:end w:w="110" w:type="dxa"/>
            </w:tcMar>
          </w:tcPr>
          <w:p>
            <w:pPr>
              <w:spacing w:after="0"/>
            </w:pPr>
            <w:r>
              <w:rPr>
                <w:sz w:val="17"/>
              </w:rPr>
              <w:t>Monitoring, logs, bastion, secrets</w:t>
            </w:r>
          </w:p>
        </w:tc>
        <w:tc>
          <w:tcPr>
            <w:tcW w:type="dxa" w:w="4608"/>
            <w:vAlign w:val="center"/>
            <w:shd w:fill="EAF2F8"/>
            <w:tcMar>
              <w:top w:w="100" w:type="dxa"/>
              <w:start w:w="110" w:type="dxa"/>
              <w:bottom w:w="100" w:type="dxa"/>
              <w:end w:w="110" w:type="dxa"/>
            </w:tcMar>
          </w:tcPr>
          <w:p>
            <w:pPr>
              <w:spacing w:after="0"/>
            </w:pPr>
            <w:r>
              <w:rPr>
                <w:sz w:val="17"/>
              </w:rPr>
              <w:t>Administration and audit</w:t>
            </w:r>
          </w:p>
        </w:tc>
      </w:tr>
    </w:tbl>
    <w:p>
      <w:pPr>
        <w:spacing w:after="40"/>
      </w:pPr>
    </w:p>
    <w:p>
      <w:pPr>
        <w:pStyle w:val="Heading2"/>
      </w:pPr>
      <w:r>
        <w:t>Architecture diagram</w:t>
      </w:r>
    </w:p>
    <w:p>
      <w:pPr>
        <w:pStyle w:val="CodeBlock"/>
      </w:pPr>
      <w:r>
        <w:t>Internet / ISP</w:t>
        <w:br/>
        <w:t xml:space="preserve">      |</w:t>
        <w:br/>
        <w:t xml:space="preserve"> [Firewall HA pair]----[Remote admin VPN]</w:t>
        <w:br/>
        <w:t xml:space="preserve">      |</w:t>
        <w:br/>
        <w:t xml:space="preserve"> [Core switch pair: redundant 10/25 Gb trunks]</w:t>
        <w:br/>
        <w:t xml:space="preserve">      |</w:t>
        <w:br/>
        <w:t xml:space="preserve">      +-- VLAN 10  Management ---- PVE01 / PVE02 / PVE03 / switches / iDRAC-iLO</w:t>
        <w:br/>
        <w:t xml:space="preserve">      +-- VLAN 20  Protected ------ Identity / DNS / LMS / production web / database</w:t>
        <w:br/>
        <w:t xml:space="preserve">      +-- VLAN 30  Development ---- Git / CI runners / registry / student applications</w:t>
        <w:br/>
        <w:t xml:space="preserve">      +-- VLAN 40  AI ------------- GPU01 / AI API / vector service</w:t>
        <w:br/>
        <w:t xml:space="preserve">      +-- VLAN 50  Storage -------- NAS01 / hypervisor storage traffic</w:t>
        <w:br/>
        <w:t xml:space="preserve">      +-- VLAN 60  Backup --------- PBS01 / backup-only paths</w:t>
        <w:br/>
        <w:t xml:space="preserve">      +-- VLAN 70  Teachers ------- staff clients</w:t>
        <w:br/>
        <w:t xml:space="preserve">      +-- VLAN 80  Students ------- student clients</w:t>
        <w:br/>
        <w:t xml:space="preserve">      +-- VLAN 90  IoT and cameras- devices with no lateral access</w:t>
        <w:br/>
        <w:t xml:space="preserve">      +-- VLAN 100 Guest ---------- internet only</w:t>
        <w:br/>
        <w:br/>
        <w:t>Protected services call AI through one authenticated AI gateway.</w:t>
        <w:br/>
        <w:t>Student applications cannot connect directly to protected databases or management interfaces.</w:t>
      </w:r>
    </w:p>
    <w:p>
      <w:r>
        <w:br w:type="page"/>
      </w:r>
    </w:p>
    <w:p>
      <w:pPr>
        <w:pStyle w:val="Heading1"/>
      </w:pPr>
      <w:r>
        <w:t>3 Hardware bill of materials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c>
          <w:tcPr>
            <w:tcW w:type="dxa" w:w="576"/>
            <w:shd w:fill="1F4E78"/>
            <w:vAlign w:val="center"/>
            <w:tcMar>
              <w:top w:w="100" w:type="dxa"/>
              <w:start w:w="110" w:type="dxa"/>
              <w:bottom w:w="100" w:type="dxa"/>
              <w:end w:w="110" w:type="dxa"/>
            </w:tcMar>
          </w:tcPr>
          <w:p>
            <w:r>
              <w:rPr>
                <w:b/>
                <w:color w:val="FFFFFF"/>
                <w:sz w:val="18"/>
              </w:rPr>
              <w:t>Qty</w:t>
            </w:r>
          </w:p>
        </w:tc>
        <w:tc>
          <w:tcPr>
            <w:tcW w:type="dxa" w:w="1944"/>
            <w:shd w:fill="1F4E78"/>
            <w:vAlign w:val="center"/>
            <w:tcMar>
              <w:top w:w="100" w:type="dxa"/>
              <w:start w:w="110" w:type="dxa"/>
              <w:bottom w:w="100" w:type="dxa"/>
              <w:end w:w="110" w:type="dxa"/>
            </w:tcMar>
          </w:tcPr>
          <w:p>
            <w:r>
              <w:rPr>
                <w:b/>
                <w:color w:val="FFFFFF"/>
                <w:sz w:val="18"/>
              </w:rPr>
              <w:t>Component</w:t>
            </w:r>
          </w:p>
        </w:tc>
        <w:tc>
          <w:tcPr>
            <w:tcW w:type="dxa" w:w="4968"/>
            <w:shd w:fill="1F4E78"/>
            <w:vAlign w:val="center"/>
            <w:tcMar>
              <w:top w:w="100" w:type="dxa"/>
              <w:start w:w="110" w:type="dxa"/>
              <w:bottom w:w="100" w:type="dxa"/>
              <w:end w:w="110" w:type="dxa"/>
            </w:tcMar>
          </w:tcPr>
          <w:p>
            <w:r>
              <w:rPr>
                <w:b/>
                <w:color w:val="FFFFFF"/>
                <w:sz w:val="18"/>
              </w:rPr>
              <w:t>Baseline specification</w:t>
            </w:r>
          </w:p>
        </w:tc>
        <w:tc>
          <w:tcPr>
            <w:tcW w:type="dxa" w:w="3024"/>
            <w:shd w:fill="1F4E78"/>
            <w:vAlign w:val="center"/>
            <w:tcMar>
              <w:top w:w="100" w:type="dxa"/>
              <w:start w:w="110" w:type="dxa"/>
              <w:bottom w:w="100" w:type="dxa"/>
              <w:end w:w="110" w:type="dxa"/>
            </w:tcMar>
          </w:tcPr>
          <w:p>
            <w:r>
              <w:rPr>
                <w:b/>
                <w:color w:val="FFFFFF"/>
                <w:sz w:val="18"/>
              </w:rPr>
              <w:t>Notes</w:t>
            </w:r>
          </w:p>
        </w:tc>
      </w:tr>
      <w:tr>
        <w:tc>
          <w:tcPr>
            <w:tcW w:type="dxa" w:w="576"/>
            <w:vAlign w:val="center"/>
            <w:tcMar>
              <w:top w:w="100" w:type="dxa"/>
              <w:start w:w="110" w:type="dxa"/>
              <w:bottom w:w="100" w:type="dxa"/>
              <w:end w:w="110" w:type="dxa"/>
            </w:tcMar>
          </w:tcPr>
          <w:p>
            <w:pPr>
              <w:spacing w:after="0"/>
            </w:pPr>
            <w:r>
              <w:rPr>
                <w:sz w:val="17"/>
              </w:rPr>
              <w:t>2</w:t>
            </w:r>
          </w:p>
        </w:tc>
        <w:tc>
          <w:tcPr>
            <w:tcW w:type="dxa" w:w="1944"/>
            <w:vAlign w:val="center"/>
            <w:tcMar>
              <w:top w:w="100" w:type="dxa"/>
              <w:start w:w="110" w:type="dxa"/>
              <w:bottom w:w="100" w:type="dxa"/>
              <w:end w:w="110" w:type="dxa"/>
            </w:tcMar>
          </w:tcPr>
          <w:p>
            <w:pPr>
              <w:spacing w:after="0"/>
            </w:pPr>
            <w:r>
              <w:rPr>
                <w:sz w:val="17"/>
              </w:rPr>
              <w:t>Next-generation firewall appliances</w:t>
            </w:r>
          </w:p>
        </w:tc>
        <w:tc>
          <w:tcPr>
            <w:tcW w:type="dxa" w:w="4968"/>
            <w:vAlign w:val="center"/>
            <w:tcMar>
              <w:top w:w="100" w:type="dxa"/>
              <w:start w:w="110" w:type="dxa"/>
              <w:bottom w:w="100" w:type="dxa"/>
              <w:end w:w="110" w:type="dxa"/>
            </w:tcMar>
          </w:tcPr>
          <w:p>
            <w:pPr>
              <w:spacing w:after="0"/>
            </w:pPr>
            <w:r>
              <w:rPr>
                <w:sz w:val="17"/>
              </w:rPr>
              <w:t>HA capable; 2×10 Gb; support contract or OPNsense appliances</w:t>
            </w:r>
          </w:p>
        </w:tc>
        <w:tc>
          <w:tcPr>
            <w:tcW w:type="dxa" w:w="3024"/>
            <w:vAlign w:val="center"/>
            <w:tcMar>
              <w:top w:w="100" w:type="dxa"/>
              <w:start w:w="110" w:type="dxa"/>
              <w:bottom w:w="100" w:type="dxa"/>
              <w:end w:w="110" w:type="dxa"/>
            </w:tcMar>
          </w:tcPr>
          <w:p>
            <w:pPr>
              <w:spacing w:after="0"/>
            </w:pPr>
            <w:r>
              <w:rPr>
                <w:sz w:val="17"/>
              </w:rPr>
              <w:t>Size to inspected internet throughput, not port speed</w:t>
            </w:r>
          </w:p>
        </w:tc>
      </w:tr>
      <w:tr>
        <w:tc>
          <w:tcPr>
            <w:tcW w:type="dxa" w:w="576"/>
            <w:vAlign w:val="center"/>
            <w:shd w:fill="EAF2F8"/>
            <w:tcMar>
              <w:top w:w="100" w:type="dxa"/>
              <w:start w:w="110" w:type="dxa"/>
              <w:bottom w:w="100" w:type="dxa"/>
              <w:end w:w="110" w:type="dxa"/>
            </w:tcMar>
          </w:tcPr>
          <w:p>
            <w:pPr>
              <w:spacing w:after="0"/>
            </w:pPr>
            <w:r>
              <w:rPr>
                <w:sz w:val="17"/>
              </w:rPr>
              <w:t>2</w:t>
            </w:r>
          </w:p>
        </w:tc>
        <w:tc>
          <w:tcPr>
            <w:tcW w:type="dxa" w:w="1944"/>
            <w:vAlign w:val="center"/>
            <w:shd w:fill="EAF2F8"/>
            <w:tcMar>
              <w:top w:w="100" w:type="dxa"/>
              <w:start w:w="110" w:type="dxa"/>
              <w:bottom w:w="100" w:type="dxa"/>
              <w:end w:w="110" w:type="dxa"/>
            </w:tcMar>
          </w:tcPr>
          <w:p>
            <w:pPr>
              <w:spacing w:after="0"/>
            </w:pPr>
            <w:r>
              <w:rPr>
                <w:sz w:val="17"/>
              </w:rPr>
              <w:t>Core switches</w:t>
            </w:r>
          </w:p>
        </w:tc>
        <w:tc>
          <w:tcPr>
            <w:tcW w:type="dxa" w:w="4968"/>
            <w:vAlign w:val="center"/>
            <w:shd w:fill="EAF2F8"/>
            <w:tcMar>
              <w:top w:w="100" w:type="dxa"/>
              <w:start w:w="110" w:type="dxa"/>
              <w:bottom w:w="100" w:type="dxa"/>
              <w:end w:w="110" w:type="dxa"/>
            </w:tcMar>
          </w:tcPr>
          <w:p>
            <w:pPr>
              <w:spacing w:after="0"/>
            </w:pPr>
            <w:r>
              <w:rPr>
                <w:sz w:val="17"/>
              </w:rPr>
              <w:t>24/48 ports; 10/25 Gb SFP+ or SFP28; stacking or MLAG; VLAN and ACL support</w:t>
            </w:r>
          </w:p>
        </w:tc>
        <w:tc>
          <w:tcPr>
            <w:tcW w:type="dxa" w:w="3024"/>
            <w:vAlign w:val="center"/>
            <w:shd w:fill="EAF2F8"/>
            <w:tcMar>
              <w:top w:w="100" w:type="dxa"/>
              <w:start w:w="110" w:type="dxa"/>
              <w:bottom w:w="100" w:type="dxa"/>
              <w:end w:w="110" w:type="dxa"/>
            </w:tcMar>
          </w:tcPr>
          <w:p>
            <w:pPr>
              <w:spacing w:after="0"/>
            </w:pPr>
            <w:r>
              <w:rPr>
                <w:sz w:val="17"/>
              </w:rPr>
              <w:t>Use redundant uplinks</w:t>
            </w:r>
          </w:p>
        </w:tc>
      </w:tr>
      <w:tr>
        <w:tc>
          <w:tcPr>
            <w:tcW w:type="dxa" w:w="576"/>
            <w:vAlign w:val="center"/>
            <w:tcMar>
              <w:top w:w="100" w:type="dxa"/>
              <w:start w:w="110" w:type="dxa"/>
              <w:bottom w:w="100" w:type="dxa"/>
              <w:end w:w="110" w:type="dxa"/>
            </w:tcMar>
          </w:tcPr>
          <w:p>
            <w:pPr>
              <w:spacing w:after="0"/>
            </w:pPr>
            <w:r>
              <w:rPr>
                <w:sz w:val="17"/>
              </w:rPr>
              <w:t>3</w:t>
            </w:r>
          </w:p>
        </w:tc>
        <w:tc>
          <w:tcPr>
            <w:tcW w:type="dxa" w:w="1944"/>
            <w:vAlign w:val="center"/>
            <w:tcMar>
              <w:top w:w="100" w:type="dxa"/>
              <w:start w:w="110" w:type="dxa"/>
              <w:bottom w:w="100" w:type="dxa"/>
              <w:end w:w="110" w:type="dxa"/>
            </w:tcMar>
          </w:tcPr>
          <w:p>
            <w:pPr>
              <w:spacing w:after="0"/>
            </w:pPr>
            <w:r>
              <w:rPr>
                <w:sz w:val="17"/>
              </w:rPr>
              <w:t>Virtualization hosts</w:t>
            </w:r>
          </w:p>
        </w:tc>
        <w:tc>
          <w:tcPr>
            <w:tcW w:type="dxa" w:w="4968"/>
            <w:vAlign w:val="center"/>
            <w:tcMar>
              <w:top w:w="100" w:type="dxa"/>
              <w:start w:w="110" w:type="dxa"/>
              <w:bottom w:w="100" w:type="dxa"/>
              <w:end w:w="110" w:type="dxa"/>
            </w:tcMar>
          </w:tcPr>
          <w:p>
            <w:pPr>
              <w:spacing w:after="0"/>
            </w:pPr>
            <w:r>
              <w:rPr>
                <w:sz w:val="17"/>
              </w:rPr>
              <w:t>24–32 physical cores; 384–512 GB ECC RAM; mirrored boot SSD; 4×3.84 TB enterprise NVMe; dual 25 Gb + dual 10 Gb</w:t>
            </w:r>
          </w:p>
        </w:tc>
        <w:tc>
          <w:tcPr>
            <w:tcW w:type="dxa" w:w="3024"/>
            <w:vAlign w:val="center"/>
            <w:tcMar>
              <w:top w:w="100" w:type="dxa"/>
              <w:start w:w="110" w:type="dxa"/>
              <w:bottom w:w="100" w:type="dxa"/>
              <w:end w:w="110" w:type="dxa"/>
            </w:tcMar>
          </w:tcPr>
          <w:p>
            <w:pPr>
              <w:spacing w:after="0"/>
            </w:pPr>
            <w:r>
              <w:rPr>
                <w:sz w:val="17"/>
              </w:rPr>
              <w:t>Identical models simplify failover</w:t>
            </w:r>
          </w:p>
        </w:tc>
      </w:tr>
      <w:tr>
        <w:tc>
          <w:tcPr>
            <w:tcW w:type="dxa" w:w="576"/>
            <w:vAlign w:val="center"/>
            <w:shd w:fill="EAF2F8"/>
            <w:tcMar>
              <w:top w:w="100" w:type="dxa"/>
              <w:start w:w="110" w:type="dxa"/>
              <w:bottom w:w="100" w:type="dxa"/>
              <w:end w:w="110" w:type="dxa"/>
            </w:tcMar>
          </w:tcPr>
          <w:p>
            <w:pPr>
              <w:spacing w:after="0"/>
            </w:pPr>
            <w:r>
              <w:rPr>
                <w:sz w:val="17"/>
              </w:rPr>
              <w:t>1</w:t>
            </w:r>
          </w:p>
        </w:tc>
        <w:tc>
          <w:tcPr>
            <w:tcW w:type="dxa" w:w="1944"/>
            <w:vAlign w:val="center"/>
            <w:shd w:fill="EAF2F8"/>
            <w:tcMar>
              <w:top w:w="100" w:type="dxa"/>
              <w:start w:w="110" w:type="dxa"/>
              <w:bottom w:w="100" w:type="dxa"/>
              <w:end w:w="110" w:type="dxa"/>
            </w:tcMar>
          </w:tcPr>
          <w:p>
            <w:pPr>
              <w:spacing w:after="0"/>
            </w:pPr>
            <w:r>
              <w:rPr>
                <w:sz w:val="17"/>
              </w:rPr>
              <w:t>GPU AI server</w:t>
            </w:r>
          </w:p>
        </w:tc>
        <w:tc>
          <w:tcPr>
            <w:tcW w:type="dxa" w:w="4968"/>
            <w:vAlign w:val="center"/>
            <w:shd w:fill="EAF2F8"/>
            <w:tcMar>
              <w:top w:w="100" w:type="dxa"/>
              <w:start w:w="110" w:type="dxa"/>
              <w:bottom w:w="100" w:type="dxa"/>
              <w:end w:w="110" w:type="dxa"/>
            </w:tcMar>
          </w:tcPr>
          <w:p>
            <w:pPr>
              <w:spacing w:after="0"/>
            </w:pPr>
            <w:r>
              <w:rPr>
                <w:sz w:val="17"/>
              </w:rPr>
              <w:t>32+ CPU cores; 256–512 GB ECC RAM; 2× enterprise GPU with 48 GB VRAM each; 8 TB NVMe scratch; dual 25 Gb</w:t>
            </w:r>
          </w:p>
        </w:tc>
        <w:tc>
          <w:tcPr>
            <w:tcW w:type="dxa" w:w="3024"/>
            <w:vAlign w:val="center"/>
            <w:shd w:fill="EAF2F8"/>
            <w:tcMar>
              <w:top w:w="100" w:type="dxa"/>
              <w:start w:w="110" w:type="dxa"/>
              <w:bottom w:w="100" w:type="dxa"/>
              <w:end w:w="110" w:type="dxa"/>
            </w:tcMar>
          </w:tcPr>
          <w:p>
            <w:pPr>
              <w:spacing w:after="0"/>
            </w:pPr>
            <w:r>
              <w:rPr>
                <w:sz w:val="17"/>
              </w:rPr>
              <w:t>Choose GPU after model benchmark</w:t>
            </w:r>
          </w:p>
        </w:tc>
      </w:tr>
      <w:tr>
        <w:tc>
          <w:tcPr>
            <w:tcW w:type="dxa" w:w="576"/>
            <w:vAlign w:val="center"/>
            <w:tcMar>
              <w:top w:w="100" w:type="dxa"/>
              <w:start w:w="110" w:type="dxa"/>
              <w:bottom w:w="100" w:type="dxa"/>
              <w:end w:w="110" w:type="dxa"/>
            </w:tcMar>
          </w:tcPr>
          <w:p>
            <w:pPr>
              <w:spacing w:after="0"/>
            </w:pPr>
            <w:r>
              <w:rPr>
                <w:sz w:val="17"/>
              </w:rPr>
              <w:t>1</w:t>
            </w:r>
          </w:p>
        </w:tc>
        <w:tc>
          <w:tcPr>
            <w:tcW w:type="dxa" w:w="1944"/>
            <w:vAlign w:val="center"/>
            <w:tcMar>
              <w:top w:w="100" w:type="dxa"/>
              <w:start w:w="110" w:type="dxa"/>
              <w:bottom w:w="100" w:type="dxa"/>
              <w:end w:w="110" w:type="dxa"/>
            </w:tcMar>
          </w:tcPr>
          <w:p>
            <w:pPr>
              <w:spacing w:after="0"/>
            </w:pPr>
            <w:r>
              <w:rPr>
                <w:sz w:val="17"/>
              </w:rPr>
              <w:t>Primary NAS</w:t>
            </w:r>
          </w:p>
        </w:tc>
        <w:tc>
          <w:tcPr>
            <w:tcW w:type="dxa" w:w="4968"/>
            <w:vAlign w:val="center"/>
            <w:tcMar>
              <w:top w:w="100" w:type="dxa"/>
              <w:start w:w="110" w:type="dxa"/>
              <w:bottom w:w="100" w:type="dxa"/>
              <w:end w:w="110" w:type="dxa"/>
            </w:tcMar>
          </w:tcPr>
          <w:p>
            <w:pPr>
              <w:spacing w:after="0"/>
            </w:pPr>
            <w:r>
              <w:rPr>
                <w:sz w:val="17"/>
              </w:rPr>
              <w:t>12-bay or larger; ECC RAM; ZFS-capable; dual controllers if required; 100 TB usable target</w:t>
            </w:r>
          </w:p>
        </w:tc>
        <w:tc>
          <w:tcPr>
            <w:tcW w:type="dxa" w:w="3024"/>
            <w:vAlign w:val="center"/>
            <w:tcMar>
              <w:top w:w="100" w:type="dxa"/>
              <w:start w:w="110" w:type="dxa"/>
              <w:bottom w:w="100" w:type="dxa"/>
              <w:end w:w="110" w:type="dxa"/>
            </w:tcMar>
          </w:tcPr>
          <w:p>
            <w:pPr>
              <w:spacing w:after="0"/>
            </w:pPr>
            <w:r>
              <w:rPr>
                <w:sz w:val="17"/>
              </w:rPr>
              <w:t>Enterprise HDDs, SSD metadata/cache only if validated</w:t>
            </w:r>
          </w:p>
        </w:tc>
      </w:tr>
      <w:tr>
        <w:tc>
          <w:tcPr>
            <w:tcW w:type="dxa" w:w="576"/>
            <w:vAlign w:val="center"/>
            <w:shd w:fill="EAF2F8"/>
            <w:tcMar>
              <w:top w:w="100" w:type="dxa"/>
              <w:start w:w="110" w:type="dxa"/>
              <w:bottom w:w="100" w:type="dxa"/>
              <w:end w:w="110" w:type="dxa"/>
            </w:tcMar>
          </w:tcPr>
          <w:p>
            <w:pPr>
              <w:spacing w:after="0"/>
            </w:pPr>
            <w:r>
              <w:rPr>
                <w:sz w:val="17"/>
              </w:rPr>
              <w:t>1</w:t>
            </w:r>
          </w:p>
        </w:tc>
        <w:tc>
          <w:tcPr>
            <w:tcW w:type="dxa" w:w="1944"/>
            <w:vAlign w:val="center"/>
            <w:shd w:fill="EAF2F8"/>
            <w:tcMar>
              <w:top w:w="100" w:type="dxa"/>
              <w:start w:w="110" w:type="dxa"/>
              <w:bottom w:w="100" w:type="dxa"/>
              <w:end w:w="110" w:type="dxa"/>
            </w:tcMar>
          </w:tcPr>
          <w:p>
            <w:pPr>
              <w:spacing w:after="0"/>
            </w:pPr>
            <w:r>
              <w:rPr>
                <w:sz w:val="17"/>
              </w:rPr>
              <w:t>Backup server</w:t>
            </w:r>
          </w:p>
        </w:tc>
        <w:tc>
          <w:tcPr>
            <w:tcW w:type="dxa" w:w="4968"/>
            <w:vAlign w:val="center"/>
            <w:shd w:fill="EAF2F8"/>
            <w:tcMar>
              <w:top w:w="100" w:type="dxa"/>
              <w:start w:w="110" w:type="dxa"/>
              <w:bottom w:w="100" w:type="dxa"/>
              <w:end w:w="110" w:type="dxa"/>
            </w:tcMar>
          </w:tcPr>
          <w:p>
            <w:pPr>
              <w:spacing w:after="0"/>
            </w:pPr>
            <w:r>
              <w:rPr>
                <w:sz w:val="17"/>
              </w:rPr>
              <w:t>128 GB RAM; large HDD pool; mirrored boot; 10/25 Gb</w:t>
            </w:r>
          </w:p>
        </w:tc>
        <w:tc>
          <w:tcPr>
            <w:tcW w:type="dxa" w:w="3024"/>
            <w:vAlign w:val="center"/>
            <w:shd w:fill="EAF2F8"/>
            <w:tcMar>
              <w:top w:w="100" w:type="dxa"/>
              <w:start w:w="110" w:type="dxa"/>
              <w:bottom w:w="100" w:type="dxa"/>
              <w:end w:w="110" w:type="dxa"/>
            </w:tcMar>
          </w:tcPr>
          <w:p>
            <w:pPr>
              <w:spacing w:after="0"/>
            </w:pPr>
            <w:r>
              <w:rPr>
                <w:sz w:val="17"/>
              </w:rPr>
              <w:t>Separate admin account and network</w:t>
            </w:r>
          </w:p>
        </w:tc>
      </w:tr>
      <w:tr>
        <w:tc>
          <w:tcPr>
            <w:tcW w:type="dxa" w:w="576"/>
            <w:vAlign w:val="center"/>
            <w:tcMar>
              <w:top w:w="100" w:type="dxa"/>
              <w:start w:w="110" w:type="dxa"/>
              <w:bottom w:w="100" w:type="dxa"/>
              <w:end w:w="110" w:type="dxa"/>
            </w:tcMar>
          </w:tcPr>
          <w:p>
            <w:pPr>
              <w:spacing w:after="0"/>
            </w:pPr>
            <w:r>
              <w:rPr>
                <w:sz w:val="17"/>
              </w:rPr>
              <w:t>2</w:t>
            </w:r>
          </w:p>
        </w:tc>
        <w:tc>
          <w:tcPr>
            <w:tcW w:type="dxa" w:w="1944"/>
            <w:vAlign w:val="center"/>
            <w:tcMar>
              <w:top w:w="100" w:type="dxa"/>
              <w:start w:w="110" w:type="dxa"/>
              <w:bottom w:w="100" w:type="dxa"/>
              <w:end w:w="110" w:type="dxa"/>
            </w:tcMar>
          </w:tcPr>
          <w:p>
            <w:pPr>
              <w:spacing w:after="0"/>
            </w:pPr>
            <w:r>
              <w:rPr>
                <w:sz w:val="17"/>
              </w:rPr>
              <w:t>UPS units</w:t>
            </w:r>
          </w:p>
        </w:tc>
        <w:tc>
          <w:tcPr>
            <w:tcW w:type="dxa" w:w="4968"/>
            <w:vAlign w:val="center"/>
            <w:tcMar>
              <w:top w:w="100" w:type="dxa"/>
              <w:start w:w="110" w:type="dxa"/>
              <w:bottom w:w="100" w:type="dxa"/>
              <w:end w:w="110" w:type="dxa"/>
            </w:tcMar>
          </w:tcPr>
          <w:p>
            <w:pPr>
              <w:spacing w:after="0"/>
            </w:pPr>
            <w:r>
              <w:rPr>
                <w:sz w:val="17"/>
              </w:rPr>
              <w:t>Online double-conversion; network management</w:t>
            </w:r>
          </w:p>
        </w:tc>
        <w:tc>
          <w:tcPr>
            <w:tcW w:type="dxa" w:w="3024"/>
            <w:vAlign w:val="center"/>
            <w:tcMar>
              <w:top w:w="100" w:type="dxa"/>
              <w:start w:w="110" w:type="dxa"/>
              <w:bottom w:w="100" w:type="dxa"/>
              <w:end w:w="110" w:type="dxa"/>
            </w:tcMar>
          </w:tcPr>
          <w:p>
            <w:pPr>
              <w:spacing w:after="0"/>
            </w:pPr>
            <w:r>
              <w:rPr>
                <w:sz w:val="17"/>
              </w:rPr>
              <w:t>A/B power where hardware supports it</w:t>
            </w:r>
          </w:p>
        </w:tc>
      </w:tr>
      <w:tr>
        <w:tc>
          <w:tcPr>
            <w:tcW w:type="dxa" w:w="576"/>
            <w:vAlign w:val="center"/>
            <w:shd w:fill="EAF2F8"/>
            <w:tcMar>
              <w:top w:w="100" w:type="dxa"/>
              <w:start w:w="110" w:type="dxa"/>
              <w:bottom w:w="100" w:type="dxa"/>
              <w:end w:w="110" w:type="dxa"/>
            </w:tcMar>
          </w:tcPr>
          <w:p>
            <w:pPr>
              <w:spacing w:after="0"/>
            </w:pPr>
            <w:r>
              <w:rPr>
                <w:sz w:val="17"/>
              </w:rPr>
              <w:t>1</w:t>
            </w:r>
          </w:p>
        </w:tc>
        <w:tc>
          <w:tcPr>
            <w:tcW w:type="dxa" w:w="1944"/>
            <w:vAlign w:val="center"/>
            <w:shd w:fill="EAF2F8"/>
            <w:tcMar>
              <w:top w:w="100" w:type="dxa"/>
              <w:start w:w="110" w:type="dxa"/>
              <w:bottom w:w="100" w:type="dxa"/>
              <w:end w:w="110" w:type="dxa"/>
            </w:tcMar>
          </w:tcPr>
          <w:p>
            <w:pPr>
              <w:spacing w:after="0"/>
            </w:pPr>
            <w:r>
              <w:rPr>
                <w:sz w:val="17"/>
              </w:rPr>
              <w:t>Rack and environment</w:t>
            </w:r>
          </w:p>
        </w:tc>
        <w:tc>
          <w:tcPr>
            <w:tcW w:type="dxa" w:w="4968"/>
            <w:vAlign w:val="center"/>
            <w:shd w:fill="EAF2F8"/>
            <w:tcMar>
              <w:top w:w="100" w:type="dxa"/>
              <w:start w:w="110" w:type="dxa"/>
              <w:bottom w:w="100" w:type="dxa"/>
              <w:end w:w="110" w:type="dxa"/>
            </w:tcMar>
          </w:tcPr>
          <w:p>
            <w:pPr>
              <w:spacing w:after="0"/>
            </w:pPr>
            <w:r>
              <w:rPr>
                <w:sz w:val="17"/>
              </w:rPr>
              <w:t>Locked rack, PDUs, sensors, cooling and fire detection</w:t>
            </w:r>
          </w:p>
        </w:tc>
        <w:tc>
          <w:tcPr>
            <w:tcW w:type="dxa" w:w="3024"/>
            <w:vAlign w:val="center"/>
            <w:shd w:fill="EAF2F8"/>
            <w:tcMar>
              <w:top w:w="100" w:type="dxa"/>
              <w:start w:w="110" w:type="dxa"/>
              <w:bottom w:w="100" w:type="dxa"/>
              <w:end w:w="110" w:type="dxa"/>
            </w:tcMar>
          </w:tcPr>
          <w:p>
            <w:pPr>
              <w:spacing w:after="0"/>
            </w:pPr>
            <w:r>
              <w:rPr>
                <w:sz w:val="17"/>
              </w:rPr>
              <w:t>Do not omit facilities work</w:t>
            </w:r>
          </w:p>
        </w:tc>
      </w:tr>
    </w:tbl>
    <w:p>
      <w:pPr>
        <w:spacing w:after="40"/>
      </w:pPr>
    </w:p>
    <w:p>
      <w:r>
        <w:t>Capacity rule: keep at least 25% CPU and memory headroom after losing one virtualization node. Keep storage pools below the vendor’s recommended utilization threshold and reserve capacity for snapshots, rebuilds, and backups.</w:t>
      </w:r>
    </w:p>
    <w:p>
      <w:pPr>
        <w:pStyle w:val="Heading1"/>
      </w:pPr>
      <w:r>
        <w:t>4 Network and IP plan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99"/>
        <w:gridCol w:w="1999"/>
        <w:gridCol w:w="1999"/>
        <w:gridCol w:w="1999"/>
        <w:gridCol w:w="1999"/>
      </w:tblGrid>
      <w:tr>
        <w:tc>
          <w:tcPr>
            <w:tcW w:type="dxa" w:w="720"/>
            <w:shd w:fill="1F4E78"/>
            <w:vAlign w:val="center"/>
            <w:tcMar>
              <w:top w:w="100" w:type="dxa"/>
              <w:start w:w="110" w:type="dxa"/>
              <w:bottom w:w="100" w:type="dxa"/>
              <w:end w:w="110" w:type="dxa"/>
            </w:tcMar>
          </w:tcPr>
          <w:p>
            <w:r>
              <w:rPr>
                <w:b/>
                <w:color w:val="FFFFFF"/>
                <w:sz w:val="18"/>
              </w:rPr>
              <w:t>VLAN</w:t>
            </w:r>
          </w:p>
        </w:tc>
        <w:tc>
          <w:tcPr>
            <w:tcW w:type="dxa" w:w="1728"/>
            <w:shd w:fill="1F4E78"/>
            <w:vAlign w:val="center"/>
            <w:tcMar>
              <w:top w:w="100" w:type="dxa"/>
              <w:start w:w="110" w:type="dxa"/>
              <w:bottom w:w="100" w:type="dxa"/>
              <w:end w:w="110" w:type="dxa"/>
            </w:tcMar>
          </w:tcPr>
          <w:p>
            <w:r>
              <w:rPr>
                <w:b/>
                <w:color w:val="FFFFFF"/>
                <w:sz w:val="18"/>
              </w:rPr>
              <w:t>Name</w:t>
            </w:r>
          </w:p>
        </w:tc>
        <w:tc>
          <w:tcPr>
            <w:tcW w:type="dxa" w:w="1944"/>
            <w:shd w:fill="1F4E78"/>
            <w:vAlign w:val="center"/>
            <w:tcMar>
              <w:top w:w="100" w:type="dxa"/>
              <w:start w:w="110" w:type="dxa"/>
              <w:bottom w:w="100" w:type="dxa"/>
              <w:end w:w="110" w:type="dxa"/>
            </w:tcMar>
          </w:tcPr>
          <w:p>
            <w:r>
              <w:rPr>
                <w:b/>
                <w:color w:val="FFFFFF"/>
                <w:sz w:val="18"/>
              </w:rPr>
              <w:t>Example subnet</w:t>
            </w:r>
          </w:p>
        </w:tc>
        <w:tc>
          <w:tcPr>
            <w:tcW w:type="dxa" w:w="2592"/>
            <w:shd w:fill="1F4E78"/>
            <w:vAlign w:val="center"/>
            <w:tcMar>
              <w:top w:w="100" w:type="dxa"/>
              <w:start w:w="110" w:type="dxa"/>
              <w:bottom w:w="100" w:type="dxa"/>
              <w:end w:w="110" w:type="dxa"/>
            </w:tcMar>
          </w:tcPr>
          <w:p>
            <w:r>
              <w:rPr>
                <w:b/>
                <w:color w:val="FFFFFF"/>
                <w:sz w:val="18"/>
              </w:rPr>
              <w:t>Who may enter</w:t>
            </w:r>
          </w:p>
        </w:tc>
        <w:tc>
          <w:tcPr>
            <w:tcW w:type="dxa" w:w="3384"/>
            <w:shd w:fill="1F4E78"/>
            <w:vAlign w:val="center"/>
            <w:tcMar>
              <w:top w:w="100" w:type="dxa"/>
              <w:start w:w="110" w:type="dxa"/>
              <w:bottom w:w="100" w:type="dxa"/>
              <w:end w:w="110" w:type="dxa"/>
            </w:tcMar>
          </w:tcPr>
          <w:p>
            <w:r>
              <w:rPr>
                <w:b/>
                <w:color w:val="FFFFFF"/>
                <w:sz w:val="18"/>
              </w:rPr>
              <w:t>Important policy</w:t>
            </w:r>
          </w:p>
        </w:tc>
      </w:tr>
      <w:tr>
        <w:tc>
          <w:tcPr>
            <w:tcW w:type="dxa" w:w="720"/>
            <w:vAlign w:val="center"/>
            <w:tcMar>
              <w:top w:w="100" w:type="dxa"/>
              <w:start w:w="110" w:type="dxa"/>
              <w:bottom w:w="100" w:type="dxa"/>
              <w:end w:w="110" w:type="dxa"/>
            </w:tcMar>
          </w:tcPr>
          <w:p>
            <w:pPr>
              <w:spacing w:after="0"/>
            </w:pPr>
            <w:r>
              <w:rPr>
                <w:sz w:val="17"/>
              </w:rPr>
              <w:t>10</w:t>
            </w:r>
          </w:p>
        </w:tc>
        <w:tc>
          <w:tcPr>
            <w:tcW w:type="dxa" w:w="1728"/>
            <w:vAlign w:val="center"/>
            <w:tcMar>
              <w:top w:w="100" w:type="dxa"/>
              <w:start w:w="110" w:type="dxa"/>
              <w:bottom w:w="100" w:type="dxa"/>
              <w:end w:w="110" w:type="dxa"/>
            </w:tcMar>
          </w:tcPr>
          <w:p>
            <w:pPr>
              <w:spacing w:after="0"/>
            </w:pPr>
            <w:r>
              <w:rPr>
                <w:sz w:val="17"/>
              </w:rPr>
              <w:t>Management</w:t>
            </w:r>
          </w:p>
        </w:tc>
        <w:tc>
          <w:tcPr>
            <w:tcW w:type="dxa" w:w="1944"/>
            <w:vAlign w:val="center"/>
            <w:tcMar>
              <w:top w:w="100" w:type="dxa"/>
              <w:start w:w="110" w:type="dxa"/>
              <w:bottom w:w="100" w:type="dxa"/>
              <w:end w:w="110" w:type="dxa"/>
            </w:tcMar>
          </w:tcPr>
          <w:p>
            <w:pPr>
              <w:spacing w:after="0"/>
            </w:pPr>
            <w:r>
              <w:rPr>
                <w:sz w:val="17"/>
              </w:rPr>
              <w:t>10.10.10.0/24</w:t>
            </w:r>
          </w:p>
        </w:tc>
        <w:tc>
          <w:tcPr>
            <w:tcW w:type="dxa" w:w="2592"/>
            <w:vAlign w:val="center"/>
            <w:tcMar>
              <w:top w:w="100" w:type="dxa"/>
              <w:start w:w="110" w:type="dxa"/>
              <w:bottom w:w="100" w:type="dxa"/>
              <w:end w:w="110" w:type="dxa"/>
            </w:tcMar>
          </w:tcPr>
          <w:p>
            <w:pPr>
              <w:spacing w:after="0"/>
            </w:pPr>
            <w:r>
              <w:rPr>
                <w:sz w:val="17"/>
              </w:rPr>
              <w:t>Admin VPN and bastion only</w:t>
            </w:r>
          </w:p>
        </w:tc>
        <w:tc>
          <w:tcPr>
            <w:tcW w:type="dxa" w:w="3384"/>
            <w:vAlign w:val="center"/>
            <w:tcMar>
              <w:top w:w="100" w:type="dxa"/>
              <w:start w:w="110" w:type="dxa"/>
              <w:bottom w:w="100" w:type="dxa"/>
              <w:end w:w="110" w:type="dxa"/>
            </w:tcMar>
          </w:tcPr>
          <w:p>
            <w:pPr>
              <w:spacing w:after="0"/>
            </w:pPr>
            <w:r>
              <w:rPr>
                <w:sz w:val="17"/>
              </w:rPr>
              <w:t>No student, teacher, guest, or IoT access</w:t>
            </w:r>
          </w:p>
        </w:tc>
      </w:tr>
      <w:tr>
        <w:tc>
          <w:tcPr>
            <w:tcW w:type="dxa" w:w="720"/>
            <w:vAlign w:val="center"/>
            <w:shd w:fill="EAF2F8"/>
            <w:tcMar>
              <w:top w:w="100" w:type="dxa"/>
              <w:start w:w="110" w:type="dxa"/>
              <w:bottom w:w="100" w:type="dxa"/>
              <w:end w:w="110" w:type="dxa"/>
            </w:tcMar>
          </w:tcPr>
          <w:p>
            <w:pPr>
              <w:spacing w:after="0"/>
            </w:pPr>
            <w:r>
              <w:rPr>
                <w:sz w:val="17"/>
              </w:rPr>
              <w:t>20</w:t>
            </w:r>
          </w:p>
        </w:tc>
        <w:tc>
          <w:tcPr>
            <w:tcW w:type="dxa" w:w="1728"/>
            <w:vAlign w:val="center"/>
            <w:shd w:fill="EAF2F8"/>
            <w:tcMar>
              <w:top w:w="100" w:type="dxa"/>
              <w:start w:w="110" w:type="dxa"/>
              <w:bottom w:w="100" w:type="dxa"/>
              <w:end w:w="110" w:type="dxa"/>
            </w:tcMar>
          </w:tcPr>
          <w:p>
            <w:pPr>
              <w:spacing w:after="0"/>
            </w:pPr>
            <w:r>
              <w:rPr>
                <w:sz w:val="17"/>
              </w:rPr>
              <w:t>Protected services</w:t>
            </w:r>
          </w:p>
        </w:tc>
        <w:tc>
          <w:tcPr>
            <w:tcW w:type="dxa" w:w="1944"/>
            <w:vAlign w:val="center"/>
            <w:shd w:fill="EAF2F8"/>
            <w:tcMar>
              <w:top w:w="100" w:type="dxa"/>
              <w:start w:w="110" w:type="dxa"/>
              <w:bottom w:w="100" w:type="dxa"/>
              <w:end w:w="110" w:type="dxa"/>
            </w:tcMar>
          </w:tcPr>
          <w:p>
            <w:pPr>
              <w:spacing w:after="0"/>
            </w:pPr>
            <w:r>
              <w:rPr>
                <w:sz w:val="17"/>
              </w:rPr>
              <w:t>10.10.20.0/23</w:t>
            </w:r>
          </w:p>
        </w:tc>
        <w:tc>
          <w:tcPr>
            <w:tcW w:type="dxa" w:w="2592"/>
            <w:vAlign w:val="center"/>
            <w:shd w:fill="EAF2F8"/>
            <w:tcMar>
              <w:top w:w="100" w:type="dxa"/>
              <w:start w:w="110" w:type="dxa"/>
              <w:bottom w:w="100" w:type="dxa"/>
              <w:end w:w="110" w:type="dxa"/>
            </w:tcMar>
          </w:tcPr>
          <w:p>
            <w:pPr>
              <w:spacing w:after="0"/>
            </w:pPr>
            <w:r>
              <w:rPr>
                <w:sz w:val="17"/>
              </w:rPr>
              <w:t>Reverse proxy and approved application flows</w:t>
            </w:r>
          </w:p>
        </w:tc>
        <w:tc>
          <w:tcPr>
            <w:tcW w:type="dxa" w:w="3384"/>
            <w:vAlign w:val="center"/>
            <w:shd w:fill="EAF2F8"/>
            <w:tcMar>
              <w:top w:w="100" w:type="dxa"/>
              <w:start w:w="110" w:type="dxa"/>
              <w:bottom w:w="100" w:type="dxa"/>
              <w:end w:w="110" w:type="dxa"/>
            </w:tcMar>
          </w:tcPr>
          <w:p>
            <w:pPr>
              <w:spacing w:after="0"/>
            </w:pPr>
            <w:r>
              <w:rPr>
                <w:sz w:val="17"/>
              </w:rPr>
              <w:t>Databases accept only named application sources</w:t>
            </w:r>
          </w:p>
        </w:tc>
      </w:tr>
      <w:tr>
        <w:tc>
          <w:tcPr>
            <w:tcW w:type="dxa" w:w="720"/>
            <w:vAlign w:val="center"/>
            <w:tcMar>
              <w:top w:w="100" w:type="dxa"/>
              <w:start w:w="110" w:type="dxa"/>
              <w:bottom w:w="100" w:type="dxa"/>
              <w:end w:w="110" w:type="dxa"/>
            </w:tcMar>
          </w:tcPr>
          <w:p>
            <w:pPr>
              <w:spacing w:after="0"/>
            </w:pPr>
            <w:r>
              <w:rPr>
                <w:sz w:val="17"/>
              </w:rPr>
              <w:t>30</w:t>
            </w:r>
          </w:p>
        </w:tc>
        <w:tc>
          <w:tcPr>
            <w:tcW w:type="dxa" w:w="1728"/>
            <w:vAlign w:val="center"/>
            <w:tcMar>
              <w:top w:w="100" w:type="dxa"/>
              <w:start w:w="110" w:type="dxa"/>
              <w:bottom w:w="100" w:type="dxa"/>
              <w:end w:w="110" w:type="dxa"/>
            </w:tcMar>
          </w:tcPr>
          <w:p>
            <w:pPr>
              <w:spacing w:after="0"/>
            </w:pPr>
            <w:r>
              <w:rPr>
                <w:sz w:val="17"/>
              </w:rPr>
              <w:t>Development</w:t>
            </w:r>
          </w:p>
        </w:tc>
        <w:tc>
          <w:tcPr>
            <w:tcW w:type="dxa" w:w="1944"/>
            <w:vAlign w:val="center"/>
            <w:tcMar>
              <w:top w:w="100" w:type="dxa"/>
              <w:start w:w="110" w:type="dxa"/>
              <w:bottom w:w="100" w:type="dxa"/>
              <w:end w:w="110" w:type="dxa"/>
            </w:tcMar>
          </w:tcPr>
          <w:p>
            <w:pPr>
              <w:spacing w:after="0"/>
            </w:pPr>
            <w:r>
              <w:rPr>
                <w:sz w:val="17"/>
              </w:rPr>
              <w:t>10.10.30.0/22</w:t>
            </w:r>
          </w:p>
        </w:tc>
        <w:tc>
          <w:tcPr>
            <w:tcW w:type="dxa" w:w="2592"/>
            <w:vAlign w:val="center"/>
            <w:tcMar>
              <w:top w:w="100" w:type="dxa"/>
              <w:start w:w="110" w:type="dxa"/>
              <w:bottom w:w="100" w:type="dxa"/>
              <w:end w:w="110" w:type="dxa"/>
            </w:tcMar>
          </w:tcPr>
          <w:p>
            <w:pPr>
              <w:spacing w:after="0"/>
            </w:pPr>
            <w:r>
              <w:rPr>
                <w:sz w:val="17"/>
              </w:rPr>
              <w:t>Students and teachers through SSO</w:t>
            </w:r>
          </w:p>
        </w:tc>
        <w:tc>
          <w:tcPr>
            <w:tcW w:type="dxa" w:w="3384"/>
            <w:vAlign w:val="center"/>
            <w:tcMar>
              <w:top w:w="100" w:type="dxa"/>
              <w:start w:w="110" w:type="dxa"/>
              <w:bottom w:w="100" w:type="dxa"/>
              <w:end w:w="110" w:type="dxa"/>
            </w:tcMar>
          </w:tcPr>
          <w:p>
            <w:pPr>
              <w:spacing w:after="0"/>
            </w:pPr>
            <w:r>
              <w:rPr>
                <w:sz w:val="17"/>
              </w:rPr>
              <w:t>No route to management; restricted route to AI gateway</w:t>
            </w:r>
          </w:p>
        </w:tc>
      </w:tr>
      <w:tr>
        <w:tc>
          <w:tcPr>
            <w:tcW w:type="dxa" w:w="720"/>
            <w:vAlign w:val="center"/>
            <w:shd w:fill="EAF2F8"/>
            <w:tcMar>
              <w:top w:w="100" w:type="dxa"/>
              <w:start w:w="110" w:type="dxa"/>
              <w:bottom w:w="100" w:type="dxa"/>
              <w:end w:w="110" w:type="dxa"/>
            </w:tcMar>
          </w:tcPr>
          <w:p>
            <w:pPr>
              <w:spacing w:after="0"/>
            </w:pPr>
            <w:r>
              <w:rPr>
                <w:sz w:val="17"/>
              </w:rPr>
              <w:t>40</w:t>
            </w:r>
          </w:p>
        </w:tc>
        <w:tc>
          <w:tcPr>
            <w:tcW w:type="dxa" w:w="1728"/>
            <w:vAlign w:val="center"/>
            <w:shd w:fill="EAF2F8"/>
            <w:tcMar>
              <w:top w:w="100" w:type="dxa"/>
              <w:start w:w="110" w:type="dxa"/>
              <w:bottom w:w="100" w:type="dxa"/>
              <w:end w:w="110" w:type="dxa"/>
            </w:tcMar>
          </w:tcPr>
          <w:p>
            <w:pPr>
              <w:spacing w:after="0"/>
            </w:pPr>
            <w:r>
              <w:rPr>
                <w:sz w:val="17"/>
              </w:rPr>
              <w:t>AI</w:t>
            </w:r>
          </w:p>
        </w:tc>
        <w:tc>
          <w:tcPr>
            <w:tcW w:type="dxa" w:w="1944"/>
            <w:vAlign w:val="center"/>
            <w:shd w:fill="EAF2F8"/>
            <w:tcMar>
              <w:top w:w="100" w:type="dxa"/>
              <w:start w:w="110" w:type="dxa"/>
              <w:bottom w:w="100" w:type="dxa"/>
              <w:end w:w="110" w:type="dxa"/>
            </w:tcMar>
          </w:tcPr>
          <w:p>
            <w:pPr>
              <w:spacing w:after="0"/>
            </w:pPr>
            <w:r>
              <w:rPr>
                <w:sz w:val="17"/>
              </w:rPr>
              <w:t>10.10.40.0/24</w:t>
            </w:r>
          </w:p>
        </w:tc>
        <w:tc>
          <w:tcPr>
            <w:tcW w:type="dxa" w:w="2592"/>
            <w:vAlign w:val="center"/>
            <w:shd w:fill="EAF2F8"/>
            <w:tcMar>
              <w:top w:w="100" w:type="dxa"/>
              <w:start w:w="110" w:type="dxa"/>
              <w:bottom w:w="100" w:type="dxa"/>
              <w:end w:w="110" w:type="dxa"/>
            </w:tcMar>
          </w:tcPr>
          <w:p>
            <w:pPr>
              <w:spacing w:after="0"/>
            </w:pPr>
            <w:r>
              <w:rPr>
                <w:sz w:val="17"/>
              </w:rPr>
              <w:t>Approved APIs and AI administrators</w:t>
            </w:r>
          </w:p>
        </w:tc>
        <w:tc>
          <w:tcPr>
            <w:tcW w:type="dxa" w:w="3384"/>
            <w:vAlign w:val="center"/>
            <w:shd w:fill="EAF2F8"/>
            <w:tcMar>
              <w:top w:w="100" w:type="dxa"/>
              <w:start w:w="110" w:type="dxa"/>
              <w:bottom w:w="100" w:type="dxa"/>
              <w:end w:w="110" w:type="dxa"/>
            </w:tcMar>
          </w:tcPr>
          <w:p>
            <w:pPr>
              <w:spacing w:after="0"/>
            </w:pPr>
            <w:r>
              <w:rPr>
                <w:sz w:val="17"/>
              </w:rPr>
              <w:t>No direct end-user access to model ports</w:t>
            </w:r>
          </w:p>
        </w:tc>
      </w:tr>
      <w:tr>
        <w:tc>
          <w:tcPr>
            <w:tcW w:type="dxa" w:w="720"/>
            <w:vAlign w:val="center"/>
            <w:tcMar>
              <w:top w:w="100" w:type="dxa"/>
              <w:start w:w="110" w:type="dxa"/>
              <w:bottom w:w="100" w:type="dxa"/>
              <w:end w:w="110" w:type="dxa"/>
            </w:tcMar>
          </w:tcPr>
          <w:p>
            <w:pPr>
              <w:spacing w:after="0"/>
            </w:pPr>
            <w:r>
              <w:rPr>
                <w:sz w:val="17"/>
              </w:rPr>
              <w:t>50</w:t>
            </w:r>
          </w:p>
        </w:tc>
        <w:tc>
          <w:tcPr>
            <w:tcW w:type="dxa" w:w="1728"/>
            <w:vAlign w:val="center"/>
            <w:tcMar>
              <w:top w:w="100" w:type="dxa"/>
              <w:start w:w="110" w:type="dxa"/>
              <w:bottom w:w="100" w:type="dxa"/>
              <w:end w:w="110" w:type="dxa"/>
            </w:tcMar>
          </w:tcPr>
          <w:p>
            <w:pPr>
              <w:spacing w:after="0"/>
            </w:pPr>
            <w:r>
              <w:rPr>
                <w:sz w:val="17"/>
              </w:rPr>
              <w:t>Storage</w:t>
            </w:r>
          </w:p>
        </w:tc>
        <w:tc>
          <w:tcPr>
            <w:tcW w:type="dxa" w:w="1944"/>
            <w:vAlign w:val="center"/>
            <w:tcMar>
              <w:top w:w="100" w:type="dxa"/>
              <w:start w:w="110" w:type="dxa"/>
              <w:bottom w:w="100" w:type="dxa"/>
              <w:end w:w="110" w:type="dxa"/>
            </w:tcMar>
          </w:tcPr>
          <w:p>
            <w:pPr>
              <w:spacing w:after="0"/>
            </w:pPr>
            <w:r>
              <w:rPr>
                <w:sz w:val="17"/>
              </w:rPr>
              <w:t>10.10.50.0/24</w:t>
            </w:r>
          </w:p>
        </w:tc>
        <w:tc>
          <w:tcPr>
            <w:tcW w:type="dxa" w:w="2592"/>
            <w:vAlign w:val="center"/>
            <w:tcMar>
              <w:top w:w="100" w:type="dxa"/>
              <w:start w:w="110" w:type="dxa"/>
              <w:bottom w:w="100" w:type="dxa"/>
              <w:end w:w="110" w:type="dxa"/>
            </w:tcMar>
          </w:tcPr>
          <w:p>
            <w:pPr>
              <w:spacing w:after="0"/>
            </w:pPr>
            <w:r>
              <w:rPr>
                <w:sz w:val="17"/>
              </w:rPr>
              <w:t>Cluster and NAS interfaces only</w:t>
            </w:r>
          </w:p>
        </w:tc>
        <w:tc>
          <w:tcPr>
            <w:tcW w:type="dxa" w:w="3384"/>
            <w:vAlign w:val="center"/>
            <w:tcMar>
              <w:top w:w="100" w:type="dxa"/>
              <w:start w:w="110" w:type="dxa"/>
              <w:bottom w:w="100" w:type="dxa"/>
              <w:end w:w="110" w:type="dxa"/>
            </w:tcMar>
          </w:tcPr>
          <w:p>
            <w:pPr>
              <w:spacing w:after="0"/>
            </w:pPr>
            <w:r>
              <w:rPr>
                <w:sz w:val="17"/>
              </w:rPr>
              <w:t>Non-routed if possible; jumbo frames only end-to-end</w:t>
            </w:r>
          </w:p>
        </w:tc>
      </w:tr>
      <w:tr>
        <w:tc>
          <w:tcPr>
            <w:tcW w:type="dxa" w:w="720"/>
            <w:vAlign w:val="center"/>
            <w:shd w:fill="EAF2F8"/>
            <w:tcMar>
              <w:top w:w="100" w:type="dxa"/>
              <w:start w:w="110" w:type="dxa"/>
              <w:bottom w:w="100" w:type="dxa"/>
              <w:end w:w="110" w:type="dxa"/>
            </w:tcMar>
          </w:tcPr>
          <w:p>
            <w:pPr>
              <w:spacing w:after="0"/>
            </w:pPr>
            <w:r>
              <w:rPr>
                <w:sz w:val="17"/>
              </w:rPr>
              <w:t>60</w:t>
            </w:r>
          </w:p>
        </w:tc>
        <w:tc>
          <w:tcPr>
            <w:tcW w:type="dxa" w:w="1728"/>
            <w:vAlign w:val="center"/>
            <w:shd w:fill="EAF2F8"/>
            <w:tcMar>
              <w:top w:w="100" w:type="dxa"/>
              <w:start w:w="110" w:type="dxa"/>
              <w:bottom w:w="100" w:type="dxa"/>
              <w:end w:w="110" w:type="dxa"/>
            </w:tcMar>
          </w:tcPr>
          <w:p>
            <w:pPr>
              <w:spacing w:after="0"/>
            </w:pPr>
            <w:r>
              <w:rPr>
                <w:sz w:val="17"/>
              </w:rPr>
              <w:t>Backup</w:t>
            </w:r>
          </w:p>
        </w:tc>
        <w:tc>
          <w:tcPr>
            <w:tcW w:type="dxa" w:w="1944"/>
            <w:vAlign w:val="center"/>
            <w:shd w:fill="EAF2F8"/>
            <w:tcMar>
              <w:top w:w="100" w:type="dxa"/>
              <w:start w:w="110" w:type="dxa"/>
              <w:bottom w:w="100" w:type="dxa"/>
              <w:end w:w="110" w:type="dxa"/>
            </w:tcMar>
          </w:tcPr>
          <w:p>
            <w:pPr>
              <w:spacing w:after="0"/>
            </w:pPr>
            <w:r>
              <w:rPr>
                <w:sz w:val="17"/>
              </w:rPr>
              <w:t>10.10.60.0/24</w:t>
            </w:r>
          </w:p>
        </w:tc>
        <w:tc>
          <w:tcPr>
            <w:tcW w:type="dxa" w:w="2592"/>
            <w:vAlign w:val="center"/>
            <w:shd w:fill="EAF2F8"/>
            <w:tcMar>
              <w:top w:w="100" w:type="dxa"/>
              <w:start w:w="110" w:type="dxa"/>
              <w:bottom w:w="100" w:type="dxa"/>
              <w:end w:w="110" w:type="dxa"/>
            </w:tcMar>
          </w:tcPr>
          <w:p>
            <w:pPr>
              <w:spacing w:after="0"/>
            </w:pPr>
            <w:r>
              <w:rPr>
                <w:sz w:val="17"/>
              </w:rPr>
              <w:t>Backup clients to PBS01</w:t>
            </w:r>
          </w:p>
        </w:tc>
        <w:tc>
          <w:tcPr>
            <w:tcW w:type="dxa" w:w="3384"/>
            <w:vAlign w:val="center"/>
            <w:shd w:fill="EAF2F8"/>
            <w:tcMar>
              <w:top w:w="100" w:type="dxa"/>
              <w:start w:w="110" w:type="dxa"/>
              <w:bottom w:w="100" w:type="dxa"/>
              <w:end w:w="110" w:type="dxa"/>
            </w:tcMar>
          </w:tcPr>
          <w:p>
            <w:pPr>
              <w:spacing w:after="0"/>
            </w:pPr>
            <w:r>
              <w:rPr>
                <w:sz w:val="17"/>
              </w:rPr>
              <w:t>PBS01 initiates no general browsing</w:t>
            </w:r>
          </w:p>
        </w:tc>
      </w:tr>
      <w:tr>
        <w:tc>
          <w:tcPr>
            <w:tcW w:type="dxa" w:w="720"/>
            <w:vAlign w:val="center"/>
            <w:tcMar>
              <w:top w:w="100" w:type="dxa"/>
              <w:start w:w="110" w:type="dxa"/>
              <w:bottom w:w="100" w:type="dxa"/>
              <w:end w:w="110" w:type="dxa"/>
            </w:tcMar>
          </w:tcPr>
          <w:p>
            <w:pPr>
              <w:spacing w:after="0"/>
            </w:pPr>
            <w:r>
              <w:rPr>
                <w:sz w:val="17"/>
              </w:rPr>
              <w:t>70</w:t>
            </w:r>
          </w:p>
        </w:tc>
        <w:tc>
          <w:tcPr>
            <w:tcW w:type="dxa" w:w="1728"/>
            <w:vAlign w:val="center"/>
            <w:tcMar>
              <w:top w:w="100" w:type="dxa"/>
              <w:start w:w="110" w:type="dxa"/>
              <w:bottom w:w="100" w:type="dxa"/>
              <w:end w:w="110" w:type="dxa"/>
            </w:tcMar>
          </w:tcPr>
          <w:p>
            <w:pPr>
              <w:spacing w:after="0"/>
            </w:pPr>
            <w:r>
              <w:rPr>
                <w:sz w:val="17"/>
              </w:rPr>
              <w:t>Teachers</w:t>
            </w:r>
          </w:p>
        </w:tc>
        <w:tc>
          <w:tcPr>
            <w:tcW w:type="dxa" w:w="1944"/>
            <w:vAlign w:val="center"/>
            <w:tcMar>
              <w:top w:w="100" w:type="dxa"/>
              <w:start w:w="110" w:type="dxa"/>
              <w:bottom w:w="100" w:type="dxa"/>
              <w:end w:w="110" w:type="dxa"/>
            </w:tcMar>
          </w:tcPr>
          <w:p>
            <w:pPr>
              <w:spacing w:after="0"/>
            </w:pPr>
            <w:r>
              <w:rPr>
                <w:sz w:val="17"/>
              </w:rPr>
              <w:t>10.10.70.0/22</w:t>
            </w:r>
          </w:p>
        </w:tc>
        <w:tc>
          <w:tcPr>
            <w:tcW w:type="dxa" w:w="2592"/>
            <w:vAlign w:val="center"/>
            <w:tcMar>
              <w:top w:w="100" w:type="dxa"/>
              <w:start w:w="110" w:type="dxa"/>
              <w:bottom w:w="100" w:type="dxa"/>
              <w:end w:w="110" w:type="dxa"/>
            </w:tcMar>
          </w:tcPr>
          <w:p>
            <w:pPr>
              <w:spacing w:after="0"/>
            </w:pPr>
            <w:r>
              <w:rPr>
                <w:sz w:val="17"/>
              </w:rPr>
              <w:t>Managed teacher devices</w:t>
            </w:r>
          </w:p>
        </w:tc>
        <w:tc>
          <w:tcPr>
            <w:tcW w:type="dxa" w:w="3384"/>
            <w:vAlign w:val="center"/>
            <w:tcMar>
              <w:top w:w="100" w:type="dxa"/>
              <w:start w:w="110" w:type="dxa"/>
              <w:bottom w:w="100" w:type="dxa"/>
              <w:end w:w="110" w:type="dxa"/>
            </w:tcMar>
          </w:tcPr>
          <w:p>
            <w:pPr>
              <w:spacing w:after="0"/>
            </w:pPr>
            <w:r>
              <w:rPr>
                <w:sz w:val="17"/>
              </w:rPr>
              <w:t>Access published services, not server admin ports</w:t>
            </w:r>
          </w:p>
        </w:tc>
      </w:tr>
      <w:tr>
        <w:tc>
          <w:tcPr>
            <w:tcW w:type="dxa" w:w="720"/>
            <w:vAlign w:val="center"/>
            <w:shd w:fill="EAF2F8"/>
            <w:tcMar>
              <w:top w:w="100" w:type="dxa"/>
              <w:start w:w="110" w:type="dxa"/>
              <w:bottom w:w="100" w:type="dxa"/>
              <w:end w:w="110" w:type="dxa"/>
            </w:tcMar>
          </w:tcPr>
          <w:p>
            <w:pPr>
              <w:spacing w:after="0"/>
            </w:pPr>
            <w:r>
              <w:rPr>
                <w:sz w:val="17"/>
              </w:rPr>
              <w:t>80</w:t>
            </w:r>
          </w:p>
        </w:tc>
        <w:tc>
          <w:tcPr>
            <w:tcW w:type="dxa" w:w="1728"/>
            <w:vAlign w:val="center"/>
            <w:shd w:fill="EAF2F8"/>
            <w:tcMar>
              <w:top w:w="100" w:type="dxa"/>
              <w:start w:w="110" w:type="dxa"/>
              <w:bottom w:w="100" w:type="dxa"/>
              <w:end w:w="110" w:type="dxa"/>
            </w:tcMar>
          </w:tcPr>
          <w:p>
            <w:pPr>
              <w:spacing w:after="0"/>
            </w:pPr>
            <w:r>
              <w:rPr>
                <w:sz w:val="17"/>
              </w:rPr>
              <w:t>Students</w:t>
            </w:r>
          </w:p>
        </w:tc>
        <w:tc>
          <w:tcPr>
            <w:tcW w:type="dxa" w:w="1944"/>
            <w:vAlign w:val="center"/>
            <w:shd w:fill="EAF2F8"/>
            <w:tcMar>
              <w:top w:w="100" w:type="dxa"/>
              <w:start w:w="110" w:type="dxa"/>
              <w:bottom w:w="100" w:type="dxa"/>
              <w:end w:w="110" w:type="dxa"/>
            </w:tcMar>
          </w:tcPr>
          <w:p>
            <w:pPr>
              <w:spacing w:after="0"/>
            </w:pPr>
            <w:r>
              <w:rPr>
                <w:sz w:val="17"/>
              </w:rPr>
              <w:t>10.10.80.0/20</w:t>
            </w:r>
          </w:p>
        </w:tc>
        <w:tc>
          <w:tcPr>
            <w:tcW w:type="dxa" w:w="2592"/>
            <w:vAlign w:val="center"/>
            <w:shd w:fill="EAF2F8"/>
            <w:tcMar>
              <w:top w:w="100" w:type="dxa"/>
              <w:start w:w="110" w:type="dxa"/>
              <w:bottom w:w="100" w:type="dxa"/>
              <w:end w:w="110" w:type="dxa"/>
            </w:tcMar>
          </w:tcPr>
          <w:p>
            <w:pPr>
              <w:spacing w:after="0"/>
            </w:pPr>
            <w:r>
              <w:rPr>
                <w:sz w:val="17"/>
              </w:rPr>
              <w:t>Managed student devices</w:t>
            </w:r>
          </w:p>
        </w:tc>
        <w:tc>
          <w:tcPr>
            <w:tcW w:type="dxa" w:w="3384"/>
            <w:vAlign w:val="center"/>
            <w:shd w:fill="EAF2F8"/>
            <w:tcMar>
              <w:top w:w="100" w:type="dxa"/>
              <w:start w:w="110" w:type="dxa"/>
              <w:bottom w:w="100" w:type="dxa"/>
              <w:end w:w="110" w:type="dxa"/>
            </w:tcMar>
          </w:tcPr>
          <w:p>
            <w:pPr>
              <w:spacing w:after="0"/>
            </w:pPr>
            <w:r>
              <w:rPr>
                <w:sz w:val="17"/>
              </w:rPr>
              <w:t>Access published apps and approved lab services</w:t>
            </w:r>
          </w:p>
        </w:tc>
      </w:tr>
      <w:tr>
        <w:tc>
          <w:tcPr>
            <w:tcW w:type="dxa" w:w="720"/>
            <w:vAlign w:val="center"/>
            <w:tcMar>
              <w:top w:w="100" w:type="dxa"/>
              <w:start w:w="110" w:type="dxa"/>
              <w:bottom w:w="100" w:type="dxa"/>
              <w:end w:w="110" w:type="dxa"/>
            </w:tcMar>
          </w:tcPr>
          <w:p>
            <w:pPr>
              <w:spacing w:after="0"/>
            </w:pPr>
            <w:r>
              <w:rPr>
                <w:sz w:val="17"/>
              </w:rPr>
              <w:t>90</w:t>
            </w:r>
          </w:p>
        </w:tc>
        <w:tc>
          <w:tcPr>
            <w:tcW w:type="dxa" w:w="1728"/>
            <w:vAlign w:val="center"/>
            <w:tcMar>
              <w:top w:w="100" w:type="dxa"/>
              <w:start w:w="110" w:type="dxa"/>
              <w:bottom w:w="100" w:type="dxa"/>
              <w:end w:w="110" w:type="dxa"/>
            </w:tcMar>
          </w:tcPr>
          <w:p>
            <w:pPr>
              <w:spacing w:after="0"/>
            </w:pPr>
            <w:r>
              <w:rPr>
                <w:sz w:val="17"/>
              </w:rPr>
              <w:t>IoT and cameras</w:t>
            </w:r>
          </w:p>
        </w:tc>
        <w:tc>
          <w:tcPr>
            <w:tcW w:type="dxa" w:w="1944"/>
            <w:vAlign w:val="center"/>
            <w:tcMar>
              <w:top w:w="100" w:type="dxa"/>
              <w:start w:w="110" w:type="dxa"/>
              <w:bottom w:w="100" w:type="dxa"/>
              <w:end w:w="110" w:type="dxa"/>
            </w:tcMar>
          </w:tcPr>
          <w:p>
            <w:pPr>
              <w:spacing w:after="0"/>
            </w:pPr>
            <w:r>
              <w:rPr>
                <w:sz w:val="17"/>
              </w:rPr>
              <w:t>10.10.90.0/22</w:t>
            </w:r>
          </w:p>
        </w:tc>
        <w:tc>
          <w:tcPr>
            <w:tcW w:type="dxa" w:w="2592"/>
            <w:vAlign w:val="center"/>
            <w:tcMar>
              <w:top w:w="100" w:type="dxa"/>
              <w:start w:w="110" w:type="dxa"/>
              <w:bottom w:w="100" w:type="dxa"/>
              <w:end w:w="110" w:type="dxa"/>
            </w:tcMar>
          </w:tcPr>
          <w:p>
            <w:pPr>
              <w:spacing w:after="0"/>
            </w:pPr>
            <w:r>
              <w:rPr>
                <w:sz w:val="17"/>
              </w:rPr>
              <w:t>Registered devices</w:t>
            </w:r>
          </w:p>
        </w:tc>
        <w:tc>
          <w:tcPr>
            <w:tcW w:type="dxa" w:w="3384"/>
            <w:vAlign w:val="center"/>
            <w:tcMar>
              <w:top w:w="100" w:type="dxa"/>
              <w:start w:w="110" w:type="dxa"/>
              <w:bottom w:w="100" w:type="dxa"/>
              <w:end w:w="110" w:type="dxa"/>
            </w:tcMar>
          </w:tcPr>
          <w:p>
            <w:pPr>
              <w:spacing w:after="0"/>
            </w:pPr>
            <w:r>
              <w:rPr>
                <w:sz w:val="17"/>
              </w:rPr>
              <w:t>Internet/vendor endpoints only; no east-west access</w:t>
            </w:r>
          </w:p>
        </w:tc>
      </w:tr>
      <w:tr>
        <w:tc>
          <w:tcPr>
            <w:tcW w:type="dxa" w:w="720"/>
            <w:vAlign w:val="center"/>
            <w:shd w:fill="EAF2F8"/>
            <w:tcMar>
              <w:top w:w="100" w:type="dxa"/>
              <w:start w:w="110" w:type="dxa"/>
              <w:bottom w:w="100" w:type="dxa"/>
              <w:end w:w="110" w:type="dxa"/>
            </w:tcMar>
          </w:tcPr>
          <w:p>
            <w:pPr>
              <w:spacing w:after="0"/>
            </w:pPr>
            <w:r>
              <w:rPr>
                <w:sz w:val="17"/>
              </w:rPr>
              <w:t>100</w:t>
            </w:r>
          </w:p>
        </w:tc>
        <w:tc>
          <w:tcPr>
            <w:tcW w:type="dxa" w:w="1728"/>
            <w:vAlign w:val="center"/>
            <w:shd w:fill="EAF2F8"/>
            <w:tcMar>
              <w:top w:w="100" w:type="dxa"/>
              <w:start w:w="110" w:type="dxa"/>
              <w:bottom w:w="100" w:type="dxa"/>
              <w:end w:w="110" w:type="dxa"/>
            </w:tcMar>
          </w:tcPr>
          <w:p>
            <w:pPr>
              <w:spacing w:after="0"/>
            </w:pPr>
            <w:r>
              <w:rPr>
                <w:sz w:val="17"/>
              </w:rPr>
              <w:t>Guest</w:t>
            </w:r>
          </w:p>
        </w:tc>
        <w:tc>
          <w:tcPr>
            <w:tcW w:type="dxa" w:w="1944"/>
            <w:vAlign w:val="center"/>
            <w:shd w:fill="EAF2F8"/>
            <w:tcMar>
              <w:top w:w="100" w:type="dxa"/>
              <w:start w:w="110" w:type="dxa"/>
              <w:bottom w:w="100" w:type="dxa"/>
              <w:end w:w="110" w:type="dxa"/>
            </w:tcMar>
          </w:tcPr>
          <w:p>
            <w:pPr>
              <w:spacing w:after="0"/>
            </w:pPr>
            <w:r>
              <w:rPr>
                <w:sz w:val="17"/>
              </w:rPr>
              <w:t>10.10.100.0/20</w:t>
            </w:r>
          </w:p>
        </w:tc>
        <w:tc>
          <w:tcPr>
            <w:tcW w:type="dxa" w:w="2592"/>
            <w:vAlign w:val="center"/>
            <w:shd w:fill="EAF2F8"/>
            <w:tcMar>
              <w:top w:w="100" w:type="dxa"/>
              <w:start w:w="110" w:type="dxa"/>
              <w:bottom w:w="100" w:type="dxa"/>
              <w:end w:w="110" w:type="dxa"/>
            </w:tcMar>
          </w:tcPr>
          <w:p>
            <w:pPr>
              <w:spacing w:after="0"/>
            </w:pPr>
            <w:r>
              <w:rPr>
                <w:sz w:val="17"/>
              </w:rPr>
              <w:t>Visitors</w:t>
            </w:r>
          </w:p>
        </w:tc>
        <w:tc>
          <w:tcPr>
            <w:tcW w:type="dxa" w:w="3384"/>
            <w:vAlign w:val="center"/>
            <w:shd w:fill="EAF2F8"/>
            <w:tcMar>
              <w:top w:w="100" w:type="dxa"/>
              <w:start w:w="110" w:type="dxa"/>
              <w:bottom w:w="100" w:type="dxa"/>
              <w:end w:w="110" w:type="dxa"/>
            </w:tcMar>
          </w:tcPr>
          <w:p>
            <w:pPr>
              <w:spacing w:after="0"/>
            </w:pPr>
            <w:r>
              <w:rPr>
                <w:sz w:val="17"/>
              </w:rPr>
              <w:t>Internet only; client isolation</w:t>
            </w:r>
          </w:p>
        </w:tc>
      </w:tr>
    </w:tbl>
    <w:p>
      <w:pPr>
        <w:spacing w:after="40"/>
      </w:pPr>
    </w:p>
    <w:p>
      <w:pPr>
        <w:pStyle w:val="Heading2"/>
      </w:pPr>
      <w:r>
        <w:t>Core firewall rules</w:t>
      </w:r>
    </w:p>
    <w:p>
      <w:pPr>
        <w:pStyle w:val="ListBullet"/>
      </w:pPr>
      <w:r>
        <w:t>Default deny between VLANs. Create narrow allow rules by source, destination, port, owner, and expiration date.</w:t>
      </w:r>
    </w:p>
    <w:p>
      <w:pPr>
        <w:pStyle w:val="ListBullet"/>
      </w:pPr>
      <w:r>
        <w:t>Publish HTTP/HTTPS only through reverse proxies or a web application firewall. Never port-forward a database, hypervisor, NAS, SSH, RDP, or model runtime.</w:t>
      </w:r>
    </w:p>
    <w:p>
      <w:pPr>
        <w:pStyle w:val="ListBullet"/>
      </w:pPr>
      <w:r>
        <w:t>Allow the development zone to the AI gateway on HTTPS, not to GPU runtime ports. Apply per-user and per-project rate limits.</w:t>
      </w:r>
    </w:p>
    <w:p>
      <w:pPr>
        <w:pStyle w:val="ListBullet"/>
      </w:pPr>
      <w:r>
        <w:t>Allow backup traffic from registered clients to the backup server. Do not allow backup credentials to be reused on production systems.</w:t>
      </w:r>
    </w:p>
    <w:p>
      <w:pPr>
        <w:pStyle w:val="ListBullet"/>
      </w:pPr>
      <w:r>
        <w:t>Send firewall, SSO, Git, hypervisor, AI gateway, and operating-system logs to a central log service.</w:t>
      </w:r>
    </w:p>
    <w:p>
      <w:r>
        <w:br w:type="page"/>
      </w:r>
    </w:p>
    <w:p>
      <w:pPr>
        <w:pStyle w:val="Heading1"/>
      </w:pPr>
      <w:r>
        <w:t>5 Service placement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c>
          <w:tcPr>
            <w:tcW w:type="dxa" w:w="2160"/>
            <w:shd w:fill="1F4E78"/>
            <w:vAlign w:val="center"/>
            <w:tcMar>
              <w:top w:w="100" w:type="dxa"/>
              <w:start w:w="110" w:type="dxa"/>
              <w:bottom w:w="100" w:type="dxa"/>
              <w:end w:w="110" w:type="dxa"/>
            </w:tcMar>
          </w:tcPr>
          <w:p>
            <w:r>
              <w:rPr>
                <w:b/>
                <w:color w:val="FFFFFF"/>
                <w:sz w:val="18"/>
              </w:rPr>
              <w:t>VM or service</w:t>
            </w:r>
          </w:p>
        </w:tc>
        <w:tc>
          <w:tcPr>
            <w:tcW w:type="dxa" w:w="1584"/>
            <w:shd w:fill="1F4E78"/>
            <w:vAlign w:val="center"/>
            <w:tcMar>
              <w:top w:w="100" w:type="dxa"/>
              <w:start w:w="110" w:type="dxa"/>
              <w:bottom w:w="100" w:type="dxa"/>
              <w:end w:w="110" w:type="dxa"/>
            </w:tcMar>
          </w:tcPr>
          <w:p>
            <w:r>
              <w:rPr>
                <w:b/>
                <w:color w:val="FFFFFF"/>
                <w:sz w:val="18"/>
              </w:rPr>
              <w:t>Zone</w:t>
            </w:r>
          </w:p>
        </w:tc>
        <w:tc>
          <w:tcPr>
            <w:tcW w:type="dxa" w:w="2520"/>
            <w:shd w:fill="1F4E78"/>
            <w:vAlign w:val="center"/>
            <w:tcMar>
              <w:top w:w="100" w:type="dxa"/>
              <w:start w:w="110" w:type="dxa"/>
              <w:bottom w:w="100" w:type="dxa"/>
              <w:end w:w="110" w:type="dxa"/>
            </w:tcMar>
          </w:tcPr>
          <w:p>
            <w:r>
              <w:rPr>
                <w:b/>
                <w:color w:val="FFFFFF"/>
                <w:sz w:val="18"/>
              </w:rPr>
              <w:t>Baseline resources</w:t>
            </w:r>
          </w:p>
        </w:tc>
        <w:tc>
          <w:tcPr>
            <w:tcW w:type="dxa" w:w="4320"/>
            <w:shd w:fill="1F4E78"/>
            <w:vAlign w:val="center"/>
            <w:tcMar>
              <w:top w:w="100" w:type="dxa"/>
              <w:start w:w="110" w:type="dxa"/>
              <w:bottom w:w="100" w:type="dxa"/>
              <w:end w:w="110" w:type="dxa"/>
            </w:tcMar>
          </w:tcPr>
          <w:p>
            <w:r>
              <w:rPr>
                <w:b/>
                <w:color w:val="FFFFFF"/>
                <w:sz w:val="18"/>
              </w:rPr>
              <w:t>Deployment</w:t>
            </w:r>
          </w:p>
        </w:tc>
      </w:tr>
      <w:tr>
        <w:tc>
          <w:tcPr>
            <w:tcW w:type="dxa" w:w="2160"/>
            <w:vAlign w:val="center"/>
            <w:tcMar>
              <w:top w:w="100" w:type="dxa"/>
              <w:start w:w="110" w:type="dxa"/>
              <w:bottom w:w="100" w:type="dxa"/>
              <w:end w:w="110" w:type="dxa"/>
            </w:tcMar>
          </w:tcPr>
          <w:p>
            <w:pPr>
              <w:spacing w:after="0"/>
            </w:pPr>
            <w:r>
              <w:rPr>
                <w:sz w:val="17"/>
              </w:rPr>
              <w:t>ID01 / ID02</w:t>
            </w:r>
          </w:p>
        </w:tc>
        <w:tc>
          <w:tcPr>
            <w:tcW w:type="dxa" w:w="1584"/>
            <w:vAlign w:val="center"/>
            <w:tcMar>
              <w:top w:w="100" w:type="dxa"/>
              <w:start w:w="110" w:type="dxa"/>
              <w:bottom w:w="100" w:type="dxa"/>
              <w:end w:w="110" w:type="dxa"/>
            </w:tcMar>
          </w:tcPr>
          <w:p>
            <w:pPr>
              <w:spacing w:after="0"/>
            </w:pPr>
            <w:r>
              <w:rPr>
                <w:sz w:val="17"/>
              </w:rPr>
              <w:t>Protected</w:t>
            </w:r>
          </w:p>
        </w:tc>
        <w:tc>
          <w:tcPr>
            <w:tcW w:type="dxa" w:w="2520"/>
            <w:vAlign w:val="center"/>
            <w:tcMar>
              <w:top w:w="100" w:type="dxa"/>
              <w:start w:w="110" w:type="dxa"/>
              <w:bottom w:w="100" w:type="dxa"/>
              <w:end w:w="110" w:type="dxa"/>
            </w:tcMar>
          </w:tcPr>
          <w:p>
            <w:pPr>
              <w:spacing w:after="0"/>
            </w:pPr>
            <w:r>
              <w:rPr>
                <w:sz w:val="17"/>
              </w:rPr>
              <w:t>4 vCPU, 16 GB each</w:t>
            </w:r>
          </w:p>
        </w:tc>
        <w:tc>
          <w:tcPr>
            <w:tcW w:type="dxa" w:w="4320"/>
            <w:vAlign w:val="center"/>
            <w:tcMar>
              <w:top w:w="100" w:type="dxa"/>
              <w:start w:w="110" w:type="dxa"/>
              <w:bottom w:w="100" w:type="dxa"/>
              <w:end w:w="110" w:type="dxa"/>
            </w:tcMar>
          </w:tcPr>
          <w:p>
            <w:pPr>
              <w:spacing w:after="0"/>
            </w:pPr>
            <w:r>
              <w:rPr>
                <w:sz w:val="17"/>
              </w:rPr>
              <w:t>Identity, DNS, NTP integration; two instances</w:t>
            </w:r>
          </w:p>
        </w:tc>
      </w:tr>
      <w:tr>
        <w:tc>
          <w:tcPr>
            <w:tcW w:type="dxa" w:w="2160"/>
            <w:vAlign w:val="center"/>
            <w:shd w:fill="EAF2F8"/>
            <w:tcMar>
              <w:top w:w="100" w:type="dxa"/>
              <w:start w:w="110" w:type="dxa"/>
              <w:bottom w:w="100" w:type="dxa"/>
              <w:end w:w="110" w:type="dxa"/>
            </w:tcMar>
          </w:tcPr>
          <w:p>
            <w:pPr>
              <w:spacing w:after="0"/>
            </w:pPr>
            <w:r>
              <w:rPr>
                <w:sz w:val="17"/>
              </w:rPr>
              <w:t>PROXY01 / PROXY02</w:t>
            </w:r>
          </w:p>
        </w:tc>
        <w:tc>
          <w:tcPr>
            <w:tcW w:type="dxa" w:w="1584"/>
            <w:vAlign w:val="center"/>
            <w:shd w:fill="EAF2F8"/>
            <w:tcMar>
              <w:top w:w="100" w:type="dxa"/>
              <w:start w:w="110" w:type="dxa"/>
              <w:bottom w:w="100" w:type="dxa"/>
              <w:end w:w="110" w:type="dxa"/>
            </w:tcMar>
          </w:tcPr>
          <w:p>
            <w:pPr>
              <w:spacing w:after="0"/>
            </w:pPr>
            <w:r>
              <w:rPr>
                <w:sz w:val="17"/>
              </w:rPr>
              <w:t>Protected / DMZ</w:t>
            </w:r>
          </w:p>
        </w:tc>
        <w:tc>
          <w:tcPr>
            <w:tcW w:type="dxa" w:w="2520"/>
            <w:vAlign w:val="center"/>
            <w:shd w:fill="EAF2F8"/>
            <w:tcMar>
              <w:top w:w="100" w:type="dxa"/>
              <w:start w:w="110" w:type="dxa"/>
              <w:bottom w:w="100" w:type="dxa"/>
              <w:end w:w="110" w:type="dxa"/>
            </w:tcMar>
          </w:tcPr>
          <w:p>
            <w:pPr>
              <w:spacing w:after="0"/>
            </w:pPr>
            <w:r>
              <w:rPr>
                <w:sz w:val="17"/>
              </w:rPr>
              <w:t>4 vCPU, 8 GB each</w:t>
            </w:r>
          </w:p>
        </w:tc>
        <w:tc>
          <w:tcPr>
            <w:tcW w:type="dxa" w:w="4320"/>
            <w:vAlign w:val="center"/>
            <w:shd w:fill="EAF2F8"/>
            <w:tcMar>
              <w:top w:w="100" w:type="dxa"/>
              <w:start w:w="110" w:type="dxa"/>
              <w:bottom w:w="100" w:type="dxa"/>
              <w:end w:w="110" w:type="dxa"/>
            </w:tcMar>
          </w:tcPr>
          <w:p>
            <w:pPr>
              <w:spacing w:after="0"/>
            </w:pPr>
            <w:r>
              <w:rPr>
                <w:sz w:val="17"/>
              </w:rPr>
              <w:t>HAProxy or NGINX; TLS termination</w:t>
            </w:r>
          </w:p>
        </w:tc>
      </w:tr>
      <w:tr>
        <w:tc>
          <w:tcPr>
            <w:tcW w:type="dxa" w:w="2160"/>
            <w:vAlign w:val="center"/>
            <w:tcMar>
              <w:top w:w="100" w:type="dxa"/>
              <w:start w:w="110" w:type="dxa"/>
              <w:bottom w:w="100" w:type="dxa"/>
              <w:end w:w="110" w:type="dxa"/>
            </w:tcMar>
          </w:tcPr>
          <w:p>
            <w:pPr>
              <w:spacing w:after="0"/>
            </w:pPr>
            <w:r>
              <w:rPr>
                <w:sz w:val="17"/>
              </w:rPr>
              <w:t>DB01 / DB02</w:t>
            </w:r>
          </w:p>
        </w:tc>
        <w:tc>
          <w:tcPr>
            <w:tcW w:type="dxa" w:w="1584"/>
            <w:vAlign w:val="center"/>
            <w:tcMar>
              <w:top w:w="100" w:type="dxa"/>
              <w:start w:w="110" w:type="dxa"/>
              <w:bottom w:w="100" w:type="dxa"/>
              <w:end w:w="110" w:type="dxa"/>
            </w:tcMar>
          </w:tcPr>
          <w:p>
            <w:pPr>
              <w:spacing w:after="0"/>
            </w:pPr>
            <w:r>
              <w:rPr>
                <w:sz w:val="17"/>
              </w:rPr>
              <w:t>Protected</w:t>
            </w:r>
          </w:p>
        </w:tc>
        <w:tc>
          <w:tcPr>
            <w:tcW w:type="dxa" w:w="2520"/>
            <w:vAlign w:val="center"/>
            <w:tcMar>
              <w:top w:w="100" w:type="dxa"/>
              <w:start w:w="110" w:type="dxa"/>
              <w:bottom w:w="100" w:type="dxa"/>
              <w:end w:w="110" w:type="dxa"/>
            </w:tcMar>
          </w:tcPr>
          <w:p>
            <w:pPr>
              <w:spacing w:after="0"/>
            </w:pPr>
            <w:r>
              <w:rPr>
                <w:sz w:val="17"/>
              </w:rPr>
              <w:t>16 vCPU, 64–128 GB each</w:t>
            </w:r>
          </w:p>
        </w:tc>
        <w:tc>
          <w:tcPr>
            <w:tcW w:type="dxa" w:w="4320"/>
            <w:vAlign w:val="center"/>
            <w:tcMar>
              <w:top w:w="100" w:type="dxa"/>
              <w:start w:w="110" w:type="dxa"/>
              <w:bottom w:w="100" w:type="dxa"/>
              <w:end w:w="110" w:type="dxa"/>
            </w:tcMar>
          </w:tcPr>
          <w:p>
            <w:pPr>
              <w:spacing w:after="0"/>
            </w:pPr>
            <w:r>
              <w:rPr>
                <w:sz w:val="17"/>
              </w:rPr>
              <w:t>PostgreSQL primary and standby; dedicated volumes</w:t>
            </w:r>
          </w:p>
        </w:tc>
      </w:tr>
      <w:tr>
        <w:tc>
          <w:tcPr>
            <w:tcW w:type="dxa" w:w="2160"/>
            <w:vAlign w:val="center"/>
            <w:shd w:fill="EAF2F8"/>
            <w:tcMar>
              <w:top w:w="100" w:type="dxa"/>
              <w:start w:w="110" w:type="dxa"/>
              <w:bottom w:w="100" w:type="dxa"/>
              <w:end w:w="110" w:type="dxa"/>
            </w:tcMar>
          </w:tcPr>
          <w:p>
            <w:pPr>
              <w:spacing w:after="0"/>
            </w:pPr>
            <w:r>
              <w:rPr>
                <w:sz w:val="17"/>
              </w:rPr>
              <w:t>APP01 / APP02</w:t>
            </w:r>
          </w:p>
        </w:tc>
        <w:tc>
          <w:tcPr>
            <w:tcW w:type="dxa" w:w="1584"/>
            <w:vAlign w:val="center"/>
            <w:shd w:fill="EAF2F8"/>
            <w:tcMar>
              <w:top w:w="100" w:type="dxa"/>
              <w:start w:w="110" w:type="dxa"/>
              <w:bottom w:w="100" w:type="dxa"/>
              <w:end w:w="110" w:type="dxa"/>
            </w:tcMar>
          </w:tcPr>
          <w:p>
            <w:pPr>
              <w:spacing w:after="0"/>
            </w:pPr>
            <w:r>
              <w:rPr>
                <w:sz w:val="17"/>
              </w:rPr>
              <w:t>Protected</w:t>
            </w:r>
          </w:p>
        </w:tc>
        <w:tc>
          <w:tcPr>
            <w:tcW w:type="dxa" w:w="2520"/>
            <w:vAlign w:val="center"/>
            <w:shd w:fill="EAF2F8"/>
            <w:tcMar>
              <w:top w:w="100" w:type="dxa"/>
              <w:start w:w="110" w:type="dxa"/>
              <w:bottom w:w="100" w:type="dxa"/>
              <w:end w:w="110" w:type="dxa"/>
            </w:tcMar>
          </w:tcPr>
          <w:p>
            <w:pPr>
              <w:spacing w:after="0"/>
            </w:pPr>
            <w:r>
              <w:rPr>
                <w:sz w:val="17"/>
              </w:rPr>
              <w:t>8–16 vCPU, 32–64 GB each</w:t>
            </w:r>
          </w:p>
        </w:tc>
        <w:tc>
          <w:tcPr>
            <w:tcW w:type="dxa" w:w="4320"/>
            <w:vAlign w:val="center"/>
            <w:shd w:fill="EAF2F8"/>
            <w:tcMar>
              <w:top w:w="100" w:type="dxa"/>
              <w:start w:w="110" w:type="dxa"/>
              <w:bottom w:w="100" w:type="dxa"/>
              <w:end w:w="110" w:type="dxa"/>
            </w:tcMar>
          </w:tcPr>
          <w:p>
            <w:pPr>
              <w:spacing w:after="0"/>
            </w:pPr>
            <w:r>
              <w:rPr>
                <w:sz w:val="17"/>
              </w:rPr>
              <w:t>LMS and approved school applications</w:t>
            </w:r>
          </w:p>
        </w:tc>
      </w:tr>
      <w:tr>
        <w:tc>
          <w:tcPr>
            <w:tcW w:type="dxa" w:w="2160"/>
            <w:vAlign w:val="center"/>
            <w:tcMar>
              <w:top w:w="100" w:type="dxa"/>
              <w:start w:w="110" w:type="dxa"/>
              <w:bottom w:w="100" w:type="dxa"/>
              <w:end w:w="110" w:type="dxa"/>
            </w:tcMar>
          </w:tcPr>
          <w:p>
            <w:pPr>
              <w:spacing w:after="0"/>
            </w:pPr>
            <w:r>
              <w:rPr>
                <w:sz w:val="17"/>
              </w:rPr>
              <w:t>GIT01</w:t>
            </w:r>
          </w:p>
        </w:tc>
        <w:tc>
          <w:tcPr>
            <w:tcW w:type="dxa" w:w="1584"/>
            <w:vAlign w:val="center"/>
            <w:tcMar>
              <w:top w:w="100" w:type="dxa"/>
              <w:start w:w="110" w:type="dxa"/>
              <w:bottom w:w="100" w:type="dxa"/>
              <w:end w:w="110" w:type="dxa"/>
            </w:tcMar>
          </w:tcPr>
          <w:p>
            <w:pPr>
              <w:spacing w:after="0"/>
            </w:pPr>
            <w:r>
              <w:rPr>
                <w:sz w:val="17"/>
              </w:rPr>
              <w:t>Development</w:t>
            </w:r>
          </w:p>
        </w:tc>
        <w:tc>
          <w:tcPr>
            <w:tcW w:type="dxa" w:w="2520"/>
            <w:vAlign w:val="center"/>
            <w:tcMar>
              <w:top w:w="100" w:type="dxa"/>
              <w:start w:w="110" w:type="dxa"/>
              <w:bottom w:w="100" w:type="dxa"/>
              <w:end w:w="110" w:type="dxa"/>
            </w:tcMar>
          </w:tcPr>
          <w:p>
            <w:pPr>
              <w:spacing w:after="0"/>
            </w:pPr>
            <w:r>
              <w:rPr>
                <w:sz w:val="17"/>
              </w:rPr>
              <w:t>8 vCPU, 32 GB</w:t>
            </w:r>
          </w:p>
        </w:tc>
        <w:tc>
          <w:tcPr>
            <w:tcW w:type="dxa" w:w="4320"/>
            <w:vAlign w:val="center"/>
            <w:tcMar>
              <w:top w:w="100" w:type="dxa"/>
              <w:start w:w="110" w:type="dxa"/>
              <w:bottom w:w="100" w:type="dxa"/>
              <w:end w:w="110" w:type="dxa"/>
            </w:tcMar>
          </w:tcPr>
          <w:p>
            <w:pPr>
              <w:spacing w:after="0"/>
            </w:pPr>
            <w:r>
              <w:rPr>
                <w:sz w:val="17"/>
              </w:rPr>
              <w:t>GitLab or Forgejo; SSO; protected branches</w:t>
            </w:r>
          </w:p>
        </w:tc>
      </w:tr>
      <w:tr>
        <w:tc>
          <w:tcPr>
            <w:tcW w:type="dxa" w:w="2160"/>
            <w:vAlign w:val="center"/>
            <w:shd w:fill="EAF2F8"/>
            <w:tcMar>
              <w:top w:w="100" w:type="dxa"/>
              <w:start w:w="110" w:type="dxa"/>
              <w:bottom w:w="100" w:type="dxa"/>
              <w:end w:w="110" w:type="dxa"/>
            </w:tcMar>
          </w:tcPr>
          <w:p>
            <w:pPr>
              <w:spacing w:after="0"/>
            </w:pPr>
            <w:r>
              <w:rPr>
                <w:sz w:val="17"/>
              </w:rPr>
              <w:t>RUNNER01+</w:t>
            </w:r>
          </w:p>
        </w:tc>
        <w:tc>
          <w:tcPr>
            <w:tcW w:type="dxa" w:w="1584"/>
            <w:vAlign w:val="center"/>
            <w:shd w:fill="EAF2F8"/>
            <w:tcMar>
              <w:top w:w="100" w:type="dxa"/>
              <w:start w:w="110" w:type="dxa"/>
              <w:bottom w:w="100" w:type="dxa"/>
              <w:end w:w="110" w:type="dxa"/>
            </w:tcMar>
          </w:tcPr>
          <w:p>
            <w:pPr>
              <w:spacing w:after="0"/>
            </w:pPr>
            <w:r>
              <w:rPr>
                <w:sz w:val="17"/>
              </w:rPr>
              <w:t>Development</w:t>
            </w:r>
          </w:p>
        </w:tc>
        <w:tc>
          <w:tcPr>
            <w:tcW w:type="dxa" w:w="2520"/>
            <w:vAlign w:val="center"/>
            <w:shd w:fill="EAF2F8"/>
            <w:tcMar>
              <w:top w:w="100" w:type="dxa"/>
              <w:start w:w="110" w:type="dxa"/>
              <w:bottom w:w="100" w:type="dxa"/>
              <w:end w:w="110" w:type="dxa"/>
            </w:tcMar>
          </w:tcPr>
          <w:p>
            <w:pPr>
              <w:spacing w:after="0"/>
            </w:pPr>
            <w:r>
              <w:rPr>
                <w:sz w:val="17"/>
              </w:rPr>
              <w:t>8–16 vCPU, 16–32 GB each</w:t>
            </w:r>
          </w:p>
        </w:tc>
        <w:tc>
          <w:tcPr>
            <w:tcW w:type="dxa" w:w="4320"/>
            <w:vAlign w:val="center"/>
            <w:shd w:fill="EAF2F8"/>
            <w:tcMar>
              <w:top w:w="100" w:type="dxa"/>
              <w:start w:w="110" w:type="dxa"/>
              <w:bottom w:w="100" w:type="dxa"/>
              <w:end w:w="110" w:type="dxa"/>
            </w:tcMar>
          </w:tcPr>
          <w:p>
            <w:pPr>
              <w:spacing w:after="0"/>
            </w:pPr>
            <w:r>
              <w:rPr>
                <w:sz w:val="17"/>
              </w:rPr>
              <w:t>Ephemeral CI runners; no production secrets</w:t>
            </w:r>
          </w:p>
        </w:tc>
      </w:tr>
      <w:tr>
        <w:tc>
          <w:tcPr>
            <w:tcW w:type="dxa" w:w="2160"/>
            <w:vAlign w:val="center"/>
            <w:tcMar>
              <w:top w:w="100" w:type="dxa"/>
              <w:start w:w="110" w:type="dxa"/>
              <w:bottom w:w="100" w:type="dxa"/>
              <w:end w:w="110" w:type="dxa"/>
            </w:tcMar>
          </w:tcPr>
          <w:p>
            <w:pPr>
              <w:spacing w:after="0"/>
            </w:pPr>
            <w:r>
              <w:rPr>
                <w:sz w:val="17"/>
              </w:rPr>
              <w:t>REGISTRY01</w:t>
            </w:r>
          </w:p>
        </w:tc>
        <w:tc>
          <w:tcPr>
            <w:tcW w:type="dxa" w:w="1584"/>
            <w:vAlign w:val="center"/>
            <w:tcMar>
              <w:top w:w="100" w:type="dxa"/>
              <w:start w:w="110" w:type="dxa"/>
              <w:bottom w:w="100" w:type="dxa"/>
              <w:end w:w="110" w:type="dxa"/>
            </w:tcMar>
          </w:tcPr>
          <w:p>
            <w:pPr>
              <w:spacing w:after="0"/>
            </w:pPr>
            <w:r>
              <w:rPr>
                <w:sz w:val="17"/>
              </w:rPr>
              <w:t>Development</w:t>
            </w:r>
          </w:p>
        </w:tc>
        <w:tc>
          <w:tcPr>
            <w:tcW w:type="dxa" w:w="2520"/>
            <w:vAlign w:val="center"/>
            <w:tcMar>
              <w:top w:w="100" w:type="dxa"/>
              <w:start w:w="110" w:type="dxa"/>
              <w:bottom w:w="100" w:type="dxa"/>
              <w:end w:w="110" w:type="dxa"/>
            </w:tcMar>
          </w:tcPr>
          <w:p>
            <w:pPr>
              <w:spacing w:after="0"/>
            </w:pPr>
            <w:r>
              <w:rPr>
                <w:sz w:val="17"/>
              </w:rPr>
              <w:t>4–8 vCPU, 16 GB</w:t>
            </w:r>
          </w:p>
        </w:tc>
        <w:tc>
          <w:tcPr>
            <w:tcW w:type="dxa" w:w="4320"/>
            <w:vAlign w:val="center"/>
            <w:tcMar>
              <w:top w:w="100" w:type="dxa"/>
              <w:start w:w="110" w:type="dxa"/>
              <w:bottom w:w="100" w:type="dxa"/>
              <w:end w:w="110" w:type="dxa"/>
            </w:tcMar>
          </w:tcPr>
          <w:p>
            <w:pPr>
              <w:spacing w:after="0"/>
            </w:pPr>
            <w:r>
              <w:rPr>
                <w:sz w:val="17"/>
              </w:rPr>
              <w:t>Container registry with image scanning</w:t>
            </w:r>
          </w:p>
        </w:tc>
      </w:tr>
      <w:tr>
        <w:tc>
          <w:tcPr>
            <w:tcW w:type="dxa" w:w="2160"/>
            <w:vAlign w:val="center"/>
            <w:shd w:fill="EAF2F8"/>
            <w:tcMar>
              <w:top w:w="100" w:type="dxa"/>
              <w:start w:w="110" w:type="dxa"/>
              <w:bottom w:w="100" w:type="dxa"/>
              <w:end w:w="110" w:type="dxa"/>
            </w:tcMar>
          </w:tcPr>
          <w:p>
            <w:pPr>
              <w:spacing w:after="0"/>
            </w:pPr>
            <w:r>
              <w:rPr>
                <w:sz w:val="17"/>
              </w:rPr>
              <w:t>DEVAPP01+</w:t>
            </w:r>
          </w:p>
        </w:tc>
        <w:tc>
          <w:tcPr>
            <w:tcW w:type="dxa" w:w="1584"/>
            <w:vAlign w:val="center"/>
            <w:shd w:fill="EAF2F8"/>
            <w:tcMar>
              <w:top w:w="100" w:type="dxa"/>
              <w:start w:w="110" w:type="dxa"/>
              <w:bottom w:w="100" w:type="dxa"/>
              <w:end w:w="110" w:type="dxa"/>
            </w:tcMar>
          </w:tcPr>
          <w:p>
            <w:pPr>
              <w:spacing w:after="0"/>
            </w:pPr>
            <w:r>
              <w:rPr>
                <w:sz w:val="17"/>
              </w:rPr>
              <w:t>Development</w:t>
            </w:r>
          </w:p>
        </w:tc>
        <w:tc>
          <w:tcPr>
            <w:tcW w:type="dxa" w:w="2520"/>
            <w:vAlign w:val="center"/>
            <w:shd w:fill="EAF2F8"/>
            <w:tcMar>
              <w:top w:w="100" w:type="dxa"/>
              <w:start w:w="110" w:type="dxa"/>
              <w:bottom w:w="100" w:type="dxa"/>
              <w:end w:w="110" w:type="dxa"/>
            </w:tcMar>
          </w:tcPr>
          <w:p>
            <w:pPr>
              <w:spacing w:after="0"/>
            </w:pPr>
            <w:r>
              <w:rPr>
                <w:sz w:val="17"/>
              </w:rPr>
              <w:t>Variable; quotas required</w:t>
            </w:r>
          </w:p>
        </w:tc>
        <w:tc>
          <w:tcPr>
            <w:tcW w:type="dxa" w:w="4320"/>
            <w:vAlign w:val="center"/>
            <w:shd w:fill="EAF2F8"/>
            <w:tcMar>
              <w:top w:w="100" w:type="dxa"/>
              <w:start w:w="110" w:type="dxa"/>
              <w:bottom w:w="100" w:type="dxa"/>
              <w:end w:w="110" w:type="dxa"/>
            </w:tcMar>
          </w:tcPr>
          <w:p>
            <w:pPr>
              <w:spacing w:after="0"/>
            </w:pPr>
            <w:r>
              <w:rPr>
                <w:sz w:val="17"/>
              </w:rPr>
              <w:t>Docker hosts or optional K3s cluster</w:t>
            </w:r>
          </w:p>
        </w:tc>
      </w:tr>
      <w:tr>
        <w:tc>
          <w:tcPr>
            <w:tcW w:type="dxa" w:w="2160"/>
            <w:vAlign w:val="center"/>
            <w:tcMar>
              <w:top w:w="100" w:type="dxa"/>
              <w:start w:w="110" w:type="dxa"/>
              <w:bottom w:w="100" w:type="dxa"/>
              <w:end w:w="110" w:type="dxa"/>
            </w:tcMar>
          </w:tcPr>
          <w:p>
            <w:pPr>
              <w:spacing w:after="0"/>
            </w:pPr>
            <w:r>
              <w:rPr>
                <w:sz w:val="17"/>
              </w:rPr>
              <w:t>MON01</w:t>
            </w:r>
          </w:p>
        </w:tc>
        <w:tc>
          <w:tcPr>
            <w:tcW w:type="dxa" w:w="1584"/>
            <w:vAlign w:val="center"/>
            <w:tcMar>
              <w:top w:w="100" w:type="dxa"/>
              <w:start w:w="110" w:type="dxa"/>
              <w:bottom w:w="100" w:type="dxa"/>
              <w:end w:w="110" w:type="dxa"/>
            </w:tcMar>
          </w:tcPr>
          <w:p>
            <w:pPr>
              <w:spacing w:after="0"/>
            </w:pPr>
            <w:r>
              <w:rPr>
                <w:sz w:val="17"/>
              </w:rPr>
              <w:t>Operations</w:t>
            </w:r>
          </w:p>
        </w:tc>
        <w:tc>
          <w:tcPr>
            <w:tcW w:type="dxa" w:w="2520"/>
            <w:vAlign w:val="center"/>
            <w:tcMar>
              <w:top w:w="100" w:type="dxa"/>
              <w:start w:w="110" w:type="dxa"/>
              <w:bottom w:w="100" w:type="dxa"/>
              <w:end w:w="110" w:type="dxa"/>
            </w:tcMar>
          </w:tcPr>
          <w:p>
            <w:pPr>
              <w:spacing w:after="0"/>
            </w:pPr>
            <w:r>
              <w:rPr>
                <w:sz w:val="17"/>
              </w:rPr>
              <w:t>8 vCPU, 32 GB</w:t>
            </w:r>
          </w:p>
        </w:tc>
        <w:tc>
          <w:tcPr>
            <w:tcW w:type="dxa" w:w="4320"/>
            <w:vAlign w:val="center"/>
            <w:tcMar>
              <w:top w:w="100" w:type="dxa"/>
              <w:start w:w="110" w:type="dxa"/>
              <w:bottom w:w="100" w:type="dxa"/>
              <w:end w:w="110" w:type="dxa"/>
            </w:tcMar>
          </w:tcPr>
          <w:p>
            <w:pPr>
              <w:spacing w:after="0"/>
            </w:pPr>
            <w:r>
              <w:rPr>
                <w:sz w:val="17"/>
              </w:rPr>
              <w:t>Prometheus, Grafana and alert manager</w:t>
            </w:r>
          </w:p>
        </w:tc>
      </w:tr>
      <w:tr>
        <w:tc>
          <w:tcPr>
            <w:tcW w:type="dxa" w:w="2160"/>
            <w:vAlign w:val="center"/>
            <w:shd w:fill="EAF2F8"/>
            <w:tcMar>
              <w:top w:w="100" w:type="dxa"/>
              <w:start w:w="110" w:type="dxa"/>
              <w:bottom w:w="100" w:type="dxa"/>
              <w:end w:w="110" w:type="dxa"/>
            </w:tcMar>
          </w:tcPr>
          <w:p>
            <w:pPr>
              <w:spacing w:after="0"/>
            </w:pPr>
            <w:r>
              <w:rPr>
                <w:sz w:val="17"/>
              </w:rPr>
              <w:t>LOG01</w:t>
            </w:r>
          </w:p>
        </w:tc>
        <w:tc>
          <w:tcPr>
            <w:tcW w:type="dxa" w:w="1584"/>
            <w:vAlign w:val="center"/>
            <w:shd w:fill="EAF2F8"/>
            <w:tcMar>
              <w:top w:w="100" w:type="dxa"/>
              <w:start w:w="110" w:type="dxa"/>
              <w:bottom w:w="100" w:type="dxa"/>
              <w:end w:w="110" w:type="dxa"/>
            </w:tcMar>
          </w:tcPr>
          <w:p>
            <w:pPr>
              <w:spacing w:after="0"/>
            </w:pPr>
            <w:r>
              <w:rPr>
                <w:sz w:val="17"/>
              </w:rPr>
              <w:t>Operations</w:t>
            </w:r>
          </w:p>
        </w:tc>
        <w:tc>
          <w:tcPr>
            <w:tcW w:type="dxa" w:w="2520"/>
            <w:vAlign w:val="center"/>
            <w:shd w:fill="EAF2F8"/>
            <w:tcMar>
              <w:top w:w="100" w:type="dxa"/>
              <w:start w:w="110" w:type="dxa"/>
              <w:bottom w:w="100" w:type="dxa"/>
              <w:end w:w="110" w:type="dxa"/>
            </w:tcMar>
          </w:tcPr>
          <w:p>
            <w:pPr>
              <w:spacing w:after="0"/>
            </w:pPr>
            <w:r>
              <w:rPr>
                <w:sz w:val="17"/>
              </w:rPr>
              <w:t>8–16 vCPU, 32–64 GB</w:t>
            </w:r>
          </w:p>
        </w:tc>
        <w:tc>
          <w:tcPr>
            <w:tcW w:type="dxa" w:w="4320"/>
            <w:vAlign w:val="center"/>
            <w:shd w:fill="EAF2F8"/>
            <w:tcMar>
              <w:top w:w="100" w:type="dxa"/>
              <w:start w:w="110" w:type="dxa"/>
              <w:bottom w:w="100" w:type="dxa"/>
              <w:end w:w="110" w:type="dxa"/>
            </w:tcMar>
          </w:tcPr>
          <w:p>
            <w:pPr>
              <w:spacing w:after="0"/>
            </w:pPr>
            <w:r>
              <w:rPr>
                <w:sz w:val="17"/>
              </w:rPr>
              <w:t>Central logs; retention based on policy</w:t>
            </w:r>
          </w:p>
        </w:tc>
      </w:tr>
      <w:tr>
        <w:tc>
          <w:tcPr>
            <w:tcW w:type="dxa" w:w="2160"/>
            <w:vAlign w:val="center"/>
            <w:tcMar>
              <w:top w:w="100" w:type="dxa"/>
              <w:start w:w="110" w:type="dxa"/>
              <w:bottom w:w="100" w:type="dxa"/>
              <w:end w:w="110" w:type="dxa"/>
            </w:tcMar>
          </w:tcPr>
          <w:p>
            <w:pPr>
              <w:spacing w:after="0"/>
            </w:pPr>
            <w:r>
              <w:rPr>
                <w:sz w:val="17"/>
              </w:rPr>
              <w:t>AIGW01</w:t>
            </w:r>
          </w:p>
        </w:tc>
        <w:tc>
          <w:tcPr>
            <w:tcW w:type="dxa" w:w="1584"/>
            <w:vAlign w:val="center"/>
            <w:tcMar>
              <w:top w:w="100" w:type="dxa"/>
              <w:start w:w="110" w:type="dxa"/>
              <w:bottom w:w="100" w:type="dxa"/>
              <w:end w:w="110" w:type="dxa"/>
            </w:tcMar>
          </w:tcPr>
          <w:p>
            <w:pPr>
              <w:spacing w:after="0"/>
            </w:pPr>
            <w:r>
              <w:rPr>
                <w:sz w:val="17"/>
              </w:rPr>
              <w:t>AI</w:t>
            </w:r>
          </w:p>
        </w:tc>
        <w:tc>
          <w:tcPr>
            <w:tcW w:type="dxa" w:w="2520"/>
            <w:vAlign w:val="center"/>
            <w:tcMar>
              <w:top w:w="100" w:type="dxa"/>
              <w:start w:w="110" w:type="dxa"/>
              <w:bottom w:w="100" w:type="dxa"/>
              <w:end w:w="110" w:type="dxa"/>
            </w:tcMar>
          </w:tcPr>
          <w:p>
            <w:pPr>
              <w:spacing w:after="0"/>
            </w:pPr>
            <w:r>
              <w:rPr>
                <w:sz w:val="17"/>
              </w:rPr>
              <w:t>8 vCPU, 16 GB</w:t>
            </w:r>
          </w:p>
        </w:tc>
        <w:tc>
          <w:tcPr>
            <w:tcW w:type="dxa" w:w="4320"/>
            <w:vAlign w:val="center"/>
            <w:tcMar>
              <w:top w:w="100" w:type="dxa"/>
              <w:start w:w="110" w:type="dxa"/>
              <w:bottom w:w="100" w:type="dxa"/>
              <w:end w:w="110" w:type="dxa"/>
            </w:tcMar>
          </w:tcPr>
          <w:p>
            <w:pPr>
              <w:spacing w:after="0"/>
            </w:pPr>
            <w:r>
              <w:rPr>
                <w:sz w:val="17"/>
              </w:rPr>
              <w:t>Authentication, authorization, safety and quotas</w:t>
            </w:r>
          </w:p>
        </w:tc>
      </w:tr>
      <w:tr>
        <w:tc>
          <w:tcPr>
            <w:tcW w:type="dxa" w:w="2160"/>
            <w:vAlign w:val="center"/>
            <w:shd w:fill="EAF2F8"/>
            <w:tcMar>
              <w:top w:w="100" w:type="dxa"/>
              <w:start w:w="110" w:type="dxa"/>
              <w:bottom w:w="100" w:type="dxa"/>
              <w:end w:w="110" w:type="dxa"/>
            </w:tcMar>
          </w:tcPr>
          <w:p>
            <w:pPr>
              <w:spacing w:after="0"/>
            </w:pPr>
            <w:r>
              <w:rPr>
                <w:sz w:val="17"/>
              </w:rPr>
              <w:t>GPU01</w:t>
            </w:r>
          </w:p>
        </w:tc>
        <w:tc>
          <w:tcPr>
            <w:tcW w:type="dxa" w:w="1584"/>
            <w:vAlign w:val="center"/>
            <w:shd w:fill="EAF2F8"/>
            <w:tcMar>
              <w:top w:w="100" w:type="dxa"/>
              <w:start w:w="110" w:type="dxa"/>
              <w:bottom w:w="100" w:type="dxa"/>
              <w:end w:w="110" w:type="dxa"/>
            </w:tcMar>
          </w:tcPr>
          <w:p>
            <w:pPr>
              <w:spacing w:after="0"/>
            </w:pPr>
            <w:r>
              <w:rPr>
                <w:sz w:val="17"/>
              </w:rPr>
              <w:t>AI physical host</w:t>
            </w:r>
          </w:p>
        </w:tc>
        <w:tc>
          <w:tcPr>
            <w:tcW w:type="dxa" w:w="2520"/>
            <w:vAlign w:val="center"/>
            <w:shd w:fill="EAF2F8"/>
            <w:tcMar>
              <w:top w:w="100" w:type="dxa"/>
              <w:start w:w="110" w:type="dxa"/>
              <w:bottom w:w="100" w:type="dxa"/>
              <w:end w:w="110" w:type="dxa"/>
            </w:tcMar>
          </w:tcPr>
          <w:p>
            <w:pPr>
              <w:spacing w:after="0"/>
            </w:pPr>
            <w:r>
              <w:rPr>
                <w:sz w:val="17"/>
              </w:rPr>
              <w:t>As purchased</w:t>
            </w:r>
          </w:p>
        </w:tc>
        <w:tc>
          <w:tcPr>
            <w:tcW w:type="dxa" w:w="4320"/>
            <w:vAlign w:val="center"/>
            <w:shd w:fill="EAF2F8"/>
            <w:tcMar>
              <w:top w:w="100" w:type="dxa"/>
              <w:start w:w="110" w:type="dxa"/>
              <w:bottom w:w="100" w:type="dxa"/>
              <w:end w:w="110" w:type="dxa"/>
            </w:tcMar>
          </w:tcPr>
          <w:p>
            <w:pPr>
              <w:spacing w:after="0"/>
            </w:pPr>
            <w:r>
              <w:rPr>
                <w:sz w:val="17"/>
              </w:rPr>
              <w:t>vLLM or approved inference runtime; embeddings</w:t>
            </w:r>
          </w:p>
        </w:tc>
      </w:tr>
      <w:tr>
        <w:tc>
          <w:tcPr>
            <w:tcW w:type="dxa" w:w="2160"/>
            <w:vAlign w:val="center"/>
            <w:tcMar>
              <w:top w:w="100" w:type="dxa"/>
              <w:start w:w="110" w:type="dxa"/>
              <w:bottom w:w="100" w:type="dxa"/>
              <w:end w:w="110" w:type="dxa"/>
            </w:tcMar>
          </w:tcPr>
          <w:p>
            <w:pPr>
              <w:spacing w:after="0"/>
            </w:pPr>
            <w:r>
              <w:rPr>
                <w:sz w:val="17"/>
              </w:rPr>
              <w:t>VECTOR01</w:t>
            </w:r>
          </w:p>
        </w:tc>
        <w:tc>
          <w:tcPr>
            <w:tcW w:type="dxa" w:w="1584"/>
            <w:vAlign w:val="center"/>
            <w:tcMar>
              <w:top w:w="100" w:type="dxa"/>
              <w:start w:w="110" w:type="dxa"/>
              <w:bottom w:w="100" w:type="dxa"/>
              <w:end w:w="110" w:type="dxa"/>
            </w:tcMar>
          </w:tcPr>
          <w:p>
            <w:pPr>
              <w:spacing w:after="0"/>
            </w:pPr>
            <w:r>
              <w:rPr>
                <w:sz w:val="17"/>
              </w:rPr>
              <w:t>Protected or AI</w:t>
            </w:r>
          </w:p>
        </w:tc>
        <w:tc>
          <w:tcPr>
            <w:tcW w:type="dxa" w:w="2520"/>
            <w:vAlign w:val="center"/>
            <w:tcMar>
              <w:top w:w="100" w:type="dxa"/>
              <w:start w:w="110" w:type="dxa"/>
              <w:bottom w:w="100" w:type="dxa"/>
              <w:end w:w="110" w:type="dxa"/>
            </w:tcMar>
          </w:tcPr>
          <w:p>
            <w:pPr>
              <w:spacing w:after="0"/>
            </w:pPr>
            <w:r>
              <w:rPr>
                <w:sz w:val="17"/>
              </w:rPr>
              <w:t>8 vCPU, 32 GB</w:t>
            </w:r>
          </w:p>
        </w:tc>
        <w:tc>
          <w:tcPr>
            <w:tcW w:type="dxa" w:w="4320"/>
            <w:vAlign w:val="center"/>
            <w:tcMar>
              <w:top w:w="100" w:type="dxa"/>
              <w:start w:w="110" w:type="dxa"/>
              <w:bottom w:w="100" w:type="dxa"/>
              <w:end w:w="110" w:type="dxa"/>
            </w:tcMar>
          </w:tcPr>
          <w:p>
            <w:pPr>
              <w:spacing w:after="0"/>
            </w:pPr>
            <w:r>
              <w:rPr>
                <w:sz w:val="17"/>
              </w:rPr>
              <w:t>pgvector for baseline; Milvus only when scale requires it</w:t>
            </w:r>
          </w:p>
        </w:tc>
      </w:tr>
    </w:tbl>
    <w:p>
      <w:pPr>
        <w:spacing w:after="40"/>
      </w:pPr>
    </w:p>
    <w:p>
      <w:r>
        <w:t>Do not begin with Kubernetes unless the IT team already operates it. A pair of Docker application hosts plus Git-based deployment is adequate for many schools. Add K3s later when multi-node scheduling, self-service namespaces, and formal platform engineering are justified.</w:t>
      </w:r>
    </w:p>
    <w:p>
      <w:pPr>
        <w:pStyle w:val="Heading1"/>
      </w:pPr>
      <w:r>
        <w:t>6 Installation sequence</w:t>
      </w:r>
    </w:p>
    <w:p>
      <w:r>
        <w:t>Use a change log from the first day. Record asset tag, serial number, rack position, firmware, management IP, cable endpoints, VLANs, owner, warranty, and recovery procedure. Never store passwords in this document.</w:t>
      </w:r>
    </w:p>
    <w:p>
      <w:pPr>
        <w:pStyle w:val="Heading2"/>
      </w:pPr>
      <w:r>
        <w:t>Phase 0 Prepare and approve</w:t>
      </w:r>
    </w:p>
    <w:p>
      <w:pPr>
        <w:pStyle w:val="ListNumber"/>
      </w:pPr>
      <w:r>
        <w:t>Name an infrastructure owner, security owner, data protection owner, and application owner. Approve a written acceptable-use policy for student hosting and AI.</w:t>
      </w:r>
    </w:p>
    <w:p>
      <w:pPr>
        <w:pStyle w:val="ListNumber"/>
      </w:pPr>
      <w:r>
        <w:t>Inventory applications, data classifications, concurrency, storage growth, retention, recovery time, and recovery point requirements.</w:t>
      </w:r>
    </w:p>
    <w:p>
      <w:pPr>
        <w:pStyle w:val="ListNumber"/>
      </w:pPr>
      <w:r>
        <w:t>Benchmark the intended Korean-capable model and embedding model on candidate GPUs before purchase. Measure tokens per second, concurrent sessions, VRAM, latency, power, and accuracy.</w:t>
      </w:r>
    </w:p>
    <w:p>
      <w:pPr>
        <w:pStyle w:val="ListNumber"/>
      </w:pPr>
      <w:r>
        <w:t>Complete power, cooling, rack, fire, grounding, physical access, cabling, and internet redundancy assessment.</w:t>
      </w:r>
    </w:p>
    <w:p>
      <w:pPr>
        <w:pStyle w:val="ListNumber"/>
      </w:pPr>
      <w:r>
        <w:t>Prepare DNS names, internal certificate authority or ACME approach, IP plan, VLAN plan, firewall matrix, and rollback plan.</w:t>
      </w:r>
    </w:p>
    <w:p>
      <w:pPr>
        <w:pStyle w:val="Heading2"/>
      </w:pPr>
      <w:r>
        <w:t>Phase 1 Rack cable and update</w:t>
      </w:r>
    </w:p>
    <w:p>
      <w:pPr>
        <w:pStyle w:val="ListNumber"/>
      </w:pPr>
      <w:r>
        <w:t>Mount UPS, PDUs, switches, firewalls, storage, backup, compute, and GPU equipment using the vendor rail and airflow instructions.</w:t>
      </w:r>
    </w:p>
    <w:p>
      <w:pPr>
        <w:pStyle w:val="ListNumber"/>
      </w:pPr>
      <w:r>
        <w:t>Connect redundant power supplies to different PDUs. Connect server management ports to the management switch ports.</w:t>
      </w:r>
    </w:p>
    <w:p>
      <w:pPr>
        <w:pStyle w:val="ListNumber"/>
      </w:pPr>
      <w:r>
        <w:t>Label both ends of every cable. Use at least two independent uplinks per host; separate management, storage, and workload traffic logically.</w:t>
      </w:r>
    </w:p>
    <w:p>
      <w:pPr>
        <w:pStyle w:val="ListNumber"/>
      </w:pPr>
      <w:r>
        <w:t>Update BIOS, BMC, NIC, storage controller, drive, switch, firewall, and GPU firmware using vendor-supported versions. Export configuration backups.</w:t>
      </w:r>
    </w:p>
    <w:p>
      <w:pPr>
        <w:pStyle w:val="ListNumber"/>
      </w:pPr>
      <w:r>
        <w:t>Set UTC time, NTP, DNS, SNMPv3 or an equivalent secure monitoring protocol, and alert destinations.</w:t>
      </w:r>
    </w:p>
    <w:p>
      <w:pPr>
        <w:pStyle w:val="Heading2"/>
      </w:pPr>
      <w:r>
        <w:t>Phase 2 Configure network and firewall</w:t>
      </w:r>
    </w:p>
    <w:p>
      <w:pPr>
        <w:pStyle w:val="ListNumber"/>
      </w:pPr>
      <w:r>
        <w:t>Create VLANs and switch trunks. Configure link aggregation only when the switch and host configuration match.</w:t>
      </w:r>
    </w:p>
    <w:p>
      <w:pPr>
        <w:pStyle w:val="ListNumber"/>
      </w:pPr>
      <w:r>
        <w:t>Create firewall interfaces and DHCP scopes only for client networks. Give servers static addresses or reservations.</w:t>
      </w:r>
    </w:p>
    <w:p>
      <w:pPr>
        <w:pStyle w:val="ListNumber"/>
      </w:pPr>
      <w:r>
        <w:t>Add the default-deny inter-VLAN rule first, then the minimal documented allows. Enable admin VPN with MFA.</w:t>
      </w:r>
    </w:p>
    <w:p>
      <w:pPr>
        <w:pStyle w:val="ListNumber"/>
      </w:pPr>
      <w:r>
        <w:t>Create a dedicated administrator workstation or bastion. Block management interfaces from normal teacher and student clients.</w:t>
      </w:r>
    </w:p>
    <w:p>
      <w:pPr>
        <w:pStyle w:val="ListNumber"/>
      </w:pPr>
      <w:r>
        <w:t>Test every allowed and denied path from representative devices; save the results as the initial security baseline.</w:t>
      </w:r>
    </w:p>
    <w:p>
      <w:r>
        <w:br w:type="page"/>
      </w:r>
    </w:p>
    <w:p>
      <w:pPr>
        <w:pStyle w:val="Heading2"/>
      </w:pPr>
      <w:r>
        <w:t>Phase 3 Install the three-node Proxmox cluster</w:t>
      </w:r>
    </w:p>
    <w:p>
      <w:pPr>
        <w:pStyle w:val="ListNumber"/>
      </w:pPr>
      <w:r>
        <w:t>Install the current supported Proxmox VE release from official media on each node. Use mirrored enterprise SSDs for the operating system; do not place the OS on the same pool as bulk VM data.</w:t>
      </w:r>
    </w:p>
    <w:p>
      <w:pPr>
        <w:pStyle w:val="ListNumber"/>
      </w:pPr>
      <w:r>
        <w:t>Assign final management names and IPs before clustering: pve01, pve02, and pve03. Confirm forward and reverse DNS and clock synchronization.</w:t>
      </w:r>
    </w:p>
    <w:p>
      <w:pPr>
        <w:pStyle w:val="ListNumber"/>
      </w:pPr>
      <w:r>
        <w:t>Apply updates, configure the subscription or appropriate repository, create named administrator accounts, enable MFA, and disable routine use of the root account.</w:t>
      </w:r>
    </w:p>
    <w:p>
      <w:pPr>
        <w:pStyle w:val="ListNumber"/>
      </w:pPr>
      <w:r>
        <w:t>Create the cluster on pve01 and join pve02 and pve03. Use the management network for cluster administration and a dedicated low-latency network for corosync when possible.</w:t>
      </w:r>
    </w:p>
    <w:p>
      <w:pPr>
        <w:pStyle w:val="ListNumber"/>
      </w:pPr>
      <w:r>
        <w:t>Configure Linux bridges or VLAN-aware bridges for protected, development, AI, operations, and DMZ workloads. Do not attach VMs directly to the management or backup networks without a documented need.</w:t>
      </w:r>
    </w:p>
    <w:p>
      <w:pPr>
        <w:pStyle w:val="ListNumber"/>
      </w:pPr>
      <w:r>
        <w:t>Choose VM storage: local ZFS replication for a simpler design, shared enterprise NAS/SAN for centralized HA, or Ceph only when the team understands its performance and operational requirements.</w:t>
      </w:r>
    </w:p>
    <w:p>
      <w:pPr>
        <w:pStyle w:val="ListNumber"/>
      </w:pPr>
      <w:r>
        <w:t>Create one noncritical test VM, migrate it between nodes, simulate a node maintenance event, and verify expected HA behavior before installing production services.</w:t>
      </w:r>
    </w:p>
    <w:p>
      <w:pPr>
        <w:pStyle w:val="CodeBlock"/>
      </w:pPr>
      <w:r>
        <w:t>Example verification from an administrator shell</w:t>
        <w:br/>
        <w:t>pvecm status</w:t>
        <w:br/>
        <w:t>pvesh get /cluster/resources</w:t>
        <w:br/>
        <w:t>ip -br address</w:t>
        <w:br/>
        <w:t>chronyc tracking</w:t>
        <w:br/>
        <w:br/>
        <w:t>Perform cluster creation and node joins from the supported Proxmox UI or the exact commands shown by the installed release. Never copy an old join command from an unrelated system.</w:t>
      </w:r>
    </w:p>
    <w:p>
      <w:pPr>
        <w:pStyle w:val="Heading2"/>
      </w:pPr>
      <w:r>
        <w:t>Phase 4 Install storage</w:t>
      </w:r>
    </w:p>
    <w:p>
      <w:pPr>
        <w:pStyle w:val="ListNumber"/>
      </w:pPr>
      <w:r>
        <w:t>Install the selected NAS operating system and current firmware. Create named administrator accounts with MFA if supported.</w:t>
      </w:r>
    </w:p>
    <w:p>
      <w:pPr>
        <w:pStyle w:val="ListNumber"/>
      </w:pPr>
      <w:r>
        <w:t>Build redundant storage pools from enterprise drives. Keep hot spares and replacement drives on site where procurement is slow.</w:t>
      </w:r>
    </w:p>
    <w:p>
      <w:pPr>
        <w:pStyle w:val="ListNumber"/>
      </w:pPr>
      <w:r>
        <w:t>Create separate datasets for protected files, AI datasets, development artifacts, and VM storage. Apply quotas and snapshot schedules independently.</w:t>
      </w:r>
    </w:p>
    <w:p>
      <w:pPr>
        <w:pStyle w:val="ListNumber"/>
      </w:pPr>
      <w:r>
        <w:t>Expose NFS to hypervisor addresses only and SMB to authenticated user groups only. Do not mix anonymous shares with protected data.</w:t>
      </w:r>
    </w:p>
    <w:p>
      <w:pPr>
        <w:pStyle w:val="ListNumber"/>
      </w:pPr>
      <w:r>
        <w:t>Enable encryption where required, save recovery keys offline, configure SMART and pool alerts, and run a scrub and restore test.</w:t>
      </w:r>
    </w:p>
    <w:p>
      <w:pPr>
        <w:pStyle w:val="Heading2"/>
      </w:pPr>
      <w:r>
        <w:t>Phase 5 Install the independent backup platform</w:t>
      </w:r>
    </w:p>
    <w:p>
      <w:pPr>
        <w:pStyle w:val="ListNumber"/>
      </w:pPr>
      <w:r>
        <w:t>Install Proxmox Backup Server or an equivalent product on physically separate hardware in the backup VLAN.</w:t>
      </w:r>
    </w:p>
    <w:p>
      <w:pPr>
        <w:pStyle w:val="ListNumber"/>
      </w:pPr>
      <w:r>
        <w:t>Create a dedicated datastore and separate backup identities. Grant the minimum role required to each client.</w:t>
      </w:r>
    </w:p>
    <w:p>
      <w:pPr>
        <w:pStyle w:val="ListNumber"/>
      </w:pPr>
      <w:r>
        <w:t>Schedule nightly VM backups, frequent database-native backups, and configuration exports. Use retention appropriate to policy, such as 7 daily, 5 weekly, and 12 monthly copies.</w:t>
      </w:r>
    </w:p>
    <w:p>
      <w:pPr>
        <w:pStyle w:val="ListNumber"/>
      </w:pPr>
      <w:r>
        <w:t>Replicate or export one encrypted copy to another building, approved cloud object storage, tape, or offline removable media.</w:t>
      </w:r>
    </w:p>
    <w:p>
      <w:pPr>
        <w:pStyle w:val="ListNumber"/>
      </w:pPr>
      <w:r>
        <w:t>Restore a full VM, a database, and an individual file into an isolated network. Record time taken and any missing dependency.</w:t>
      </w:r>
    </w:p>
    <w:p>
      <w:pPr>
        <w:pStyle w:val="Heading2"/>
      </w:pPr>
      <w:r>
        <w:t>Phase 6 Build identity DNS and certificates</w:t>
      </w:r>
    </w:p>
    <w:p>
      <w:pPr>
        <w:pStyle w:val="ListNumber"/>
      </w:pPr>
      <w:r>
        <w:t>Integrate with the school identity directory. Use groups for administrators, IT staff, teachers, students, contractors, and service accounts.</w:t>
      </w:r>
    </w:p>
    <w:p>
      <w:pPr>
        <w:pStyle w:val="ListNumber"/>
      </w:pPr>
      <w:r>
        <w:t>Require MFA for administrators and remote access. Use unique service accounts; prohibit shared admin passwords.</w:t>
      </w:r>
    </w:p>
    <w:p>
      <w:pPr>
        <w:pStyle w:val="ListNumber"/>
      </w:pPr>
      <w:r>
        <w:t>Create internal DNS zones and stable service names. Do not make users remember IP addresses.</w:t>
      </w:r>
    </w:p>
    <w:p>
      <w:pPr>
        <w:pStyle w:val="ListNumber"/>
      </w:pPr>
      <w:r>
        <w:t>Deploy a controlled certificate process. Automate renewal and alert before expiration.</w:t>
      </w:r>
    </w:p>
    <w:p>
      <w:pPr>
        <w:pStyle w:val="ListNumber"/>
      </w:pPr>
      <w:r>
        <w:t>Connect Proxmox, Git, monitoring, application portals, VPN, and the AI gateway to SSO where supported.</w:t>
      </w:r>
    </w:p>
    <w:p>
      <w:r>
        <w:br w:type="page"/>
      </w:r>
    </w:p>
    <w:p>
      <w:pPr>
        <w:pStyle w:val="Heading2"/>
      </w:pPr>
      <w:r>
        <w:t>Phase 7 Deploy databases and protected applications</w:t>
      </w:r>
    </w:p>
    <w:p>
      <w:pPr>
        <w:pStyle w:val="ListNumber"/>
      </w:pPr>
      <w:r>
        <w:t>Create hardened Ubuntu Server LTS or vendor-supported guest templates using cloud-init. Patch, configure time, logging, endpoint monitoring, and backup before cloning.</w:t>
      </w:r>
    </w:p>
    <w:p>
      <w:pPr>
        <w:pStyle w:val="ListNumber"/>
      </w:pPr>
      <w:r>
        <w:t>Deploy PostgreSQL on dedicated VMs with encrypted connections, per-application roles, separate databases or schemas, and no public listener.</w:t>
      </w:r>
    </w:p>
    <w:p>
      <w:pPr>
        <w:pStyle w:val="ListNumber"/>
      </w:pPr>
      <w:r>
        <w:t>Use a primary and standby database design when uptime requires it. Add connection pooling and monitor replication lag, storage latency, locks, and backup success.</w:t>
      </w:r>
    </w:p>
    <w:p>
      <w:pPr>
        <w:pStyle w:val="ListNumber"/>
      </w:pPr>
      <w:r>
        <w:t>Deploy the LMS and school applications behind redundant reverse proxies. Apply TLS, secure headers, request limits, and a web application firewall where justified.</w:t>
      </w:r>
    </w:p>
    <w:p>
      <w:pPr>
        <w:pStyle w:val="ListNumber"/>
      </w:pPr>
      <w:r>
        <w:t>Perform application-level export backups in addition to VM backups. Document dependencies and a clean-room recovery order.</w:t>
      </w:r>
    </w:p>
    <w:p>
      <w:pPr>
        <w:pStyle w:val="CodeBlock"/>
      </w:pPr>
      <w:r>
        <w:t>Representative Ubuntu host baseline</w:t>
        <w:br/>
        <w:t>sudo apt update</w:t>
        <w:br/>
        <w:t>sudo apt full-upgrade</w:t>
        <w:br/>
        <w:t>sudo apt install chrony qemu-guest-agent unattended-upgrades auditd</w:t>
        <w:br/>
        <w:t>sudo systemctl enable --now chrony qemu-guest-agent auditd</w:t>
        <w:br/>
        <w:br/>
        <w:t># Apply SSH, firewall, identity, logging, and monitoring settings through a reviewed</w:t>
        <w:br/>
        <w:t># configuration-management system. Test on a staging VM before broad rollout.</w:t>
      </w:r>
    </w:p>
    <w:p>
      <w:pPr>
        <w:pStyle w:val="Heading2"/>
      </w:pPr>
      <w:r>
        <w:t>Phase 8 Build the student and teacher development platform</w:t>
      </w:r>
    </w:p>
    <w:p>
      <w:pPr>
        <w:pStyle w:val="ListNumber"/>
      </w:pPr>
      <w:r>
        <w:t>Deploy GitLab or Forgejo in the development VLAN and connect it to SSO. Enable protected branches, merge review, quotas, and project ownership.</w:t>
      </w:r>
    </w:p>
    <w:p>
      <w:pPr>
        <w:pStyle w:val="ListNumber"/>
      </w:pPr>
      <w:r>
        <w:t>Deploy a private container registry. Scan images and block known critical vulnerabilities according to a documented exception process.</w:t>
      </w:r>
    </w:p>
    <w:p>
      <w:pPr>
        <w:pStyle w:val="ListNumber"/>
      </w:pPr>
      <w:r>
        <w:t>Create ephemeral CI runners with no path to the management VLAN and no standing production credentials. Separate teacher-approved production deployment runners.</w:t>
      </w:r>
    </w:p>
    <w:p>
      <w:pPr>
        <w:pStyle w:val="ListNumber"/>
      </w:pPr>
      <w:r>
        <w:t>Deploy two Docker application hosts for the baseline. Give every project a unique service account, network, hostname, CPU limit, memory limit, storage quota, and log-retention policy.</w:t>
      </w:r>
    </w:p>
    <w:p>
      <w:pPr>
        <w:pStyle w:val="ListNumber"/>
      </w:pPr>
      <w:r>
        <w:t>Put all published applications behind the development reverse proxy. Use wildcard DNS only with a controlled certificate and deployment process.</w:t>
      </w:r>
    </w:p>
    <w:p>
      <w:pPr>
        <w:pStyle w:val="ListNumber"/>
      </w:pPr>
      <w:r>
        <w:t>Provide separate test databases. Allow production database access only after teacher and IT review.</w:t>
      </w:r>
    </w:p>
    <w:p>
      <w:pPr>
        <w:pStyle w:val="ListNumber"/>
      </w:pPr>
      <w:r>
        <w:t>Automatically expire abandoned preview environments and archive source code. Do not promise backup for disposable sandboxes.</w:t>
      </w:r>
    </w:p>
    <w:p>
      <w:pPr>
        <w:pStyle w:val="CodeBlock"/>
      </w:pPr>
      <w:r>
        <w:t>Example project delivery flow</w:t>
        <w:br/>
        <w:t>Student push → Git review → isolated CI test → image scan → private registry</w:t>
        <w:br/>
        <w:t xml:space="preserve">             → teacher approval → deployment runner → development app host</w:t>
        <w:br/>
        <w:t xml:space="preserve">             → HTTPS reverse proxy → project-name.apps.school.example</w:t>
      </w:r>
    </w:p>
    <w:p>
      <w:pPr>
        <w:pStyle w:val="Heading2"/>
      </w:pPr>
      <w:r>
        <w:t>Phase 9 Install the GPU AI platform</w:t>
      </w:r>
    </w:p>
    <w:p>
      <w:pPr>
        <w:pStyle w:val="ListNumber"/>
      </w:pPr>
      <w:r>
        <w:t>Install a vendor-supported Ubuntu Server LTS release on GPU01. Patch BIOS and GPU firmware first, then install the matching NVIDIA driver using the vendor’s supported method.</w:t>
      </w:r>
    </w:p>
    <w:p>
      <w:pPr>
        <w:pStyle w:val="ListNumber"/>
      </w:pPr>
      <w:r>
        <w:t>Install the NVIDIA Container Toolkit from NVIDIA’s official repository and verify that a test container can see the GPUs.</w:t>
      </w:r>
    </w:p>
    <w:p>
      <w:pPr>
        <w:pStyle w:val="ListNumber"/>
      </w:pPr>
      <w:r>
        <w:t>Deploy the selected inference runtime, such as vLLM, in containers. Bind runtime ports only to the AI VLAN.</w:t>
      </w:r>
    </w:p>
    <w:p>
      <w:pPr>
        <w:pStyle w:val="ListNumber"/>
      </w:pPr>
      <w:r>
        <w:t>Deploy an AI gateway in front of the runtime. Require SSO or signed service credentials, apply role-based model access, rate limits, token quotas, request-size limits, safety controls, and audit logs.</w:t>
      </w:r>
    </w:p>
    <w:p>
      <w:pPr>
        <w:pStyle w:val="ListNumber"/>
      </w:pPr>
      <w:r>
        <w:t>For the Korean Q&amp;A system, clean and classify the five-year dataset, remove sensitive data not required for learning, split documents into traceable chunks, create embeddings, and store source metadata with every chunk.</w:t>
      </w:r>
    </w:p>
    <w:p>
      <w:pPr>
        <w:pStyle w:val="ListNumber"/>
      </w:pPr>
      <w:r>
        <w:t>Begin with retrieval-augmented generation. Do not retrain automatically from every new answer. Route new teacher answers through approval, evaluation, and a scheduled re-indexing pipeline.</w:t>
      </w:r>
    </w:p>
    <w:p>
      <w:pPr>
        <w:pStyle w:val="ListNumber"/>
      </w:pPr>
      <w:r>
        <w:t>Evaluate retrieval recall, factuality, Korean language quality, refusal behavior, privacy leakage, latency, and load before launch. Maintain a human escalation path.</w:t>
      </w:r>
    </w:p>
    <w:p>
      <w:pPr>
        <w:pStyle w:val="CodeBlock"/>
      </w:pPr>
      <w:r>
        <w:t>AI request path</w:t>
        <w:br/>
        <w:t>User → School SSO → AI gateway → policy and quota check → retrieval service</w:t>
        <w:br/>
        <w:t xml:space="preserve">     → approved document chunks → LLM inference → cited response → audit record</w:t>
        <w:br/>
        <w:br/>
        <w:t>Only the gateway is published. Ollama, vLLM, vector databases, and model files remain private.</w:t>
      </w:r>
    </w:p>
    <w:p>
      <w:r>
        <w:br w:type="page"/>
      </w:r>
    </w:p>
    <w:p>
      <w:pPr>
        <w:pStyle w:val="Heading1"/>
      </w:pPr>
      <w:r>
        <w:t>7 Security hardening checklist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c>
          <w:tcPr>
            <w:tcW w:type="dxa" w:w="1656"/>
            <w:shd w:fill="1F4E78"/>
            <w:vAlign w:val="center"/>
            <w:tcMar>
              <w:top w:w="100" w:type="dxa"/>
              <w:start w:w="110" w:type="dxa"/>
              <w:bottom w:w="100" w:type="dxa"/>
              <w:end w:w="110" w:type="dxa"/>
            </w:tcMar>
          </w:tcPr>
          <w:p>
            <w:r>
              <w:rPr>
                <w:b/>
                <w:color w:val="FFFFFF"/>
                <w:sz w:val="18"/>
              </w:rPr>
              <w:t>Control</w:t>
            </w:r>
          </w:p>
        </w:tc>
        <w:tc>
          <w:tcPr>
            <w:tcW w:type="dxa" w:w="5976"/>
            <w:shd w:fill="1F4E78"/>
            <w:vAlign w:val="center"/>
            <w:tcMar>
              <w:top w:w="100" w:type="dxa"/>
              <w:start w:w="110" w:type="dxa"/>
              <w:bottom w:w="100" w:type="dxa"/>
              <w:end w:w="110" w:type="dxa"/>
            </w:tcMar>
          </w:tcPr>
          <w:p>
            <w:r>
              <w:rPr>
                <w:b/>
                <w:color w:val="FFFFFF"/>
                <w:sz w:val="18"/>
              </w:rPr>
              <w:t>Required implementation</w:t>
            </w:r>
          </w:p>
        </w:tc>
        <w:tc>
          <w:tcPr>
            <w:tcW w:type="dxa" w:w="2952"/>
            <w:shd w:fill="1F4E78"/>
            <w:vAlign w:val="center"/>
            <w:tcMar>
              <w:top w:w="100" w:type="dxa"/>
              <w:start w:w="110" w:type="dxa"/>
              <w:bottom w:w="100" w:type="dxa"/>
              <w:end w:w="110" w:type="dxa"/>
            </w:tcMar>
          </w:tcPr>
          <w:p>
            <w:r>
              <w:rPr>
                <w:b/>
                <w:color w:val="FFFFFF"/>
                <w:sz w:val="18"/>
              </w:rPr>
              <w:t>Validation</w:t>
            </w:r>
          </w:p>
        </w:tc>
      </w:tr>
      <w:tr>
        <w:tc>
          <w:tcPr>
            <w:tcW w:type="dxa" w:w="1656"/>
            <w:vAlign w:val="center"/>
            <w:tcMar>
              <w:top w:w="100" w:type="dxa"/>
              <w:start w:w="110" w:type="dxa"/>
              <w:bottom w:w="100" w:type="dxa"/>
              <w:end w:w="110" w:type="dxa"/>
            </w:tcMar>
          </w:tcPr>
          <w:p>
            <w:pPr>
              <w:spacing w:after="0"/>
            </w:pPr>
            <w:r>
              <w:rPr>
                <w:sz w:val="17"/>
              </w:rPr>
              <w:t>Accounts</w:t>
            </w:r>
          </w:p>
        </w:tc>
        <w:tc>
          <w:tcPr>
            <w:tcW w:type="dxa" w:w="5976"/>
            <w:vAlign w:val="center"/>
            <w:tcMar>
              <w:top w:w="100" w:type="dxa"/>
              <w:start w:w="110" w:type="dxa"/>
              <w:bottom w:w="100" w:type="dxa"/>
              <w:end w:w="110" w:type="dxa"/>
            </w:tcMar>
          </w:tcPr>
          <w:p>
            <w:pPr>
              <w:spacing w:after="0"/>
            </w:pPr>
            <w:r>
              <w:rPr>
                <w:sz w:val="17"/>
              </w:rPr>
              <w:t>Named admin accounts, MFA, no shared credentials, quarterly review</w:t>
            </w:r>
          </w:p>
        </w:tc>
        <w:tc>
          <w:tcPr>
            <w:tcW w:type="dxa" w:w="2952"/>
            <w:vAlign w:val="center"/>
            <w:tcMar>
              <w:top w:w="100" w:type="dxa"/>
              <w:start w:w="110" w:type="dxa"/>
              <w:bottom w:w="100" w:type="dxa"/>
              <w:end w:w="110" w:type="dxa"/>
            </w:tcMar>
          </w:tcPr>
          <w:p>
            <w:pPr>
              <w:spacing w:after="0"/>
            </w:pPr>
            <w:r>
              <w:rPr>
                <w:sz w:val="17"/>
              </w:rPr>
              <w:t>Export account and group review evidence</w:t>
            </w:r>
          </w:p>
        </w:tc>
      </w:tr>
      <w:tr>
        <w:tc>
          <w:tcPr>
            <w:tcW w:type="dxa" w:w="1656"/>
            <w:vAlign w:val="center"/>
            <w:shd w:fill="EAF2F8"/>
            <w:tcMar>
              <w:top w:w="100" w:type="dxa"/>
              <w:start w:w="110" w:type="dxa"/>
              <w:bottom w:w="100" w:type="dxa"/>
              <w:end w:w="110" w:type="dxa"/>
            </w:tcMar>
          </w:tcPr>
          <w:p>
            <w:pPr>
              <w:spacing w:after="0"/>
            </w:pPr>
            <w:r>
              <w:rPr>
                <w:sz w:val="17"/>
              </w:rPr>
              <w:t>Privileges</w:t>
            </w:r>
          </w:p>
        </w:tc>
        <w:tc>
          <w:tcPr>
            <w:tcW w:type="dxa" w:w="5976"/>
            <w:vAlign w:val="center"/>
            <w:shd w:fill="EAF2F8"/>
            <w:tcMar>
              <w:top w:w="100" w:type="dxa"/>
              <w:start w:w="110" w:type="dxa"/>
              <w:bottom w:w="100" w:type="dxa"/>
              <w:end w:w="110" w:type="dxa"/>
            </w:tcMar>
          </w:tcPr>
          <w:p>
            <w:pPr>
              <w:spacing w:after="0"/>
            </w:pPr>
            <w:r>
              <w:rPr>
                <w:sz w:val="17"/>
              </w:rPr>
              <w:t>Role-based access and separate production/development duties</w:t>
            </w:r>
          </w:p>
        </w:tc>
        <w:tc>
          <w:tcPr>
            <w:tcW w:type="dxa" w:w="2952"/>
            <w:vAlign w:val="center"/>
            <w:shd w:fill="EAF2F8"/>
            <w:tcMar>
              <w:top w:w="100" w:type="dxa"/>
              <w:start w:w="110" w:type="dxa"/>
              <w:bottom w:w="100" w:type="dxa"/>
              <w:end w:w="110" w:type="dxa"/>
            </w:tcMar>
          </w:tcPr>
          <w:p>
            <w:pPr>
              <w:spacing w:after="0"/>
            </w:pPr>
            <w:r>
              <w:rPr>
                <w:sz w:val="17"/>
              </w:rPr>
              <w:t>Test a student account against protected targets</w:t>
            </w:r>
          </w:p>
        </w:tc>
      </w:tr>
      <w:tr>
        <w:tc>
          <w:tcPr>
            <w:tcW w:type="dxa" w:w="1656"/>
            <w:vAlign w:val="center"/>
            <w:tcMar>
              <w:top w:w="100" w:type="dxa"/>
              <w:start w:w="110" w:type="dxa"/>
              <w:bottom w:w="100" w:type="dxa"/>
              <w:end w:w="110" w:type="dxa"/>
            </w:tcMar>
          </w:tcPr>
          <w:p>
            <w:pPr>
              <w:spacing w:after="0"/>
            </w:pPr>
            <w:r>
              <w:rPr>
                <w:sz w:val="17"/>
              </w:rPr>
              <w:t>Patching</w:t>
            </w:r>
          </w:p>
        </w:tc>
        <w:tc>
          <w:tcPr>
            <w:tcW w:type="dxa" w:w="5976"/>
            <w:vAlign w:val="center"/>
            <w:tcMar>
              <w:top w:w="100" w:type="dxa"/>
              <w:start w:w="110" w:type="dxa"/>
              <w:bottom w:w="100" w:type="dxa"/>
              <w:end w:w="110" w:type="dxa"/>
            </w:tcMar>
          </w:tcPr>
          <w:p>
            <w:pPr>
              <w:spacing w:after="0"/>
            </w:pPr>
            <w:r>
              <w:rPr>
                <w:sz w:val="17"/>
              </w:rPr>
              <w:t>Monthly maintenance plus expedited critical fixes</w:t>
            </w:r>
          </w:p>
        </w:tc>
        <w:tc>
          <w:tcPr>
            <w:tcW w:type="dxa" w:w="2952"/>
            <w:vAlign w:val="center"/>
            <w:tcMar>
              <w:top w:w="100" w:type="dxa"/>
              <w:start w:w="110" w:type="dxa"/>
              <w:bottom w:w="100" w:type="dxa"/>
              <w:end w:w="110" w:type="dxa"/>
            </w:tcMar>
          </w:tcPr>
          <w:p>
            <w:pPr>
              <w:spacing w:after="0"/>
            </w:pPr>
            <w:r>
              <w:rPr>
                <w:sz w:val="17"/>
              </w:rPr>
              <w:t>Patch dashboard and exception list</w:t>
            </w:r>
          </w:p>
        </w:tc>
      </w:tr>
      <w:tr>
        <w:tc>
          <w:tcPr>
            <w:tcW w:type="dxa" w:w="1656"/>
            <w:vAlign w:val="center"/>
            <w:shd w:fill="EAF2F8"/>
            <w:tcMar>
              <w:top w:w="100" w:type="dxa"/>
              <w:start w:w="110" w:type="dxa"/>
              <w:bottom w:w="100" w:type="dxa"/>
              <w:end w:w="110" w:type="dxa"/>
            </w:tcMar>
          </w:tcPr>
          <w:p>
            <w:pPr>
              <w:spacing w:after="0"/>
            </w:pPr>
            <w:r>
              <w:rPr>
                <w:sz w:val="17"/>
              </w:rPr>
              <w:t>Secrets</w:t>
            </w:r>
          </w:p>
        </w:tc>
        <w:tc>
          <w:tcPr>
            <w:tcW w:type="dxa" w:w="5976"/>
            <w:vAlign w:val="center"/>
            <w:shd w:fill="EAF2F8"/>
            <w:tcMar>
              <w:top w:w="100" w:type="dxa"/>
              <w:start w:w="110" w:type="dxa"/>
              <w:bottom w:w="100" w:type="dxa"/>
              <w:end w:w="110" w:type="dxa"/>
            </w:tcMar>
          </w:tcPr>
          <w:p>
            <w:pPr>
              <w:spacing w:after="0"/>
            </w:pPr>
            <w:r>
              <w:rPr>
                <w:sz w:val="17"/>
              </w:rPr>
              <w:t>Vault or protected CI variables; regular rotation</w:t>
            </w:r>
          </w:p>
        </w:tc>
        <w:tc>
          <w:tcPr>
            <w:tcW w:type="dxa" w:w="2952"/>
            <w:vAlign w:val="center"/>
            <w:shd w:fill="EAF2F8"/>
            <w:tcMar>
              <w:top w:w="100" w:type="dxa"/>
              <w:start w:w="110" w:type="dxa"/>
              <w:bottom w:w="100" w:type="dxa"/>
              <w:end w:w="110" w:type="dxa"/>
            </w:tcMar>
          </w:tcPr>
          <w:p>
            <w:pPr>
              <w:spacing w:after="0"/>
            </w:pPr>
            <w:r>
              <w:rPr>
                <w:sz w:val="17"/>
              </w:rPr>
              <w:t>Scan repositories and container images</w:t>
            </w:r>
          </w:p>
        </w:tc>
      </w:tr>
      <w:tr>
        <w:tc>
          <w:tcPr>
            <w:tcW w:type="dxa" w:w="1656"/>
            <w:vAlign w:val="center"/>
            <w:tcMar>
              <w:top w:w="100" w:type="dxa"/>
              <w:start w:w="110" w:type="dxa"/>
              <w:bottom w:w="100" w:type="dxa"/>
              <w:end w:w="110" w:type="dxa"/>
            </w:tcMar>
          </w:tcPr>
          <w:p>
            <w:pPr>
              <w:spacing w:after="0"/>
            </w:pPr>
            <w:r>
              <w:rPr>
                <w:sz w:val="17"/>
              </w:rPr>
              <w:t>Endpoints</w:t>
            </w:r>
          </w:p>
        </w:tc>
        <w:tc>
          <w:tcPr>
            <w:tcW w:type="dxa" w:w="5976"/>
            <w:vAlign w:val="center"/>
            <w:tcMar>
              <w:top w:w="100" w:type="dxa"/>
              <w:start w:w="110" w:type="dxa"/>
              <w:bottom w:w="100" w:type="dxa"/>
              <w:end w:w="110" w:type="dxa"/>
            </w:tcMar>
          </w:tcPr>
          <w:p>
            <w:pPr>
              <w:spacing w:after="0"/>
            </w:pPr>
            <w:r>
              <w:rPr>
                <w:sz w:val="17"/>
              </w:rPr>
              <w:t>Host firewall, EDR where appropriate, audit logs</w:t>
            </w:r>
          </w:p>
        </w:tc>
        <w:tc>
          <w:tcPr>
            <w:tcW w:type="dxa" w:w="2952"/>
            <w:vAlign w:val="center"/>
            <w:tcMar>
              <w:top w:w="100" w:type="dxa"/>
              <w:start w:w="110" w:type="dxa"/>
              <w:bottom w:w="100" w:type="dxa"/>
              <w:end w:w="110" w:type="dxa"/>
            </w:tcMar>
          </w:tcPr>
          <w:p>
            <w:pPr>
              <w:spacing w:after="0"/>
            </w:pPr>
            <w:r>
              <w:rPr>
                <w:sz w:val="17"/>
              </w:rPr>
              <w:t>Central alert test</w:t>
            </w:r>
          </w:p>
        </w:tc>
      </w:tr>
      <w:tr>
        <w:tc>
          <w:tcPr>
            <w:tcW w:type="dxa" w:w="1656"/>
            <w:vAlign w:val="center"/>
            <w:shd w:fill="EAF2F8"/>
            <w:tcMar>
              <w:top w:w="100" w:type="dxa"/>
              <w:start w:w="110" w:type="dxa"/>
              <w:bottom w:w="100" w:type="dxa"/>
              <w:end w:w="110" w:type="dxa"/>
            </w:tcMar>
          </w:tcPr>
          <w:p>
            <w:pPr>
              <w:spacing w:after="0"/>
            </w:pPr>
            <w:r>
              <w:rPr>
                <w:sz w:val="17"/>
              </w:rPr>
              <w:t>Network</w:t>
            </w:r>
          </w:p>
        </w:tc>
        <w:tc>
          <w:tcPr>
            <w:tcW w:type="dxa" w:w="5976"/>
            <w:vAlign w:val="center"/>
            <w:shd w:fill="EAF2F8"/>
            <w:tcMar>
              <w:top w:w="100" w:type="dxa"/>
              <w:start w:w="110" w:type="dxa"/>
              <w:bottom w:w="100" w:type="dxa"/>
              <w:end w:w="110" w:type="dxa"/>
            </w:tcMar>
          </w:tcPr>
          <w:p>
            <w:pPr>
              <w:spacing w:after="0"/>
            </w:pPr>
            <w:r>
              <w:rPr>
                <w:sz w:val="17"/>
              </w:rPr>
              <w:t>Default deny, egress filtering, no management from user VLANs</w:t>
            </w:r>
          </w:p>
        </w:tc>
        <w:tc>
          <w:tcPr>
            <w:tcW w:type="dxa" w:w="2952"/>
            <w:vAlign w:val="center"/>
            <w:shd w:fill="EAF2F8"/>
            <w:tcMar>
              <w:top w:w="100" w:type="dxa"/>
              <w:start w:w="110" w:type="dxa"/>
              <w:bottom w:w="100" w:type="dxa"/>
              <w:end w:w="110" w:type="dxa"/>
            </w:tcMar>
          </w:tcPr>
          <w:p>
            <w:pPr>
              <w:spacing w:after="0"/>
            </w:pPr>
            <w:r>
              <w:rPr>
                <w:sz w:val="17"/>
              </w:rPr>
              <w:t>Automated reachability and port test</w:t>
            </w:r>
          </w:p>
        </w:tc>
      </w:tr>
      <w:tr>
        <w:tc>
          <w:tcPr>
            <w:tcW w:type="dxa" w:w="1656"/>
            <w:vAlign w:val="center"/>
            <w:tcMar>
              <w:top w:w="100" w:type="dxa"/>
              <w:start w:w="110" w:type="dxa"/>
              <w:bottom w:w="100" w:type="dxa"/>
              <w:end w:w="110" w:type="dxa"/>
            </w:tcMar>
          </w:tcPr>
          <w:p>
            <w:pPr>
              <w:spacing w:after="0"/>
            </w:pPr>
            <w:r>
              <w:rPr>
                <w:sz w:val="17"/>
              </w:rPr>
              <w:t>Data</w:t>
            </w:r>
          </w:p>
        </w:tc>
        <w:tc>
          <w:tcPr>
            <w:tcW w:type="dxa" w:w="5976"/>
            <w:vAlign w:val="center"/>
            <w:tcMar>
              <w:top w:w="100" w:type="dxa"/>
              <w:start w:w="110" w:type="dxa"/>
              <w:bottom w:w="100" w:type="dxa"/>
              <w:end w:w="110" w:type="dxa"/>
            </w:tcMar>
          </w:tcPr>
          <w:p>
            <w:pPr>
              <w:spacing w:after="0"/>
            </w:pPr>
            <w:r>
              <w:rPr>
                <w:sz w:val="17"/>
              </w:rPr>
              <w:t>Classification, least access, encryption, retention and deletion</w:t>
            </w:r>
          </w:p>
        </w:tc>
        <w:tc>
          <w:tcPr>
            <w:tcW w:type="dxa" w:w="2952"/>
            <w:vAlign w:val="center"/>
            <w:tcMar>
              <w:top w:w="100" w:type="dxa"/>
              <w:start w:w="110" w:type="dxa"/>
              <w:bottom w:w="100" w:type="dxa"/>
              <w:end w:w="110" w:type="dxa"/>
            </w:tcMar>
          </w:tcPr>
          <w:p>
            <w:pPr>
              <w:spacing w:after="0"/>
            </w:pPr>
            <w:r>
              <w:rPr>
                <w:sz w:val="17"/>
              </w:rPr>
              <w:t>Sample permissions and restore/delete test</w:t>
            </w:r>
          </w:p>
        </w:tc>
      </w:tr>
      <w:tr>
        <w:tc>
          <w:tcPr>
            <w:tcW w:type="dxa" w:w="1656"/>
            <w:vAlign w:val="center"/>
            <w:shd w:fill="EAF2F8"/>
            <w:tcMar>
              <w:top w:w="100" w:type="dxa"/>
              <w:start w:w="110" w:type="dxa"/>
              <w:bottom w:w="100" w:type="dxa"/>
              <w:end w:w="110" w:type="dxa"/>
            </w:tcMar>
          </w:tcPr>
          <w:p>
            <w:pPr>
              <w:spacing w:after="0"/>
            </w:pPr>
            <w:r>
              <w:rPr>
                <w:sz w:val="17"/>
              </w:rPr>
              <w:t>Applications</w:t>
            </w:r>
          </w:p>
        </w:tc>
        <w:tc>
          <w:tcPr>
            <w:tcW w:type="dxa" w:w="5976"/>
            <w:vAlign w:val="center"/>
            <w:shd w:fill="EAF2F8"/>
            <w:tcMar>
              <w:top w:w="100" w:type="dxa"/>
              <w:start w:w="110" w:type="dxa"/>
              <w:bottom w:w="100" w:type="dxa"/>
              <w:end w:w="110" w:type="dxa"/>
            </w:tcMar>
          </w:tcPr>
          <w:p>
            <w:pPr>
              <w:spacing w:after="0"/>
            </w:pPr>
            <w:r>
              <w:rPr>
                <w:sz w:val="17"/>
              </w:rPr>
              <w:t>TLS, dependency scanning, code review, secure headers</w:t>
            </w:r>
          </w:p>
        </w:tc>
        <w:tc>
          <w:tcPr>
            <w:tcW w:type="dxa" w:w="2952"/>
            <w:vAlign w:val="center"/>
            <w:shd w:fill="EAF2F8"/>
            <w:tcMar>
              <w:top w:w="100" w:type="dxa"/>
              <w:start w:w="110" w:type="dxa"/>
              <w:bottom w:w="100" w:type="dxa"/>
              <w:end w:w="110" w:type="dxa"/>
            </w:tcMar>
          </w:tcPr>
          <w:p>
            <w:pPr>
              <w:spacing w:after="0"/>
            </w:pPr>
            <w:r>
              <w:rPr>
                <w:sz w:val="17"/>
              </w:rPr>
              <w:t>DAST/SAST report and remediation tracking</w:t>
            </w:r>
          </w:p>
        </w:tc>
      </w:tr>
      <w:tr>
        <w:tc>
          <w:tcPr>
            <w:tcW w:type="dxa" w:w="1656"/>
            <w:vAlign w:val="center"/>
            <w:tcMar>
              <w:top w:w="100" w:type="dxa"/>
              <w:start w:w="110" w:type="dxa"/>
              <w:bottom w:w="100" w:type="dxa"/>
              <w:end w:w="110" w:type="dxa"/>
            </w:tcMar>
          </w:tcPr>
          <w:p>
            <w:pPr>
              <w:spacing w:after="0"/>
            </w:pPr>
            <w:r>
              <w:rPr>
                <w:sz w:val="17"/>
              </w:rPr>
              <w:t>AI</w:t>
            </w:r>
          </w:p>
        </w:tc>
        <w:tc>
          <w:tcPr>
            <w:tcW w:type="dxa" w:w="5976"/>
            <w:vAlign w:val="center"/>
            <w:tcMar>
              <w:top w:w="100" w:type="dxa"/>
              <w:start w:w="110" w:type="dxa"/>
              <w:bottom w:w="100" w:type="dxa"/>
              <w:end w:w="110" w:type="dxa"/>
            </w:tcMar>
          </w:tcPr>
          <w:p>
            <w:pPr>
              <w:spacing w:after="0"/>
            </w:pPr>
            <w:r>
              <w:rPr>
                <w:sz w:val="17"/>
              </w:rPr>
              <w:t>Gateway auth, quotas, prompt and output controls, data minimization</w:t>
            </w:r>
          </w:p>
        </w:tc>
        <w:tc>
          <w:tcPr>
            <w:tcW w:type="dxa" w:w="2952"/>
            <w:vAlign w:val="center"/>
            <w:tcMar>
              <w:top w:w="100" w:type="dxa"/>
              <w:start w:w="110" w:type="dxa"/>
              <w:bottom w:w="100" w:type="dxa"/>
              <w:end w:w="110" w:type="dxa"/>
            </w:tcMar>
          </w:tcPr>
          <w:p>
            <w:pPr>
              <w:spacing w:after="0"/>
            </w:pPr>
            <w:r>
              <w:rPr>
                <w:sz w:val="17"/>
              </w:rPr>
              <w:t>Red-team and privacy evaluation set</w:t>
            </w:r>
          </w:p>
        </w:tc>
      </w:tr>
      <w:tr>
        <w:tc>
          <w:tcPr>
            <w:tcW w:type="dxa" w:w="1656"/>
            <w:vAlign w:val="center"/>
            <w:shd w:fill="EAF2F8"/>
            <w:tcMar>
              <w:top w:w="100" w:type="dxa"/>
              <w:start w:w="110" w:type="dxa"/>
              <w:bottom w:w="100" w:type="dxa"/>
              <w:end w:w="110" w:type="dxa"/>
            </w:tcMar>
          </w:tcPr>
          <w:p>
            <w:pPr>
              <w:spacing w:after="0"/>
            </w:pPr>
            <w:r>
              <w:rPr>
                <w:sz w:val="17"/>
              </w:rPr>
              <w:t>Backups</w:t>
            </w:r>
          </w:p>
        </w:tc>
        <w:tc>
          <w:tcPr>
            <w:tcW w:type="dxa" w:w="5976"/>
            <w:vAlign w:val="center"/>
            <w:shd w:fill="EAF2F8"/>
            <w:tcMar>
              <w:top w:w="100" w:type="dxa"/>
              <w:start w:w="110" w:type="dxa"/>
              <w:bottom w:w="100" w:type="dxa"/>
              <w:end w:w="110" w:type="dxa"/>
            </w:tcMar>
          </w:tcPr>
          <w:p>
            <w:pPr>
              <w:spacing w:after="0"/>
            </w:pPr>
            <w:r>
              <w:rPr>
                <w:sz w:val="17"/>
              </w:rPr>
              <w:t>Separate credentials, off-site/offline copy, recurring restores</w:t>
            </w:r>
          </w:p>
        </w:tc>
        <w:tc>
          <w:tcPr>
            <w:tcW w:type="dxa" w:w="2952"/>
            <w:vAlign w:val="center"/>
            <w:shd w:fill="EAF2F8"/>
            <w:tcMar>
              <w:top w:w="100" w:type="dxa"/>
              <w:start w:w="110" w:type="dxa"/>
              <w:bottom w:w="100" w:type="dxa"/>
              <w:end w:w="110" w:type="dxa"/>
            </w:tcMar>
          </w:tcPr>
          <w:p>
            <w:pPr>
              <w:spacing w:after="0"/>
            </w:pPr>
            <w:r>
              <w:rPr>
                <w:sz w:val="17"/>
              </w:rPr>
              <w:t>Signed quarterly restore report</w:t>
            </w:r>
          </w:p>
        </w:tc>
      </w:tr>
      <w:tr>
        <w:tc>
          <w:tcPr>
            <w:tcW w:type="dxa" w:w="1656"/>
            <w:vAlign w:val="center"/>
            <w:tcMar>
              <w:top w:w="100" w:type="dxa"/>
              <w:start w:w="110" w:type="dxa"/>
              <w:bottom w:w="100" w:type="dxa"/>
              <w:end w:w="110" w:type="dxa"/>
            </w:tcMar>
          </w:tcPr>
          <w:p>
            <w:pPr>
              <w:spacing w:after="0"/>
            </w:pPr>
            <w:r>
              <w:rPr>
                <w:sz w:val="17"/>
              </w:rPr>
              <w:t>Facilities</w:t>
            </w:r>
          </w:p>
        </w:tc>
        <w:tc>
          <w:tcPr>
            <w:tcW w:type="dxa" w:w="5976"/>
            <w:vAlign w:val="center"/>
            <w:tcMar>
              <w:top w:w="100" w:type="dxa"/>
              <w:start w:w="110" w:type="dxa"/>
              <w:bottom w:w="100" w:type="dxa"/>
              <w:end w:w="110" w:type="dxa"/>
            </w:tcMar>
          </w:tcPr>
          <w:p>
            <w:pPr>
              <w:spacing w:after="0"/>
            </w:pPr>
            <w:r>
              <w:rPr>
                <w:sz w:val="17"/>
              </w:rPr>
              <w:t>Locked rack, camera/access log, UPS and environmental alerts</w:t>
            </w:r>
          </w:p>
        </w:tc>
        <w:tc>
          <w:tcPr>
            <w:tcW w:type="dxa" w:w="2952"/>
            <w:vAlign w:val="center"/>
            <w:tcMar>
              <w:top w:w="100" w:type="dxa"/>
              <w:start w:w="110" w:type="dxa"/>
              <w:bottom w:w="100" w:type="dxa"/>
              <w:end w:w="110" w:type="dxa"/>
            </w:tcMar>
          </w:tcPr>
          <w:p>
            <w:pPr>
              <w:spacing w:after="0"/>
            </w:pPr>
            <w:r>
              <w:rPr>
                <w:sz w:val="17"/>
              </w:rPr>
              <w:t>Power-failure and temperature alert test</w:t>
            </w:r>
          </w:p>
        </w:tc>
      </w:tr>
    </w:tbl>
    <w:p>
      <w:pPr>
        <w:spacing w:after="40"/>
      </w:pPr>
    </w:p>
    <w:p>
      <w:pPr>
        <w:pStyle w:val="Heading1"/>
      </w:pPr>
      <w:r>
        <w:t>8 Monitoring and operations</w:t>
      </w:r>
    </w:p>
    <w:p>
      <w:pPr>
        <w:pStyle w:val="ListBullet"/>
      </w:pPr>
      <w:r>
        <w:t>Monitor availability, CPU, memory, storage capacity, latency, packet loss, certificates, database replication, backup success, GPU temperature and utilization, model latency, queue depth, and tokens per second.</w:t>
      </w:r>
    </w:p>
    <w:p>
      <w:pPr>
        <w:pStyle w:val="ListBullet"/>
      </w:pPr>
      <w:r>
        <w:t>Alert on symptoms that require action; avoid sending every informational event to staff. Define owner, severity, response time, and escalation for each alert.</w:t>
      </w:r>
    </w:p>
    <w:p>
      <w:pPr>
        <w:pStyle w:val="ListBullet"/>
      </w:pPr>
      <w:r>
        <w:t>Maintain dashboards for infrastructure, protected applications, development quotas, and AI separately.</w:t>
      </w:r>
    </w:p>
    <w:p>
      <w:pPr>
        <w:pStyle w:val="ListBullet"/>
      </w:pPr>
      <w:r>
        <w:t>Run monthly patching, quarterly access reviews and restore tests, semiannual failover exercises, and annual capacity and risk reviews.</w:t>
      </w:r>
    </w:p>
    <w:p>
      <w:pPr>
        <w:pStyle w:val="ListBullet"/>
      </w:pPr>
      <w:r>
        <w:t>Keep architecture diagrams, inventory, vendor contacts, licenses, certificate owners, configuration backups, runbooks, and recovery sequences current.</w:t>
      </w:r>
    </w:p>
    <w:p>
      <w:pPr>
        <w:pStyle w:val="Heading2"/>
      </w:pPr>
      <w:r>
        <w:t>Daily weekly and monthly routine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c>
          <w:tcPr>
            <w:tcW w:type="dxa" w:w="1872"/>
            <w:shd w:fill="1F4E78"/>
            <w:vAlign w:val="center"/>
            <w:tcMar>
              <w:top w:w="100" w:type="dxa"/>
              <w:start w:w="110" w:type="dxa"/>
              <w:bottom w:w="100" w:type="dxa"/>
              <w:end w:w="110" w:type="dxa"/>
            </w:tcMar>
          </w:tcPr>
          <w:p>
            <w:r>
              <w:rPr>
                <w:b/>
                <w:color w:val="FFFFFF"/>
                <w:sz w:val="18"/>
              </w:rPr>
              <w:t>Frequency</w:t>
            </w:r>
          </w:p>
        </w:tc>
        <w:tc>
          <w:tcPr>
            <w:tcW w:type="dxa" w:w="8784"/>
            <w:shd w:fill="1F4E78"/>
            <w:vAlign w:val="center"/>
            <w:tcMar>
              <w:top w:w="100" w:type="dxa"/>
              <w:start w:w="110" w:type="dxa"/>
              <w:bottom w:w="100" w:type="dxa"/>
              <w:end w:w="110" w:type="dxa"/>
            </w:tcMar>
          </w:tcPr>
          <w:p>
            <w:r>
              <w:rPr>
                <w:b/>
                <w:color w:val="FFFFFF"/>
                <w:sz w:val="18"/>
              </w:rPr>
              <w:t>Actions</w:t>
            </w:r>
          </w:p>
        </w:tc>
      </w:tr>
      <w:tr>
        <w:tc>
          <w:tcPr>
            <w:tcW w:type="dxa" w:w="1872"/>
            <w:vAlign w:val="center"/>
            <w:tcMar>
              <w:top w:w="100" w:type="dxa"/>
              <w:start w:w="110" w:type="dxa"/>
              <w:bottom w:w="100" w:type="dxa"/>
              <w:end w:w="110" w:type="dxa"/>
            </w:tcMar>
          </w:tcPr>
          <w:p>
            <w:pPr>
              <w:spacing w:after="0"/>
            </w:pPr>
            <w:r>
              <w:rPr>
                <w:sz w:val="17"/>
              </w:rPr>
              <w:t>Daily</w:t>
            </w:r>
          </w:p>
        </w:tc>
        <w:tc>
          <w:tcPr>
            <w:tcW w:type="dxa" w:w="8784"/>
            <w:vAlign w:val="center"/>
            <w:tcMar>
              <w:top w:w="100" w:type="dxa"/>
              <w:start w:w="110" w:type="dxa"/>
              <w:bottom w:w="100" w:type="dxa"/>
              <w:end w:w="110" w:type="dxa"/>
            </w:tcMar>
          </w:tcPr>
          <w:p>
            <w:pPr>
              <w:spacing w:after="0"/>
            </w:pPr>
            <w:r>
              <w:rPr>
                <w:sz w:val="17"/>
              </w:rPr>
              <w:t>Review critical alerts, failed backups, storage health, security events, and AI gateway errors.</w:t>
            </w:r>
          </w:p>
        </w:tc>
      </w:tr>
      <w:tr>
        <w:tc>
          <w:tcPr>
            <w:tcW w:type="dxa" w:w="1872"/>
            <w:vAlign w:val="center"/>
            <w:shd w:fill="EAF2F8"/>
            <w:tcMar>
              <w:top w:w="100" w:type="dxa"/>
              <w:start w:w="110" w:type="dxa"/>
              <w:bottom w:w="100" w:type="dxa"/>
              <w:end w:w="110" w:type="dxa"/>
            </w:tcMar>
          </w:tcPr>
          <w:p>
            <w:pPr>
              <w:spacing w:after="0"/>
            </w:pPr>
            <w:r>
              <w:rPr>
                <w:sz w:val="17"/>
              </w:rPr>
              <w:t>Weekly</w:t>
            </w:r>
          </w:p>
        </w:tc>
        <w:tc>
          <w:tcPr>
            <w:tcW w:type="dxa" w:w="8784"/>
            <w:vAlign w:val="center"/>
            <w:shd w:fill="EAF2F8"/>
            <w:tcMar>
              <w:top w:w="100" w:type="dxa"/>
              <w:start w:w="110" w:type="dxa"/>
              <w:bottom w:w="100" w:type="dxa"/>
              <w:end w:w="110" w:type="dxa"/>
            </w:tcMar>
          </w:tcPr>
          <w:p>
            <w:pPr>
              <w:spacing w:after="0"/>
            </w:pPr>
            <w:r>
              <w:rPr>
                <w:sz w:val="17"/>
              </w:rPr>
              <w:t>Review capacity trends, failed CI jobs, exposed student applications, patch advisories, and restore a small sample.</w:t>
            </w:r>
          </w:p>
        </w:tc>
      </w:tr>
      <w:tr>
        <w:tc>
          <w:tcPr>
            <w:tcW w:type="dxa" w:w="1872"/>
            <w:vAlign w:val="center"/>
            <w:tcMar>
              <w:top w:w="100" w:type="dxa"/>
              <w:start w:w="110" w:type="dxa"/>
              <w:bottom w:w="100" w:type="dxa"/>
              <w:end w:w="110" w:type="dxa"/>
            </w:tcMar>
          </w:tcPr>
          <w:p>
            <w:pPr>
              <w:spacing w:after="0"/>
            </w:pPr>
            <w:r>
              <w:rPr>
                <w:sz w:val="17"/>
              </w:rPr>
              <w:t>Monthly</w:t>
            </w:r>
          </w:p>
        </w:tc>
        <w:tc>
          <w:tcPr>
            <w:tcW w:type="dxa" w:w="8784"/>
            <w:vAlign w:val="center"/>
            <w:tcMar>
              <w:top w:w="100" w:type="dxa"/>
              <w:start w:w="110" w:type="dxa"/>
              <w:bottom w:w="100" w:type="dxa"/>
              <w:end w:w="110" w:type="dxa"/>
            </w:tcMar>
          </w:tcPr>
          <w:p>
            <w:pPr>
              <w:spacing w:after="0"/>
            </w:pPr>
            <w:r>
              <w:rPr>
                <w:sz w:val="17"/>
              </w:rPr>
              <w:t>Patch in staging then production; rotate due secrets; review firewall changes; remove stale accounts and apps.</w:t>
            </w:r>
          </w:p>
        </w:tc>
      </w:tr>
      <w:tr>
        <w:tc>
          <w:tcPr>
            <w:tcW w:type="dxa" w:w="1872"/>
            <w:vAlign w:val="center"/>
            <w:shd w:fill="EAF2F8"/>
            <w:tcMar>
              <w:top w:w="100" w:type="dxa"/>
              <w:start w:w="110" w:type="dxa"/>
              <w:bottom w:w="100" w:type="dxa"/>
              <w:end w:w="110" w:type="dxa"/>
            </w:tcMar>
          </w:tcPr>
          <w:p>
            <w:pPr>
              <w:spacing w:after="0"/>
            </w:pPr>
            <w:r>
              <w:rPr>
                <w:sz w:val="17"/>
              </w:rPr>
              <w:t>Quarterly</w:t>
            </w:r>
          </w:p>
        </w:tc>
        <w:tc>
          <w:tcPr>
            <w:tcW w:type="dxa" w:w="8784"/>
            <w:vAlign w:val="center"/>
            <w:shd w:fill="EAF2F8"/>
            <w:tcMar>
              <w:top w:w="100" w:type="dxa"/>
              <w:start w:w="110" w:type="dxa"/>
              <w:bottom w:w="100" w:type="dxa"/>
              <w:end w:w="110" w:type="dxa"/>
            </w:tcMar>
          </w:tcPr>
          <w:p>
            <w:pPr>
              <w:spacing w:after="0"/>
            </w:pPr>
            <w:r>
              <w:rPr>
                <w:sz w:val="17"/>
              </w:rPr>
              <w:t>Restore representative systems; review privileges; test UPS alerts; update recovery contacts and runbooks.</w:t>
            </w:r>
          </w:p>
        </w:tc>
      </w:tr>
      <w:tr>
        <w:tc>
          <w:tcPr>
            <w:tcW w:type="dxa" w:w="1872"/>
            <w:vAlign w:val="center"/>
            <w:tcMar>
              <w:top w:w="100" w:type="dxa"/>
              <w:start w:w="110" w:type="dxa"/>
              <w:bottom w:w="100" w:type="dxa"/>
              <w:end w:w="110" w:type="dxa"/>
            </w:tcMar>
          </w:tcPr>
          <w:p>
            <w:pPr>
              <w:spacing w:after="0"/>
            </w:pPr>
            <w:r>
              <w:rPr>
                <w:sz w:val="17"/>
              </w:rPr>
              <w:t>Annually</w:t>
            </w:r>
          </w:p>
        </w:tc>
        <w:tc>
          <w:tcPr>
            <w:tcW w:type="dxa" w:w="8784"/>
            <w:vAlign w:val="center"/>
            <w:tcMar>
              <w:top w:w="100" w:type="dxa"/>
              <w:start w:w="110" w:type="dxa"/>
              <w:bottom w:w="100" w:type="dxa"/>
              <w:end w:w="110" w:type="dxa"/>
            </w:tcMar>
          </w:tcPr>
          <w:p>
            <w:pPr>
              <w:spacing w:after="0"/>
            </w:pPr>
            <w:r>
              <w:rPr>
                <w:sz w:val="17"/>
              </w:rPr>
              <w:t>Failover exercise, penetration test, AI risk review, warranty and lifecycle plan, full capacity forecast.</w:t>
            </w:r>
          </w:p>
        </w:tc>
      </w:tr>
    </w:tbl>
    <w:p>
      <w:pPr>
        <w:spacing w:after="40"/>
      </w:pPr>
    </w:p>
    <w:p>
      <w:pPr>
        <w:pStyle w:val="Heading1"/>
      </w:pPr>
      <w:r>
        <w:t>9 Commissioning and acceptance tests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c>
          <w:tcPr>
            <w:tcW w:type="dxa" w:w="2448"/>
            <w:shd w:fill="1F4E78"/>
            <w:vAlign w:val="center"/>
            <w:tcMar>
              <w:top w:w="100" w:type="dxa"/>
              <w:start w:w="110" w:type="dxa"/>
              <w:bottom w:w="100" w:type="dxa"/>
              <w:end w:w="110" w:type="dxa"/>
            </w:tcMar>
          </w:tcPr>
          <w:p>
            <w:r>
              <w:rPr>
                <w:b/>
                <w:color w:val="FFFFFF"/>
                <w:sz w:val="18"/>
              </w:rPr>
              <w:t>Test</w:t>
            </w:r>
          </w:p>
        </w:tc>
        <w:tc>
          <w:tcPr>
            <w:tcW w:type="dxa" w:w="8208"/>
            <w:shd w:fill="1F4E78"/>
            <w:vAlign w:val="center"/>
            <w:tcMar>
              <w:top w:w="100" w:type="dxa"/>
              <w:start w:w="110" w:type="dxa"/>
              <w:bottom w:w="100" w:type="dxa"/>
              <w:end w:w="110" w:type="dxa"/>
            </w:tcMar>
          </w:tcPr>
          <w:p>
            <w:r>
              <w:rPr>
                <w:b/>
                <w:color w:val="FFFFFF"/>
                <w:sz w:val="18"/>
              </w:rPr>
              <w:t>Pass condition</w:t>
            </w:r>
          </w:p>
        </w:tc>
      </w:tr>
      <w:tr>
        <w:tc>
          <w:tcPr>
            <w:tcW w:type="dxa" w:w="2448"/>
            <w:vAlign w:val="center"/>
            <w:tcMar>
              <w:top w:w="100" w:type="dxa"/>
              <w:start w:w="110" w:type="dxa"/>
              <w:bottom w:w="100" w:type="dxa"/>
              <w:end w:w="110" w:type="dxa"/>
            </w:tcMar>
          </w:tcPr>
          <w:p>
            <w:pPr>
              <w:spacing w:after="0"/>
            </w:pPr>
            <w:r>
              <w:rPr>
                <w:sz w:val="17"/>
              </w:rPr>
              <w:t>Node maintenance</w:t>
            </w:r>
          </w:p>
        </w:tc>
        <w:tc>
          <w:tcPr>
            <w:tcW w:type="dxa" w:w="8208"/>
            <w:vAlign w:val="center"/>
            <w:tcMar>
              <w:top w:w="100" w:type="dxa"/>
              <w:start w:w="110" w:type="dxa"/>
              <w:bottom w:w="100" w:type="dxa"/>
              <w:end w:w="110" w:type="dxa"/>
            </w:tcMar>
          </w:tcPr>
          <w:p>
            <w:pPr>
              <w:spacing w:after="0"/>
            </w:pPr>
            <w:r>
              <w:rPr>
                <w:sz w:val="17"/>
              </w:rPr>
              <w:t>One virtualization host is shut down or maintained without losing critical services beyond the approved recovery time.</w:t>
            </w:r>
          </w:p>
        </w:tc>
      </w:tr>
      <w:tr>
        <w:tc>
          <w:tcPr>
            <w:tcW w:type="dxa" w:w="2448"/>
            <w:vAlign w:val="center"/>
            <w:shd w:fill="EAF2F8"/>
            <w:tcMar>
              <w:top w:w="100" w:type="dxa"/>
              <w:start w:w="110" w:type="dxa"/>
              <w:bottom w:w="100" w:type="dxa"/>
              <w:end w:w="110" w:type="dxa"/>
            </w:tcMar>
          </w:tcPr>
          <w:p>
            <w:pPr>
              <w:spacing w:after="0"/>
            </w:pPr>
            <w:r>
              <w:rPr>
                <w:sz w:val="17"/>
              </w:rPr>
              <w:t>Network isolation</w:t>
            </w:r>
          </w:p>
        </w:tc>
        <w:tc>
          <w:tcPr>
            <w:tcW w:type="dxa" w:w="8208"/>
            <w:vAlign w:val="center"/>
            <w:shd w:fill="EAF2F8"/>
            <w:tcMar>
              <w:top w:w="100" w:type="dxa"/>
              <w:start w:w="110" w:type="dxa"/>
              <w:bottom w:w="100" w:type="dxa"/>
              <w:end w:w="110" w:type="dxa"/>
            </w:tcMar>
          </w:tcPr>
          <w:p>
            <w:pPr>
              <w:spacing w:after="0"/>
            </w:pPr>
            <w:r>
              <w:rPr>
                <w:sz w:val="17"/>
              </w:rPr>
              <w:t>Student, guest, and IoT clients cannot reach management, storage, backup, database, or raw AI runtime ports.</w:t>
            </w:r>
          </w:p>
        </w:tc>
      </w:tr>
      <w:tr>
        <w:tc>
          <w:tcPr>
            <w:tcW w:type="dxa" w:w="2448"/>
            <w:vAlign w:val="center"/>
            <w:tcMar>
              <w:top w:w="100" w:type="dxa"/>
              <w:start w:w="110" w:type="dxa"/>
              <w:bottom w:w="100" w:type="dxa"/>
              <w:end w:w="110" w:type="dxa"/>
            </w:tcMar>
          </w:tcPr>
          <w:p>
            <w:pPr>
              <w:spacing w:after="0"/>
            </w:pPr>
            <w:r>
              <w:rPr>
                <w:sz w:val="17"/>
              </w:rPr>
              <w:t>Restore</w:t>
            </w:r>
          </w:p>
        </w:tc>
        <w:tc>
          <w:tcPr>
            <w:tcW w:type="dxa" w:w="8208"/>
            <w:vAlign w:val="center"/>
            <w:tcMar>
              <w:top w:w="100" w:type="dxa"/>
              <w:start w:w="110" w:type="dxa"/>
              <w:bottom w:w="100" w:type="dxa"/>
              <w:end w:w="110" w:type="dxa"/>
            </w:tcMar>
          </w:tcPr>
          <w:p>
            <w:pPr>
              <w:spacing w:after="0"/>
            </w:pPr>
            <w:r>
              <w:rPr>
                <w:sz w:val="17"/>
              </w:rPr>
              <w:t>A VM, database, Git project, and individual file restore successfully using written procedures.</w:t>
            </w:r>
          </w:p>
        </w:tc>
      </w:tr>
      <w:tr>
        <w:tc>
          <w:tcPr>
            <w:tcW w:type="dxa" w:w="2448"/>
            <w:vAlign w:val="center"/>
            <w:shd w:fill="EAF2F8"/>
            <w:tcMar>
              <w:top w:w="100" w:type="dxa"/>
              <w:start w:w="110" w:type="dxa"/>
              <w:bottom w:w="100" w:type="dxa"/>
              <w:end w:w="110" w:type="dxa"/>
            </w:tcMar>
          </w:tcPr>
          <w:p>
            <w:pPr>
              <w:spacing w:after="0"/>
            </w:pPr>
            <w:r>
              <w:rPr>
                <w:sz w:val="17"/>
              </w:rPr>
              <w:t>Internet outage</w:t>
            </w:r>
          </w:p>
        </w:tc>
        <w:tc>
          <w:tcPr>
            <w:tcW w:type="dxa" w:w="8208"/>
            <w:vAlign w:val="center"/>
            <w:shd w:fill="EAF2F8"/>
            <w:tcMar>
              <w:top w:w="100" w:type="dxa"/>
              <w:start w:w="110" w:type="dxa"/>
              <w:bottom w:w="100" w:type="dxa"/>
              <w:end w:w="110" w:type="dxa"/>
            </w:tcMar>
          </w:tcPr>
          <w:p>
            <w:pPr>
              <w:spacing w:after="0"/>
            </w:pPr>
            <w:r>
              <w:rPr>
                <w:sz w:val="17"/>
              </w:rPr>
              <w:t>Core local DNS, identity, LMS or intranet, and approved AI knowledge service remain usable as designed.</w:t>
            </w:r>
          </w:p>
        </w:tc>
      </w:tr>
      <w:tr>
        <w:tc>
          <w:tcPr>
            <w:tcW w:type="dxa" w:w="2448"/>
            <w:vAlign w:val="center"/>
            <w:tcMar>
              <w:top w:w="100" w:type="dxa"/>
              <w:start w:w="110" w:type="dxa"/>
              <w:bottom w:w="100" w:type="dxa"/>
              <w:end w:w="110" w:type="dxa"/>
            </w:tcMar>
          </w:tcPr>
          <w:p>
            <w:pPr>
              <w:spacing w:after="0"/>
            </w:pPr>
            <w:r>
              <w:rPr>
                <w:sz w:val="17"/>
              </w:rPr>
              <w:t>AI load</w:t>
            </w:r>
          </w:p>
        </w:tc>
        <w:tc>
          <w:tcPr>
            <w:tcW w:type="dxa" w:w="8208"/>
            <w:vAlign w:val="center"/>
            <w:tcMar>
              <w:top w:w="100" w:type="dxa"/>
              <w:start w:w="110" w:type="dxa"/>
              <w:bottom w:w="100" w:type="dxa"/>
              <w:end w:w="110" w:type="dxa"/>
            </w:tcMar>
          </w:tcPr>
          <w:p>
            <w:pPr>
              <w:spacing w:after="0"/>
            </w:pPr>
            <w:r>
              <w:rPr>
                <w:sz w:val="17"/>
              </w:rPr>
              <w:t>Expected concurrent users meet latency and accuracy targets without affecting protected school applications.</w:t>
            </w:r>
          </w:p>
        </w:tc>
      </w:tr>
      <w:tr>
        <w:tc>
          <w:tcPr>
            <w:tcW w:type="dxa" w:w="2448"/>
            <w:vAlign w:val="center"/>
            <w:shd w:fill="EAF2F8"/>
            <w:tcMar>
              <w:top w:w="100" w:type="dxa"/>
              <w:start w:w="110" w:type="dxa"/>
              <w:bottom w:w="100" w:type="dxa"/>
              <w:end w:w="110" w:type="dxa"/>
            </w:tcMar>
          </w:tcPr>
          <w:p>
            <w:pPr>
              <w:spacing w:after="0"/>
            </w:pPr>
            <w:r>
              <w:rPr>
                <w:sz w:val="17"/>
              </w:rPr>
              <w:t>Application deployment</w:t>
            </w:r>
          </w:p>
        </w:tc>
        <w:tc>
          <w:tcPr>
            <w:tcW w:type="dxa" w:w="8208"/>
            <w:vAlign w:val="center"/>
            <w:shd w:fill="EAF2F8"/>
            <w:tcMar>
              <w:top w:w="100" w:type="dxa"/>
              <w:start w:w="110" w:type="dxa"/>
              <w:bottom w:w="100" w:type="dxa"/>
              <w:end w:w="110" w:type="dxa"/>
            </w:tcMar>
          </w:tcPr>
          <w:p>
            <w:pPr>
              <w:spacing w:after="0"/>
            </w:pPr>
            <w:r>
              <w:rPr>
                <w:sz w:val="17"/>
              </w:rPr>
              <w:t>A student can push, test, scan, receive approval, deploy, view logs, and remove an app without administrator rights.</w:t>
            </w:r>
          </w:p>
        </w:tc>
      </w:tr>
      <w:tr>
        <w:tc>
          <w:tcPr>
            <w:tcW w:type="dxa" w:w="2448"/>
            <w:vAlign w:val="center"/>
            <w:tcMar>
              <w:top w:w="100" w:type="dxa"/>
              <w:start w:w="110" w:type="dxa"/>
              <w:bottom w:w="100" w:type="dxa"/>
              <w:end w:w="110" w:type="dxa"/>
            </w:tcMar>
          </w:tcPr>
          <w:p>
            <w:pPr>
              <w:spacing w:after="0"/>
            </w:pPr>
            <w:r>
              <w:rPr>
                <w:sz w:val="17"/>
              </w:rPr>
              <w:t>Security logging</w:t>
            </w:r>
          </w:p>
        </w:tc>
        <w:tc>
          <w:tcPr>
            <w:tcW w:type="dxa" w:w="8208"/>
            <w:vAlign w:val="center"/>
            <w:tcMar>
              <w:top w:w="100" w:type="dxa"/>
              <w:start w:w="110" w:type="dxa"/>
              <w:bottom w:w="100" w:type="dxa"/>
              <w:end w:w="110" w:type="dxa"/>
            </w:tcMar>
          </w:tcPr>
          <w:p>
            <w:pPr>
              <w:spacing w:after="0"/>
            </w:pPr>
            <w:r>
              <w:rPr>
                <w:sz w:val="17"/>
              </w:rPr>
              <w:t>A failed admin login, blocked firewall flow, vulnerable image, and AI quota violation create visible events.</w:t>
            </w:r>
          </w:p>
        </w:tc>
      </w:tr>
      <w:tr>
        <w:tc>
          <w:tcPr>
            <w:tcW w:type="dxa" w:w="2448"/>
            <w:vAlign w:val="center"/>
            <w:shd w:fill="EAF2F8"/>
            <w:tcMar>
              <w:top w:w="100" w:type="dxa"/>
              <w:start w:w="110" w:type="dxa"/>
              <w:bottom w:w="100" w:type="dxa"/>
              <w:end w:w="110" w:type="dxa"/>
            </w:tcMar>
          </w:tcPr>
          <w:p>
            <w:pPr>
              <w:spacing w:after="0"/>
            </w:pPr>
            <w:r>
              <w:rPr>
                <w:sz w:val="17"/>
              </w:rPr>
              <w:t>Power event</w:t>
            </w:r>
          </w:p>
        </w:tc>
        <w:tc>
          <w:tcPr>
            <w:tcW w:type="dxa" w:w="8208"/>
            <w:vAlign w:val="center"/>
            <w:shd w:fill="EAF2F8"/>
            <w:tcMar>
              <w:top w:w="100" w:type="dxa"/>
              <w:start w:w="110" w:type="dxa"/>
              <w:bottom w:w="100" w:type="dxa"/>
              <w:end w:w="110" w:type="dxa"/>
            </w:tcMar>
          </w:tcPr>
          <w:p>
            <w:pPr>
              <w:spacing w:after="0"/>
            </w:pPr>
            <w:r>
              <w:rPr>
                <w:sz w:val="17"/>
              </w:rPr>
              <w:t>UPS alerts arrive; equipment shuts down in the documented order if runtime becomes critical.</w:t>
            </w:r>
          </w:p>
        </w:tc>
      </w:tr>
    </w:tbl>
    <w:p>
      <w:pPr>
        <w:spacing w:after="40"/>
      </w:pPr>
    </w:p>
    <w:p>
      <w:r>
        <w:br w:type="page"/>
      </w:r>
    </w:p>
    <w:p>
      <w:pPr>
        <w:pStyle w:val="Heading1"/>
      </w:pPr>
      <w:r>
        <w:t>10 Migration and rollout plan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c>
          <w:tcPr>
            <w:tcW w:type="dxa" w:w="2448"/>
            <w:shd w:fill="1F4E78"/>
            <w:vAlign w:val="center"/>
            <w:tcMar>
              <w:top w:w="100" w:type="dxa"/>
              <w:start w:w="110" w:type="dxa"/>
              <w:bottom w:w="100" w:type="dxa"/>
              <w:end w:w="110" w:type="dxa"/>
            </w:tcMar>
          </w:tcPr>
          <w:p>
            <w:r>
              <w:rPr>
                <w:b/>
                <w:color w:val="FFFFFF"/>
                <w:sz w:val="18"/>
              </w:rPr>
              <w:t>Stage</w:t>
            </w:r>
          </w:p>
        </w:tc>
        <w:tc>
          <w:tcPr>
            <w:tcW w:type="dxa" w:w="1800"/>
            <w:shd w:fill="1F4E78"/>
            <w:vAlign w:val="center"/>
            <w:tcMar>
              <w:top w:w="100" w:type="dxa"/>
              <w:start w:w="110" w:type="dxa"/>
              <w:bottom w:w="100" w:type="dxa"/>
              <w:end w:w="110" w:type="dxa"/>
            </w:tcMar>
          </w:tcPr>
          <w:p>
            <w:r>
              <w:rPr>
                <w:b/>
                <w:color w:val="FFFFFF"/>
                <w:sz w:val="18"/>
              </w:rPr>
              <w:t>Duration guide</w:t>
            </w:r>
          </w:p>
        </w:tc>
        <w:tc>
          <w:tcPr>
            <w:tcW w:type="dxa" w:w="6120"/>
            <w:shd w:fill="1F4E78"/>
            <w:vAlign w:val="center"/>
            <w:tcMar>
              <w:top w:w="100" w:type="dxa"/>
              <w:start w:w="110" w:type="dxa"/>
              <w:bottom w:w="100" w:type="dxa"/>
              <w:end w:w="110" w:type="dxa"/>
            </w:tcMar>
          </w:tcPr>
          <w:p>
            <w:r>
              <w:rPr>
                <w:b/>
                <w:color w:val="FFFFFF"/>
                <w:sz w:val="18"/>
              </w:rPr>
              <w:t>Exit criterion</w:t>
            </w:r>
          </w:p>
        </w:tc>
      </w:tr>
      <w:tr>
        <w:tc>
          <w:tcPr>
            <w:tcW w:type="dxa" w:w="2448"/>
            <w:vAlign w:val="center"/>
            <w:tcMar>
              <w:top w:w="100" w:type="dxa"/>
              <w:start w:w="110" w:type="dxa"/>
              <w:bottom w:w="100" w:type="dxa"/>
              <w:end w:w="110" w:type="dxa"/>
            </w:tcMar>
          </w:tcPr>
          <w:p>
            <w:pPr>
              <w:spacing w:after="0"/>
            </w:pPr>
            <w:r>
              <w:rPr>
                <w:sz w:val="17"/>
              </w:rPr>
              <w:t>Discovery and sizing</w:t>
            </w:r>
          </w:p>
        </w:tc>
        <w:tc>
          <w:tcPr>
            <w:tcW w:type="dxa" w:w="1800"/>
            <w:vAlign w:val="center"/>
            <w:tcMar>
              <w:top w:w="100" w:type="dxa"/>
              <w:start w:w="110" w:type="dxa"/>
              <w:bottom w:w="100" w:type="dxa"/>
              <w:end w:w="110" w:type="dxa"/>
            </w:tcMar>
          </w:tcPr>
          <w:p>
            <w:pPr>
              <w:spacing w:after="0"/>
            </w:pPr>
            <w:r>
              <w:rPr>
                <w:sz w:val="17"/>
              </w:rPr>
              <w:t>2–4 weeks</w:t>
            </w:r>
          </w:p>
        </w:tc>
        <w:tc>
          <w:tcPr>
            <w:tcW w:type="dxa" w:w="6120"/>
            <w:vAlign w:val="center"/>
            <w:tcMar>
              <w:top w:w="100" w:type="dxa"/>
              <w:start w:w="110" w:type="dxa"/>
              <w:bottom w:w="100" w:type="dxa"/>
              <w:end w:w="110" w:type="dxa"/>
            </w:tcMar>
          </w:tcPr>
          <w:p>
            <w:pPr>
              <w:spacing w:after="0"/>
            </w:pPr>
            <w:r>
              <w:rPr>
                <w:sz w:val="17"/>
              </w:rPr>
              <w:t>Approved requirements, model benchmark, BOM, IP plan, data classification and recovery targets</w:t>
            </w:r>
          </w:p>
        </w:tc>
      </w:tr>
      <w:tr>
        <w:tc>
          <w:tcPr>
            <w:tcW w:type="dxa" w:w="2448"/>
            <w:vAlign w:val="center"/>
            <w:shd w:fill="EAF2F8"/>
            <w:tcMar>
              <w:top w:w="100" w:type="dxa"/>
              <w:start w:w="110" w:type="dxa"/>
              <w:bottom w:w="100" w:type="dxa"/>
              <w:end w:w="110" w:type="dxa"/>
            </w:tcMar>
          </w:tcPr>
          <w:p>
            <w:pPr>
              <w:spacing w:after="0"/>
            </w:pPr>
            <w:r>
              <w:rPr>
                <w:sz w:val="17"/>
              </w:rPr>
              <w:t>Facilities and procurement</w:t>
            </w:r>
          </w:p>
        </w:tc>
        <w:tc>
          <w:tcPr>
            <w:tcW w:type="dxa" w:w="1800"/>
            <w:vAlign w:val="center"/>
            <w:shd w:fill="EAF2F8"/>
            <w:tcMar>
              <w:top w:w="100" w:type="dxa"/>
              <w:start w:w="110" w:type="dxa"/>
              <w:bottom w:w="100" w:type="dxa"/>
              <w:end w:w="110" w:type="dxa"/>
            </w:tcMar>
          </w:tcPr>
          <w:p>
            <w:pPr>
              <w:spacing w:after="0"/>
            </w:pPr>
            <w:r>
              <w:rPr>
                <w:sz w:val="17"/>
              </w:rPr>
              <w:t>4–12 weeks</w:t>
            </w:r>
          </w:p>
        </w:tc>
        <w:tc>
          <w:tcPr>
            <w:tcW w:type="dxa" w:w="6120"/>
            <w:vAlign w:val="center"/>
            <w:shd w:fill="EAF2F8"/>
            <w:tcMar>
              <w:top w:w="100" w:type="dxa"/>
              <w:start w:w="110" w:type="dxa"/>
              <w:bottom w:w="100" w:type="dxa"/>
              <w:end w:w="110" w:type="dxa"/>
            </w:tcMar>
          </w:tcPr>
          <w:p>
            <w:pPr>
              <w:spacing w:after="0"/>
            </w:pPr>
            <w:r>
              <w:rPr>
                <w:sz w:val="17"/>
              </w:rPr>
              <w:t>Rack, power, cooling, warranties, spares and equipment accepted</w:t>
            </w:r>
          </w:p>
        </w:tc>
      </w:tr>
      <w:tr>
        <w:tc>
          <w:tcPr>
            <w:tcW w:type="dxa" w:w="2448"/>
            <w:vAlign w:val="center"/>
            <w:tcMar>
              <w:top w:w="100" w:type="dxa"/>
              <w:start w:w="110" w:type="dxa"/>
              <w:bottom w:w="100" w:type="dxa"/>
              <w:end w:w="110" w:type="dxa"/>
            </w:tcMar>
          </w:tcPr>
          <w:p>
            <w:pPr>
              <w:spacing w:after="0"/>
            </w:pPr>
            <w:r>
              <w:rPr>
                <w:sz w:val="17"/>
              </w:rPr>
              <w:t>Core build</w:t>
            </w:r>
          </w:p>
        </w:tc>
        <w:tc>
          <w:tcPr>
            <w:tcW w:type="dxa" w:w="1800"/>
            <w:vAlign w:val="center"/>
            <w:tcMar>
              <w:top w:w="100" w:type="dxa"/>
              <w:start w:w="110" w:type="dxa"/>
              <w:bottom w:w="100" w:type="dxa"/>
              <w:end w:w="110" w:type="dxa"/>
            </w:tcMar>
          </w:tcPr>
          <w:p>
            <w:pPr>
              <w:spacing w:after="0"/>
            </w:pPr>
            <w:r>
              <w:rPr>
                <w:sz w:val="17"/>
              </w:rPr>
              <w:t>2–4 weeks</w:t>
            </w:r>
          </w:p>
        </w:tc>
        <w:tc>
          <w:tcPr>
            <w:tcW w:type="dxa" w:w="6120"/>
            <w:vAlign w:val="center"/>
            <w:tcMar>
              <w:top w:w="100" w:type="dxa"/>
              <w:start w:w="110" w:type="dxa"/>
              <w:bottom w:w="100" w:type="dxa"/>
              <w:end w:w="110" w:type="dxa"/>
            </w:tcMar>
          </w:tcPr>
          <w:p>
            <w:pPr>
              <w:spacing w:after="0"/>
            </w:pPr>
            <w:r>
              <w:rPr>
                <w:sz w:val="17"/>
              </w:rPr>
              <w:t>Network, cluster, storage, backup, identity and monitoring pass tests</w:t>
            </w:r>
          </w:p>
        </w:tc>
      </w:tr>
      <w:tr>
        <w:tc>
          <w:tcPr>
            <w:tcW w:type="dxa" w:w="2448"/>
            <w:vAlign w:val="center"/>
            <w:shd w:fill="EAF2F8"/>
            <w:tcMar>
              <w:top w:w="100" w:type="dxa"/>
              <w:start w:w="110" w:type="dxa"/>
              <w:bottom w:w="100" w:type="dxa"/>
              <w:end w:w="110" w:type="dxa"/>
            </w:tcMar>
          </w:tcPr>
          <w:p>
            <w:pPr>
              <w:spacing w:after="0"/>
            </w:pPr>
            <w:r>
              <w:rPr>
                <w:sz w:val="17"/>
              </w:rPr>
              <w:t>Platform build</w:t>
            </w:r>
          </w:p>
        </w:tc>
        <w:tc>
          <w:tcPr>
            <w:tcW w:type="dxa" w:w="1800"/>
            <w:vAlign w:val="center"/>
            <w:shd w:fill="EAF2F8"/>
            <w:tcMar>
              <w:top w:w="100" w:type="dxa"/>
              <w:start w:w="110" w:type="dxa"/>
              <w:bottom w:w="100" w:type="dxa"/>
              <w:end w:w="110" w:type="dxa"/>
            </w:tcMar>
          </w:tcPr>
          <w:p>
            <w:pPr>
              <w:spacing w:after="0"/>
            </w:pPr>
            <w:r>
              <w:rPr>
                <w:sz w:val="17"/>
              </w:rPr>
              <w:t>2–4 weeks</w:t>
            </w:r>
          </w:p>
        </w:tc>
        <w:tc>
          <w:tcPr>
            <w:tcW w:type="dxa" w:w="6120"/>
            <w:vAlign w:val="center"/>
            <w:shd w:fill="EAF2F8"/>
            <w:tcMar>
              <w:top w:w="100" w:type="dxa"/>
              <w:start w:w="110" w:type="dxa"/>
              <w:bottom w:w="100" w:type="dxa"/>
              <w:end w:w="110" w:type="dxa"/>
            </w:tcMar>
          </w:tcPr>
          <w:p>
            <w:pPr>
              <w:spacing w:after="0"/>
            </w:pPr>
            <w:r>
              <w:rPr>
                <w:sz w:val="17"/>
              </w:rPr>
              <w:t>Git, runners, app hosting, database, reverse proxy and AI gateway pass security review</w:t>
            </w:r>
          </w:p>
        </w:tc>
      </w:tr>
      <w:tr>
        <w:tc>
          <w:tcPr>
            <w:tcW w:type="dxa" w:w="2448"/>
            <w:vAlign w:val="center"/>
            <w:tcMar>
              <w:top w:w="100" w:type="dxa"/>
              <w:start w:w="110" w:type="dxa"/>
              <w:bottom w:w="100" w:type="dxa"/>
              <w:end w:w="110" w:type="dxa"/>
            </w:tcMar>
          </w:tcPr>
          <w:p>
            <w:pPr>
              <w:spacing w:after="0"/>
            </w:pPr>
            <w:r>
              <w:rPr>
                <w:sz w:val="17"/>
              </w:rPr>
              <w:t>Pilot</w:t>
            </w:r>
          </w:p>
        </w:tc>
        <w:tc>
          <w:tcPr>
            <w:tcW w:type="dxa" w:w="1800"/>
            <w:vAlign w:val="center"/>
            <w:tcMar>
              <w:top w:w="100" w:type="dxa"/>
              <w:start w:w="110" w:type="dxa"/>
              <w:bottom w:w="100" w:type="dxa"/>
              <w:end w:w="110" w:type="dxa"/>
            </w:tcMar>
          </w:tcPr>
          <w:p>
            <w:pPr>
              <w:spacing w:after="0"/>
            </w:pPr>
            <w:r>
              <w:rPr>
                <w:sz w:val="17"/>
              </w:rPr>
              <w:t>4–6 weeks</w:t>
            </w:r>
          </w:p>
        </w:tc>
        <w:tc>
          <w:tcPr>
            <w:tcW w:type="dxa" w:w="6120"/>
            <w:vAlign w:val="center"/>
            <w:tcMar>
              <w:top w:w="100" w:type="dxa"/>
              <w:start w:w="110" w:type="dxa"/>
              <w:bottom w:w="100" w:type="dxa"/>
              <w:end w:w="110" w:type="dxa"/>
            </w:tcMar>
          </w:tcPr>
          <w:p>
            <w:pPr>
              <w:spacing w:after="0"/>
            </w:pPr>
            <w:r>
              <w:rPr>
                <w:sz w:val="17"/>
              </w:rPr>
              <w:t>One department and a small student cohort complete functional and recovery testing</w:t>
            </w:r>
          </w:p>
        </w:tc>
      </w:tr>
      <w:tr>
        <w:tc>
          <w:tcPr>
            <w:tcW w:type="dxa" w:w="2448"/>
            <w:vAlign w:val="center"/>
            <w:shd w:fill="EAF2F8"/>
            <w:tcMar>
              <w:top w:w="100" w:type="dxa"/>
              <w:start w:w="110" w:type="dxa"/>
              <w:bottom w:w="100" w:type="dxa"/>
              <w:end w:w="110" w:type="dxa"/>
            </w:tcMar>
          </w:tcPr>
          <w:p>
            <w:pPr>
              <w:spacing w:after="0"/>
            </w:pPr>
            <w:r>
              <w:rPr>
                <w:sz w:val="17"/>
              </w:rPr>
              <w:t>Production rollout</w:t>
            </w:r>
          </w:p>
        </w:tc>
        <w:tc>
          <w:tcPr>
            <w:tcW w:type="dxa" w:w="1800"/>
            <w:vAlign w:val="center"/>
            <w:shd w:fill="EAF2F8"/>
            <w:tcMar>
              <w:top w:w="100" w:type="dxa"/>
              <w:start w:w="110" w:type="dxa"/>
              <w:bottom w:w="100" w:type="dxa"/>
              <w:end w:w="110" w:type="dxa"/>
            </w:tcMar>
          </w:tcPr>
          <w:p>
            <w:pPr>
              <w:spacing w:after="0"/>
            </w:pPr>
            <w:r>
              <w:rPr>
                <w:sz w:val="17"/>
              </w:rPr>
              <w:t>2–4 weeks</w:t>
            </w:r>
          </w:p>
        </w:tc>
        <w:tc>
          <w:tcPr>
            <w:tcW w:type="dxa" w:w="6120"/>
            <w:vAlign w:val="center"/>
            <w:shd w:fill="EAF2F8"/>
            <w:tcMar>
              <w:top w:w="100" w:type="dxa"/>
              <w:start w:w="110" w:type="dxa"/>
              <w:bottom w:w="100" w:type="dxa"/>
              <w:end w:w="110" w:type="dxa"/>
            </w:tcMar>
          </w:tcPr>
          <w:p>
            <w:pPr>
              <w:spacing w:after="0"/>
            </w:pPr>
            <w:r>
              <w:rPr>
                <w:sz w:val="17"/>
              </w:rPr>
              <w:t>Training, support, ownership and rollback are confirmed</w:t>
            </w:r>
          </w:p>
        </w:tc>
      </w:tr>
      <w:tr>
        <w:tc>
          <w:tcPr>
            <w:tcW w:type="dxa" w:w="2448"/>
            <w:vAlign w:val="center"/>
            <w:tcMar>
              <w:top w:w="100" w:type="dxa"/>
              <w:start w:w="110" w:type="dxa"/>
              <w:bottom w:w="100" w:type="dxa"/>
              <w:end w:w="110" w:type="dxa"/>
            </w:tcMar>
          </w:tcPr>
          <w:p>
            <w:pPr>
              <w:spacing w:after="0"/>
            </w:pPr>
            <w:r>
              <w:rPr>
                <w:sz w:val="17"/>
              </w:rPr>
              <w:t>Optimization</w:t>
            </w:r>
          </w:p>
        </w:tc>
        <w:tc>
          <w:tcPr>
            <w:tcW w:type="dxa" w:w="1800"/>
            <w:vAlign w:val="center"/>
            <w:tcMar>
              <w:top w:w="100" w:type="dxa"/>
              <w:start w:w="110" w:type="dxa"/>
              <w:bottom w:w="100" w:type="dxa"/>
              <w:end w:w="110" w:type="dxa"/>
            </w:tcMar>
          </w:tcPr>
          <w:p>
            <w:pPr>
              <w:spacing w:after="0"/>
            </w:pPr>
            <w:r>
              <w:rPr>
                <w:sz w:val="17"/>
              </w:rPr>
              <w:t>Ongoing</w:t>
            </w:r>
          </w:p>
        </w:tc>
        <w:tc>
          <w:tcPr>
            <w:tcW w:type="dxa" w:w="6120"/>
            <w:vAlign w:val="center"/>
            <w:tcMar>
              <w:top w:w="100" w:type="dxa"/>
              <w:start w:w="110" w:type="dxa"/>
              <w:bottom w:w="100" w:type="dxa"/>
              <w:end w:w="110" w:type="dxa"/>
            </w:tcMar>
          </w:tcPr>
          <w:p>
            <w:pPr>
              <w:spacing w:after="0"/>
            </w:pPr>
            <w:r>
              <w:rPr>
                <w:sz w:val="17"/>
              </w:rPr>
              <w:t>Capacity, model, cost, usability and controls are measured and improved</w:t>
            </w:r>
          </w:p>
        </w:tc>
      </w:tr>
    </w:tbl>
    <w:p>
      <w:pPr>
        <w:spacing w:after="40"/>
      </w:pPr>
    </w:p>
    <w:p>
      <w:pPr>
        <w:pStyle w:val="Heading1"/>
      </w:pPr>
      <w:r>
        <w:t>11 Common mistakes to avoid</w:t>
      </w:r>
    </w:p>
    <w:p>
      <w:pPr>
        <w:pStyle w:val="ListBullet"/>
      </w:pPr>
      <w:r>
        <w:t>Putting school administration, student experiments, cameras, and AI on one flat network.</w:t>
      </w:r>
    </w:p>
    <w:p>
      <w:pPr>
        <w:pStyle w:val="ListBullet"/>
      </w:pPr>
      <w:r>
        <w:t>Buying the most expensive GPU before benchmarking the real model and concurrent load.</w:t>
      </w:r>
    </w:p>
    <w:p>
      <w:pPr>
        <w:pStyle w:val="ListBullet"/>
      </w:pPr>
      <w:r>
        <w:t>Treating RAID, replication, or snapshots as a complete backup strategy.</w:t>
      </w:r>
    </w:p>
    <w:p>
      <w:pPr>
        <w:pStyle w:val="ListBullet"/>
      </w:pPr>
      <w:r>
        <w:t>Running every service directly on the hypervisor or exposing management consoles to the internet.</w:t>
      </w:r>
    </w:p>
    <w:p>
      <w:pPr>
        <w:pStyle w:val="ListBullet"/>
      </w:pPr>
      <w:r>
        <w:t>Giving CI runners permanent production secrets or broad network access.</w:t>
      </w:r>
    </w:p>
    <w:p>
      <w:pPr>
        <w:pStyle w:val="ListBullet"/>
      </w:pPr>
      <w:r>
        <w:t>Letting an AI system continuously learn from unreviewed user input; this creates quality, privacy, and poisoning risks.</w:t>
      </w:r>
    </w:p>
    <w:p>
      <w:pPr>
        <w:pStyle w:val="ListBullet"/>
      </w:pPr>
      <w:r>
        <w:t>Adopting Kubernetes before the staff can securely operate simpler VMs and containers.</w:t>
      </w:r>
    </w:p>
    <w:p>
      <w:pPr>
        <w:pStyle w:val="ListBullet"/>
      </w:pPr>
      <w:r>
        <w:t>Ignoring power, cooling, warranty, spare drives, cable labeling, documentation, and restore drills.</w:t>
      </w:r>
    </w:p>
    <w:p>
      <w:pPr>
        <w:pStyle w:val="Heading1"/>
      </w:pPr>
      <w:r>
        <w:t>12 Information needed for final engineering</w:t>
      </w:r>
    </w:p>
    <w:p>
      <w:r>
        <w:t>This reference design becomes a purchase-ready low-level design only after the school supplies the following:</w:t>
      </w:r>
    </w:p>
    <w:p>
      <w:pPr>
        <w:pStyle w:val="ListBullet"/>
      </w:pPr>
      <w:r>
        <w:t>Student, teacher, staff, and concurrent-user counts; number of campuses and WAN links.</w:t>
      </w:r>
    </w:p>
    <w:p>
      <w:pPr>
        <w:pStyle w:val="ListBullet"/>
      </w:pPr>
      <w:r>
        <w:t>List of web applications, LMS, student information system, directory, camera count, and expected peak traffic.</w:t>
      </w:r>
    </w:p>
    <w:p>
      <w:pPr>
        <w:pStyle w:val="ListBullet"/>
      </w:pPr>
      <w:r>
        <w:t>AI models, languages, context size, target response time, concurrent sessions, vision or speech requirements, and whether any fine-tuning is planned.</w:t>
      </w:r>
    </w:p>
    <w:p>
      <w:pPr>
        <w:pStyle w:val="ListBullet"/>
      </w:pPr>
      <w:r>
        <w:t>Current dataset size, annual growth, retention, privacy classification, and allowed off-site backup locations.</w:t>
      </w:r>
    </w:p>
    <w:p>
      <w:pPr>
        <w:pStyle w:val="ListBullet"/>
      </w:pPr>
      <w:r>
        <w:t>Required uptime, recovery time, recovery point, budget, local vendors, warranty expectations, electricity cost, rack capacity, and cooling capacity.</w:t>
      </w:r>
    </w:p>
    <w:p>
      <w:pPr>
        <w:pStyle w:val="ListBullet"/>
      </w:pPr>
      <w:r>
        <w:t>Existing network, identity provider, domain names, certificates, licenses, IT staffing, and operational skill level.</w:t>
      </w:r>
    </w:p>
    <w:p>
      <w:pPr>
        <w:pStyle w:val="Heading1"/>
      </w:pPr>
      <w:r>
        <w:t>Official implementation references</w:t>
      </w:r>
    </w:p>
    <w:p>
      <w:pPr>
        <w:pStyle w:val="ListBullet"/>
      </w:pPr>
      <w:r>
        <w:rPr>
          <w:b/>
        </w:rPr>
        <w:t xml:space="preserve">Proxmox VE documentation: </w:t>
      </w:r>
      <w:r>
        <w:t>https://pve.proxmox.com/pve-docs/</w:t>
      </w:r>
    </w:p>
    <w:p>
      <w:pPr>
        <w:pStyle w:val="ListBullet"/>
      </w:pPr>
      <w:r>
        <w:rPr>
          <w:b/>
        </w:rPr>
        <w:t xml:space="preserve">Proxmox Backup Server documentation: </w:t>
      </w:r>
      <w:r>
        <w:t>https://pbs.proxmox.com/docs/</w:t>
      </w:r>
    </w:p>
    <w:p>
      <w:pPr>
        <w:pStyle w:val="ListBullet"/>
      </w:pPr>
      <w:r>
        <w:rPr>
          <w:b/>
        </w:rPr>
        <w:t xml:space="preserve">NVIDIA Container Toolkit install guide: </w:t>
      </w:r>
      <w:r>
        <w:t>https://docs.nvidia.com/datacenter/cloud-native/container-toolkit/latest/install-guide.html</w:t>
      </w:r>
    </w:p>
    <w:p>
      <w:pPr>
        <w:pStyle w:val="ListBullet"/>
      </w:pPr>
      <w:r>
        <w:rPr>
          <w:b/>
        </w:rPr>
        <w:t xml:space="preserve">Docker Engine installation documentation: </w:t>
      </w:r>
      <w:r>
        <w:t>https://docs.docker.com/engine/install/</w:t>
      </w:r>
    </w:p>
    <w:p>
      <w:pPr>
        <w:pStyle w:val="ListBullet"/>
      </w:pPr>
      <w:r>
        <w:rPr>
          <w:b/>
        </w:rPr>
        <w:t xml:space="preserve">K3s documentation for an optional later phase: </w:t>
      </w:r>
      <w:r>
        <w:t>https://docs.k3s.io/</w:t>
      </w:r>
    </w:p>
    <w:p>
      <w:pPr>
        <w:pStyle w:val="ListBullet"/>
      </w:pPr>
      <w:r>
        <w:rPr>
          <w:b/>
        </w:rPr>
        <w:t xml:space="preserve">PostgreSQL documentation: </w:t>
      </w:r>
      <w:r>
        <w:t>https://www.postgresql.org/docs/</w:t>
      </w:r>
    </w:p>
    <w:p>
      <w:pPr>
        <w:pStyle w:val="ListBullet"/>
      </w:pPr>
      <w:r>
        <w:rPr>
          <w:b/>
        </w:rPr>
        <w:t xml:space="preserve">Ubuntu Server documentation: </w:t>
      </w:r>
      <w:r>
        <w:t>https://documentation.ubuntu.com/server/</w:t>
      </w:r>
    </w:p>
    <w:p>
      <w:pPr>
        <w:pStyle w:val="ListBullet"/>
      </w:pPr>
      <w:r>
        <w:rPr>
          <w:b/>
        </w:rPr>
        <w:t xml:space="preserve">CIS Benchmarks: </w:t>
      </w:r>
      <w:r>
        <w:t>https://www.cisecurity.org/cis-benchmarks</w:t>
      </w:r>
    </w:p>
    <w:p>
      <w:r>
        <w:t>Use the documentation matching the exact installed release. Commands and supported combinations change over time; verify them in a staging environment before production rollout.</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Smart School Server Design and Installation Guide • Reference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after="140"/>
      <w:ind w:lef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School Server Design and Installation Guide</dc:title>
  <dc:subject>On-premises private cloud, AI platform, and web application hosting for schools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