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8F71"/>
          <w:sz w:val="18"/>
          <w:szCs w:val="18"/>
        </w:rPr>
        <w:t xml:space="preserve">PAEI 2026  |  Gehmit</w:t>
      </w:r>
    </w:p>
    <w:p>
      <w:pPr>
        <w:spacing w:after="60"/>
      </w:pPr>
      <w:r>
        <w:rPr>
          <w:b/>
          <w:bCs/>
          <w:color w:val="1B2E22"/>
          <w:sz w:val="20"/>
          <w:szCs w:val="20"/>
        </w:rPr>
        <w:t xml:space="preserve">SÉANCE 4 — LIVRABLE</w:t>
      </w:r>
    </w:p>
    <w:p>
      <w:pPr>
        <w:pStyle w:val="Title"/>
        <w:spacing w:after="80"/>
      </w:pPr>
      <w:r>
        <w:rPr>
          <w:b/>
          <w:bCs/>
          <w:color w:val="1B2E22"/>
          <w:sz w:val="40"/>
          <w:szCs w:val="40"/>
        </w:rPr>
        <w:t xml:space="preserve">Journal de nettoyage des données</w:t>
      </w:r>
    </w:p>
    <w:p>
      <w:pPr>
        <w:spacing w:after="300"/>
      </w:pPr>
      <w:r>
        <w:rPr>
          <w:i/>
          <w:iCs/>
          <w:color w:val="444444"/>
          <w:sz w:val="24"/>
          <w:szCs w:val="24"/>
        </w:rPr>
        <w:t xml:space="preserve">Chaque règle appliquée, avec sa justification</w:t>
      </w:r>
    </w:p>
    <w:p>
      <w:pPr>
        <w:pBdr>
          <w:bottom w:val="single" w:color="1B2E22" w:sz="6" w:space="1"/>
        </w:pBdr>
        <w:spacing w:after="300"/>
      </w:pPr>
      <w:r>
        <w:t xml:space="preserve"/>
      </w:r>
    </w:p>
    <w:p>
      <w:pPr>
        <w:pStyle w:val="Heading1"/>
        <w:spacing w:after="160" w:before="320"/>
      </w:pPr>
      <w:r>
        <w:rPr>
          <w:b/>
          <w:bCs/>
          <w:color w:val="1B2E22"/>
          <w:sz w:val="30"/>
          <w:szCs w:val="30"/>
        </w:rPr>
        <w:t xml:space="preserve">1. Méthode</w:t>
      </w:r>
    </w:p>
    <w:p>
      <w:pPr>
        <w:spacing w:after="160" w:line="300"/>
      </w:pPr>
      <w:r>
        <w:rPr>
          <w:sz w:val="21"/>
          <w:szCs w:val="21"/>
        </w:rPr>
        <w:t xml:space="preserve">Conformément à la recommandation de S3 (« vérifier la qualité et la représentativité de l'échantillon ») et à celle de S4 (« documenter chaque règle de nettoyage appliquée »), six règles de contrôle ont été appliquées systématiquement sur l'ensemble des 255 347 lignes. Pour chaque règle : le résultat du contrôle, la décision prise, et sa justification.</w:t>
      </w:r>
    </w:p>
    <w:p>
      <w:pPr>
        <w:pStyle w:val="Heading1"/>
        <w:spacing w:after="160" w:before="320"/>
      </w:pPr>
      <w:r>
        <w:rPr>
          <w:b/>
          <w:bCs/>
          <w:color w:val="1B2E22"/>
          <w:sz w:val="30"/>
          <w:szCs w:val="30"/>
        </w:rPr>
        <w:t xml:space="preserve">2. Règles appliquées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400"/>
      </w:tblGrid>
      <w:tr>
        <w:tc>
          <w:tcPr>
            <w:tcW w:type="dxa" w:w="2900"/>
            <w:shd w:fill="1B2E22" w:val="clear"/>
            <w:tcMar>
              <w:top w:type="dxa" w:w="90"/>
              <w:left w:type="dxa" w:w="110"/>
              <w:bottom w:type="dxa" w:w="90"/>
              <w:right w:type="dxa" w:w="110"/>
            </w:tcMar>
          </w:tcPr>
          <w:p>
            <w:r>
              <w:rPr>
                <w:b/>
                <w:bCs/>
                <w:color w:val="FFFFFF"/>
                <w:sz w:val="19"/>
                <w:szCs w:val="19"/>
              </w:rPr>
              <w:t xml:space="preserve">Règle de contrôle</w:t>
            </w:r>
          </w:p>
        </w:tc>
        <w:tc>
          <w:tcPr>
            <w:tcW w:type="dxa" w:w="1900"/>
            <w:shd w:fill="1B2E22" w:val="clear"/>
            <w:tcMar>
              <w:top w:type="dxa" w:w="90"/>
              <w:left w:type="dxa" w:w="110"/>
              <w:bottom w:type="dxa" w:w="90"/>
              <w:right w:type="dxa" w:w="110"/>
            </w:tcMar>
          </w:tcPr>
          <w:p>
            <w:r>
              <w:rPr>
                <w:b w:val="false"/>
                <w:bCs w:val="false"/>
                <w:color w:val="FFFFFF"/>
                <w:sz w:val="19"/>
                <w:szCs w:val="19"/>
              </w:rPr>
              <w:t xml:space="preserve">Résultat</w:t>
            </w:r>
          </w:p>
        </w:tc>
        <w:tc>
          <w:tcPr>
            <w:tcW w:type="dxa" w:w="4400"/>
            <w:shd w:fill="1B2E22" w:val="clear"/>
            <w:tcMar>
              <w:top w:type="dxa" w:w="90"/>
              <w:left w:type="dxa" w:w="110"/>
              <w:bottom w:type="dxa" w:w="90"/>
              <w:right w:type="dxa" w:w="110"/>
            </w:tcMar>
          </w:tcPr>
          <w:p>
            <w:r>
              <w:rPr>
                <w:b w:val="false"/>
                <w:bCs w:val="false"/>
                <w:color w:val="FFFFFF"/>
                <w:sz w:val="19"/>
                <w:szCs w:val="19"/>
              </w:rPr>
              <w:t xml:space="preserve">Décision</w:t>
            </w:r>
          </w:p>
        </w:tc>
      </w:tr>
      <w:tr>
        <w:tc>
          <w:tcPr>
            <w:tcW w:type="dxa" w:w="2900"/>
            <w:shd w:fill="FFFFFF" w:val="clear"/>
            <w:tcMar>
              <w:top w:type="dxa" w:w="90"/>
              <w:left w:type="dxa" w:w="110"/>
              <w:bottom w:type="dxa" w:w="90"/>
              <w:right w:type="dxa" w:w="110"/>
            </w:tcMar>
          </w:tcPr>
          <w:p>
            <w:r>
              <w:rPr>
                <w:b/>
                <w:bCs/>
                <w:color w:val="000000"/>
                <w:sz w:val="19"/>
                <w:szCs w:val="19"/>
              </w:rPr>
              <w:t xml:space="preserve">Doublons (lignes complètes)</w:t>
            </w:r>
          </w:p>
        </w:tc>
        <w:tc>
          <w:tcPr>
            <w:tcW w:type="dxa" w:w="1900"/>
            <w:shd w:fill="FFFFFF" w:val="clear"/>
            <w:tcMar>
              <w:top w:type="dxa" w:w="90"/>
              <w:left w:type="dxa" w:w="110"/>
              <w:bottom w:type="dxa" w:w="90"/>
              <w:right w:type="dxa" w:w="110"/>
            </w:tcMar>
          </w:tcPr>
          <w:p>
            <w:r>
              <w:rPr>
                <w:b w:val="false"/>
                <w:bCs w:val="false"/>
                <w:color w:val="000000"/>
                <w:sz w:val="19"/>
                <w:szCs w:val="19"/>
              </w:rPr>
              <w:t xml:space="preserve">0</w:t>
            </w:r>
          </w:p>
        </w:tc>
        <w:tc>
          <w:tcPr>
            <w:tcW w:type="dxa" w:w="4400"/>
            <w:shd w:fill="FFFFFF" w:val="clear"/>
            <w:tcMar>
              <w:top w:type="dxa" w:w="90"/>
              <w:left w:type="dxa" w:w="110"/>
              <w:bottom w:type="dxa" w:w="90"/>
              <w:right w:type="dxa" w:w="110"/>
            </w:tcMar>
          </w:tcPr>
          <w:p>
            <w:r>
              <w:rPr>
                <w:b w:val="false"/>
                <w:bCs w:val="false"/>
                <w:color w:val="000000"/>
                <w:sz w:val="19"/>
                <w:szCs w:val="19"/>
              </w:rPr>
              <w:t xml:space="preserve">Aucune suppression nécessaire</w:t>
            </w:r>
          </w:p>
        </w:tc>
      </w:tr>
      <w:tr>
        <w:tc>
          <w:tcPr>
            <w:tcW w:type="dxa" w:w="2900"/>
            <w:shd w:fill="FFFFFF" w:val="clear"/>
            <w:tcMar>
              <w:top w:type="dxa" w:w="90"/>
              <w:left w:type="dxa" w:w="110"/>
              <w:bottom w:type="dxa" w:w="90"/>
              <w:right w:type="dxa" w:w="110"/>
            </w:tcMar>
          </w:tcPr>
          <w:p>
            <w:r>
              <w:rPr>
                <w:b/>
                <w:bCs/>
                <w:color w:val="000000"/>
                <w:sz w:val="19"/>
                <w:szCs w:val="19"/>
              </w:rPr>
              <w:t xml:space="preserve">Doublons (LoanID)</w:t>
            </w:r>
          </w:p>
        </w:tc>
        <w:tc>
          <w:tcPr>
            <w:tcW w:type="dxa" w:w="1900"/>
            <w:shd w:fill="FFFFFF" w:val="clear"/>
            <w:tcMar>
              <w:top w:type="dxa" w:w="90"/>
              <w:left w:type="dxa" w:w="110"/>
              <w:bottom w:type="dxa" w:w="90"/>
              <w:right w:type="dxa" w:w="110"/>
            </w:tcMar>
          </w:tcPr>
          <w:p>
            <w:r>
              <w:rPr>
                <w:b w:val="false"/>
                <w:bCs w:val="false"/>
                <w:color w:val="000000"/>
                <w:sz w:val="19"/>
                <w:szCs w:val="19"/>
              </w:rPr>
              <w:t xml:space="preserve">0</w:t>
            </w:r>
          </w:p>
        </w:tc>
        <w:tc>
          <w:tcPr>
            <w:tcW w:type="dxa" w:w="4400"/>
            <w:shd w:fill="FFFFFF" w:val="clear"/>
            <w:tcMar>
              <w:top w:type="dxa" w:w="90"/>
              <w:left w:type="dxa" w:w="110"/>
              <w:bottom w:type="dxa" w:w="90"/>
              <w:right w:type="dxa" w:w="110"/>
            </w:tcMar>
          </w:tcPr>
          <w:p>
            <w:r>
              <w:rPr>
                <w:b w:val="false"/>
                <w:bCs w:val="false"/>
                <w:color w:val="000000"/>
                <w:sz w:val="19"/>
                <w:szCs w:val="19"/>
              </w:rPr>
              <w:t xml:space="preserve">Aucune suppression nécessaire</w:t>
            </w:r>
          </w:p>
        </w:tc>
      </w:tr>
      <w:tr>
        <w:tc>
          <w:tcPr>
            <w:tcW w:type="dxa" w:w="2900"/>
            <w:shd w:fill="FFFFFF" w:val="clear"/>
            <w:tcMar>
              <w:top w:type="dxa" w:w="90"/>
              <w:left w:type="dxa" w:w="110"/>
              <w:bottom w:type="dxa" w:w="90"/>
              <w:right w:type="dxa" w:w="110"/>
            </w:tcMar>
          </w:tcPr>
          <w:p>
            <w:r>
              <w:rPr>
                <w:b/>
                <w:bCs/>
                <w:color w:val="000000"/>
                <w:sz w:val="19"/>
                <w:szCs w:val="19"/>
              </w:rPr>
              <w:t xml:space="preserve">Valeurs manquantes</w:t>
            </w:r>
          </w:p>
        </w:tc>
        <w:tc>
          <w:tcPr>
            <w:tcW w:type="dxa" w:w="1900"/>
            <w:shd w:fill="FFFFFF" w:val="clear"/>
            <w:tcMar>
              <w:top w:type="dxa" w:w="90"/>
              <w:left w:type="dxa" w:w="110"/>
              <w:bottom w:type="dxa" w:w="90"/>
              <w:right w:type="dxa" w:w="110"/>
            </w:tcMar>
          </w:tcPr>
          <w:p>
            <w:r>
              <w:rPr>
                <w:b w:val="false"/>
                <w:bCs w:val="false"/>
                <w:color w:val="000000"/>
                <w:sz w:val="19"/>
                <w:szCs w:val="19"/>
              </w:rPr>
              <w:t xml:space="preserve">0</w:t>
            </w:r>
          </w:p>
        </w:tc>
        <w:tc>
          <w:tcPr>
            <w:tcW w:type="dxa" w:w="4400"/>
            <w:shd w:fill="FFFFFF" w:val="clear"/>
            <w:tcMar>
              <w:top w:type="dxa" w:w="90"/>
              <w:left w:type="dxa" w:w="110"/>
              <w:bottom w:type="dxa" w:w="90"/>
              <w:right w:type="dxa" w:w="110"/>
            </w:tcMar>
          </w:tcPr>
          <w:p>
            <w:r>
              <w:rPr>
                <w:b w:val="false"/>
                <w:bCs w:val="false"/>
                <w:color w:val="000000"/>
                <w:sz w:val="19"/>
                <w:szCs w:val="19"/>
              </w:rPr>
              <w:t xml:space="preserve">Aucune imputation nécessaire</w:t>
            </w:r>
          </w:p>
        </w:tc>
      </w:tr>
      <w:tr>
        <w:tc>
          <w:tcPr>
            <w:tcW w:type="dxa" w:w="2900"/>
            <w:shd w:fill="FFFFFF" w:val="clear"/>
            <w:tcMar>
              <w:top w:type="dxa" w:w="90"/>
              <w:left w:type="dxa" w:w="110"/>
              <w:bottom w:type="dxa" w:w="90"/>
              <w:right w:type="dxa" w:w="110"/>
            </w:tcMar>
          </w:tcPr>
          <w:p>
            <w:r>
              <w:rPr>
                <w:b/>
                <w:bCs/>
                <w:color w:val="000000"/>
                <w:sz w:val="19"/>
                <w:szCs w:val="19"/>
              </w:rPr>
              <w:t xml:space="preserve">Valeurs hors bornes plausibles (Age 18-100, CreditScore 300-850, DTIRatio 0-1, InterestRate 0-100%...)</w:t>
            </w:r>
          </w:p>
        </w:tc>
        <w:tc>
          <w:tcPr>
            <w:tcW w:type="dxa" w:w="1900"/>
            <w:shd w:fill="FFFFFF" w:val="clear"/>
            <w:tcMar>
              <w:top w:type="dxa" w:w="90"/>
              <w:left w:type="dxa" w:w="110"/>
              <w:bottom w:type="dxa" w:w="90"/>
              <w:right w:type="dxa" w:w="110"/>
            </w:tcMar>
          </w:tcPr>
          <w:p>
            <w:r>
              <w:rPr>
                <w:b w:val="false"/>
                <w:bCs w:val="false"/>
                <w:color w:val="000000"/>
                <w:sz w:val="19"/>
                <w:szCs w:val="19"/>
              </w:rPr>
              <w:t xml:space="preserve">0</w:t>
            </w:r>
          </w:p>
        </w:tc>
        <w:tc>
          <w:tcPr>
            <w:tcW w:type="dxa" w:w="4400"/>
            <w:shd w:fill="FFFFFF" w:val="clear"/>
            <w:tcMar>
              <w:top w:type="dxa" w:w="90"/>
              <w:left w:type="dxa" w:w="110"/>
              <w:bottom w:type="dxa" w:w="90"/>
              <w:right w:type="dxa" w:w="110"/>
            </w:tcMar>
          </w:tcPr>
          <w:p>
            <w:r>
              <w:rPr>
                <w:b w:val="false"/>
                <w:bCs w:val="false"/>
                <w:color w:val="000000"/>
                <w:sz w:val="19"/>
                <w:szCs w:val="19"/>
              </w:rPr>
              <w:t xml:space="preserve">Aucune correction nécessaire</w:t>
            </w:r>
          </w:p>
        </w:tc>
      </w:tr>
      <w:tr>
        <w:tc>
          <w:tcPr>
            <w:tcW w:type="dxa" w:w="2900"/>
            <w:shd w:fill="FFFFFF" w:val="clear"/>
            <w:tcMar>
              <w:top w:type="dxa" w:w="90"/>
              <w:left w:type="dxa" w:w="110"/>
              <w:bottom w:type="dxa" w:w="90"/>
              <w:right w:type="dxa" w:w="110"/>
            </w:tcMar>
          </w:tcPr>
          <w:p>
            <w:r>
              <w:rPr>
                <w:b/>
                <w:bCs/>
                <w:color w:val="000000"/>
                <w:sz w:val="19"/>
                <w:szCs w:val="19"/>
              </w:rPr>
              <w:t xml:space="preserve">Casse / espaces parasites (variables catégorielles)</w:t>
            </w:r>
          </w:p>
        </w:tc>
        <w:tc>
          <w:tcPr>
            <w:tcW w:type="dxa" w:w="1900"/>
            <w:shd w:fill="FFFFFF" w:val="clear"/>
            <w:tcMar>
              <w:top w:type="dxa" w:w="90"/>
              <w:left w:type="dxa" w:w="110"/>
              <w:bottom w:type="dxa" w:w="90"/>
              <w:right w:type="dxa" w:w="110"/>
            </w:tcMar>
          </w:tcPr>
          <w:p>
            <w:r>
              <w:rPr>
                <w:b w:val="false"/>
                <w:bCs w:val="false"/>
                <w:color w:val="000000"/>
                <w:sz w:val="19"/>
                <w:szCs w:val="19"/>
              </w:rPr>
              <w:t xml:space="preserve">0</w:t>
            </w:r>
          </w:p>
        </w:tc>
        <w:tc>
          <w:tcPr>
            <w:tcW w:type="dxa" w:w="4400"/>
            <w:shd w:fill="FFFFFF" w:val="clear"/>
            <w:tcMar>
              <w:top w:type="dxa" w:w="90"/>
              <w:left w:type="dxa" w:w="110"/>
              <w:bottom w:type="dxa" w:w="90"/>
              <w:right w:type="dxa" w:w="110"/>
            </w:tcMar>
          </w:tcPr>
          <w:p>
            <w:r>
              <w:rPr>
                <w:b w:val="false"/>
                <w:bCs w:val="false"/>
                <w:color w:val="000000"/>
                <w:sz w:val="19"/>
                <w:szCs w:val="19"/>
              </w:rPr>
              <w:t xml:space="preserve">Aucune standardisation nécessaire</w:t>
            </w:r>
          </w:p>
        </w:tc>
      </w:tr>
      <w:tr>
        <w:tc>
          <w:tcPr>
            <w:tcW w:type="dxa" w:w="2900"/>
            <w:shd w:fill="FFFFFF" w:val="clear"/>
            <w:tcMar>
              <w:top w:type="dxa" w:w="90"/>
              <w:left w:type="dxa" w:w="110"/>
              <w:bottom w:type="dxa" w:w="90"/>
              <w:right w:type="dxa" w:w="110"/>
            </w:tcMar>
          </w:tcPr>
          <w:p>
            <w:r>
              <w:rPr>
                <w:b/>
                <w:bCs/>
                <w:color w:val="000000"/>
                <w:sz w:val="19"/>
                <w:szCs w:val="19"/>
              </w:rPr>
              <w:t xml:space="preserve">Cohérence Age / MonthsEmployed</w:t>
            </w:r>
          </w:p>
        </w:tc>
        <w:tc>
          <w:tcPr>
            <w:tcW w:type="dxa" w:w="1900"/>
            <w:shd w:fill="FFFFFF" w:val="clear"/>
            <w:tcMar>
              <w:top w:type="dxa" w:w="90"/>
              <w:left w:type="dxa" w:w="110"/>
              <w:bottom w:type="dxa" w:w="90"/>
              <w:right w:type="dxa" w:w="110"/>
            </w:tcMar>
          </w:tcPr>
          <w:p>
            <w:r>
              <w:rPr>
                <w:b w:val="false"/>
                <w:bCs w:val="false"/>
                <w:color w:val="000000"/>
                <w:sz w:val="19"/>
                <w:szCs w:val="19"/>
              </w:rPr>
              <w:t xml:space="preserve">17 274 lignes (6,76 %)</w:t>
            </w:r>
          </w:p>
        </w:tc>
        <w:tc>
          <w:tcPr>
            <w:tcW w:type="dxa" w:w="4400"/>
            <w:shd w:fill="FFFFFF" w:val="clear"/>
            <w:tcMar>
              <w:top w:type="dxa" w:w="90"/>
              <w:left w:type="dxa" w:w="110"/>
              <w:bottom w:type="dxa" w:w="90"/>
              <w:right w:type="dxa" w:w="110"/>
            </w:tcMar>
          </w:tcPr>
          <w:p>
            <w:r>
              <w:rPr>
                <w:b w:val="false"/>
                <w:bCs w:val="false"/>
                <w:color w:val="000000"/>
                <w:sz w:val="19"/>
                <w:szCs w:val="19"/>
              </w:rPr>
              <w:t xml:space="preserve">Conservées, indicateur ajouté (voir section 3)</w:t>
            </w:r>
          </w:p>
        </w:tc>
      </w:tr>
      <w:tr>
        <w:tc>
          <w:tcPr>
            <w:tcW w:type="dxa" w:w="2900"/>
            <w:shd w:fill="FFFFFF" w:val="clear"/>
            <w:tcMar>
              <w:top w:type="dxa" w:w="90"/>
              <w:left w:type="dxa" w:w="110"/>
              <w:bottom w:type="dxa" w:w="90"/>
              <w:right w:type="dxa" w:w="110"/>
            </w:tcMar>
          </w:tcPr>
          <w:p>
            <w:r>
              <w:rPr>
                <w:b/>
                <w:bCs/>
                <w:color w:val="000000"/>
                <w:sz w:val="19"/>
                <w:szCs w:val="19"/>
              </w:rPr>
              <w:t xml:space="preserve">Types de données (dtypes)</w:t>
            </w:r>
          </w:p>
        </w:tc>
        <w:tc>
          <w:tcPr>
            <w:tcW w:type="dxa" w:w="1900"/>
            <w:shd w:fill="FFFFFF" w:val="clear"/>
            <w:tcMar>
              <w:top w:type="dxa" w:w="90"/>
              <w:left w:type="dxa" w:w="110"/>
              <w:bottom w:type="dxa" w:w="90"/>
              <w:right w:type="dxa" w:w="110"/>
            </w:tcMar>
          </w:tcPr>
          <w:p>
            <w:r>
              <w:rPr>
                <w:b w:val="false"/>
                <w:bCs w:val="false"/>
                <w:color w:val="000000"/>
                <w:sz w:val="19"/>
                <w:szCs w:val="19"/>
              </w:rPr>
              <w:t xml:space="preserve">Conformes</w:t>
            </w:r>
          </w:p>
        </w:tc>
        <w:tc>
          <w:tcPr>
            <w:tcW w:type="dxa" w:w="4400"/>
            <w:shd w:fill="FFFFFF" w:val="clear"/>
            <w:tcMar>
              <w:top w:type="dxa" w:w="90"/>
              <w:left w:type="dxa" w:w="110"/>
              <w:bottom w:type="dxa" w:w="90"/>
              <w:right w:type="dxa" w:w="110"/>
            </w:tcMar>
          </w:tcPr>
          <w:p>
            <w:r>
              <w:rPr>
                <w:b w:val="false"/>
                <w:bCs w:val="false"/>
                <w:color w:val="000000"/>
                <w:sz w:val="19"/>
                <w:szCs w:val="19"/>
              </w:rPr>
              <w:t xml:space="preserve">Aucune conversion nécessaire</w:t>
            </w:r>
          </w:p>
        </w:tc>
      </w:tr>
    </w:tbl>
    <w:p>
      <w:pPr>
        <w:spacing w:before="200"/>
      </w:pPr>
    </w:p>
    <w:p>
      <w:pPr>
        <w:spacing w:after="160" w:line="300"/>
      </w:pPr>
      <w:r>
        <w:rPr>
          <w:sz w:val="21"/>
          <w:szCs w:val="21"/>
        </w:rPr>
        <w:t xml:space="preserve">Résultat global : 255 347 lignes conservées sur 255 347 (100 %) — aucune ligne supprimée.</w:t>
      </w:r>
    </w:p>
    <w:p>
      <w:pPr>
        <w:pStyle w:val="Heading1"/>
        <w:spacing w:after="160" w:before="320"/>
      </w:pPr>
      <w:r>
        <w:rPr>
          <w:b/>
          <w:bCs/>
          <w:color w:val="1B2E22"/>
          <w:sz w:val="30"/>
          <w:szCs w:val="30"/>
        </w:rPr>
        <w:t xml:space="preserve">3. Point d'attention : incohérence Age / MonthsEmployed</w:t>
      </w:r>
    </w:p>
    <w:p>
      <w:pPr>
        <w:spacing w:after="160" w:line="300"/>
      </w:pPr>
      <w:r>
        <w:rPr>
          <w:sz w:val="21"/>
          <w:szCs w:val="21"/>
        </w:rPr>
        <w:t xml:space="preserve">En posant l'hypothèse qu'un emprunteur ne peut pas avoir commencé à travailler avant 16 ans, le nombre maximal de mois d'emploi plausible est (Age − 16) × 12. Sur cette base, 17 274 lignes (6,76 % du dataset) présentent un MonthsEmployed supérieur à ce maximum théorique — par exemple un emprunteur de 18 ans avec 105 mois d'ancienneté professionnelle, soit presque 9 ans, ce qui impliquerait un début d'activité vers 9 ans.</w:t>
      </w:r>
    </w:p>
    <w:p>
      <w:pPr>
        <w:spacing w:after="160" w:line="300"/>
      </w:pPr>
      <w:r>
        <w:rPr>
          <w:sz w:val="21"/>
          <w:szCs w:val="21"/>
        </w:rPr>
        <w:t xml:space="preserve">Décision : ces lignes ne sont pas supprimées, pour trois raisons :</w:t>
      </w:r>
    </w:p>
    <w:p>
      <w:pPr>
        <w:pStyle w:val="ListParagraph"/>
        <w:numPr>
          <w:ilvl w:val="0"/>
          <w:numId w:val="2"/>
        </w:numPr>
        <w:spacing w:after="80" w:line="280"/>
      </w:pPr>
      <w:r>
        <w:rPr>
          <w:sz w:val="21"/>
          <w:szCs w:val="21"/>
        </w:rPr>
        <w:t xml:space="preserve">L'hypothèse « 16 ans » est une convention raisonnable mais non documentée dans les métadonnées officielles du dataset Kaggle — la considérer comme une règle de suppression stricte serait arbitraire.</w:t>
      </w:r>
    </w:p>
    <w:p>
      <w:pPr>
        <w:pStyle w:val="ListParagraph"/>
        <w:numPr>
          <w:ilvl w:val="0"/>
          <w:numId w:val="2"/>
        </w:numPr>
        <w:spacing w:after="80" w:line="280"/>
      </w:pPr>
      <w:r>
        <w:rPr>
          <w:sz w:val="21"/>
          <w:szCs w:val="21"/>
        </w:rPr>
        <w:t xml:space="preserve">Supprimer 6,76 % des lignes sur cette seule base ferait perdre un volume de données important sans certitude que ces observations soient réellement erronées plutôt qu'un artefact de génération synthétique du dataset (cf. constat de la S3 : distributions quasi uniformes, absence de valeurs manquantes ou dupliquées, atypique pour des données bancaires réelles).</w:t>
      </w:r>
    </w:p>
    <w:p>
      <w:pPr>
        <w:pStyle w:val="ListParagraph"/>
        <w:numPr>
          <w:ilvl w:val="0"/>
          <w:numId w:val="2"/>
        </w:numPr>
        <w:spacing w:after="80" w:line="280"/>
      </w:pPr>
      <w:r>
        <w:rPr>
          <w:sz w:val="21"/>
          <w:szCs w:val="21"/>
        </w:rPr>
        <w:t xml:space="preserve">La variable MonthsEmployed reste par ailleurs individuellement plausible (0 à 119 mois, soit moins de 10 ans) — seule sa combinaison avec Age pose question.</w:t>
      </w:r>
    </w:p>
    <w:p>
      <w:pPr>
        <w:spacing w:after="160" w:line="300"/>
      </w:pPr>
      <w:r>
        <w:rPr>
          <w:sz w:val="21"/>
          <w:szCs w:val="21"/>
        </w:rPr>
        <w:t xml:space="preserve">Une colonne indicatrice AgeEmploymentIncoherent (0/1) a été ajoutée au jeu de données nettoyé, permettant de tester en modélisation (S6-S7) si son retrait ou son maintien affecte la performance, plutôt que de trancher la question de façon irréversible dès l'étape de nettoyage.</w:t>
      </w:r>
    </w:p>
    <w:p>
      <w:pPr>
        <w:pStyle w:val="Heading1"/>
        <w:spacing w:after="160" w:before="320"/>
      </w:pPr>
      <w:r>
        <w:rPr>
          <w:b/>
          <w:bCs/>
          <w:color w:val="1B2E22"/>
          <w:sz w:val="30"/>
          <w:szCs w:val="30"/>
        </w:rPr>
        <w:t xml:space="preserve">4. Ce qui n'a volontairement pas été fait à cette étape</w:t>
      </w:r>
    </w:p>
    <w:p>
      <w:pPr>
        <w:pStyle w:val="ListParagraph"/>
        <w:numPr>
          <w:ilvl w:val="0"/>
          <w:numId w:val="2"/>
        </w:numPr>
        <w:spacing w:after="80" w:line="280"/>
      </w:pPr>
      <w:r>
        <w:rPr>
          <w:sz w:val="21"/>
          <w:szCs w:val="21"/>
        </w:rPr>
        <w:t xml:space="preserve">Aucun encodage des variables catégorielles (Education, EmploymentType, etc.) : prévu et documenté en S5, conformément au chronogramme.</w:t>
      </w:r>
    </w:p>
    <w:p>
      <w:pPr>
        <w:pStyle w:val="ListParagraph"/>
        <w:numPr>
          <w:ilvl w:val="0"/>
          <w:numId w:val="2"/>
        </w:numPr>
        <w:spacing w:after="80" w:line="280"/>
      </w:pPr>
      <w:r>
        <w:rPr>
          <w:sz w:val="21"/>
          <w:szCs w:val="21"/>
        </w:rPr>
        <w:t xml:space="preserve">Aucune suppression de variable, aucune création de nouvelle feature métier au-delà de l'indicateur de cohérence ci-dessus : le feature engineering complet reste circonscrit à S5.</w:t>
      </w:r>
    </w:p>
    <w:p>
      <w:pPr>
        <w:pStyle w:val="Heading1"/>
        <w:spacing w:after="160" w:before="320"/>
      </w:pPr>
      <w:r>
        <w:rPr>
          <w:b/>
          <w:bCs/>
          <w:color w:val="1B2E22"/>
          <w:sz w:val="30"/>
          <w:szCs w:val="30"/>
        </w:rPr>
        <w:t xml:space="preserve">5. Jeu de données nettoyé</w:t>
      </w:r>
    </w:p>
    <w:p>
      <w:pPr>
        <w:spacing w:after="160" w:line="300"/>
      </w:pPr>
      <w:r>
        <w:rPr>
          <w:sz w:val="21"/>
          <w:szCs w:val="21"/>
        </w:rPr>
        <w:t xml:space="preserve">Fichier produit : data/processed/Loan_default_clean.csv — 255 347 lignes, 19 colonnes (18 colonnes d'origine + AgeEmploymentIncoherent). Le fichier source (data/raw/Loan_default.csv) n'a pas été modifié, conformément à la convention du dépôt.</w:t>
      </w:r>
    </w:p>
    <w:p>
      <w:pPr>
        <w:pBdr>
          <w:top w:val="single" w:color="CCCCCC" w:sz="4" w:space="4"/>
        </w:pBdr>
        <w:spacing w:before="300"/>
      </w:pPr>
      <w:r>
        <w:rPr>
          <w:i/>
          <w:iCs/>
          <w:color w:val="777777"/>
          <w:sz w:val="18"/>
          <w:szCs w:val="18"/>
        </w:rPr>
        <w:t xml:space="preserve">Document préparé pour la Séance 4 (S4). Code source : notebooks/02_nettoyage.ipynb.</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2026-07-29T22:00:42.743Z</dcterms:created>
  <dcterms:modified xsi:type="dcterms:W3CDTF">2026-07-29T22:00:42.743Z</dcterms:modified>
</cp:coreProperties>
</file>

<file path=docProps/custom.xml><?xml version="1.0" encoding="utf-8"?>
<Properties xmlns="http://schemas.openxmlformats.org/officeDocument/2006/custom-properties" xmlns:vt="http://schemas.openxmlformats.org/officeDocument/2006/docPropsVTypes"/>
</file>