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8F71"/>
          <w:sz w:val="18"/>
          <w:szCs w:val="18"/>
        </w:rPr>
        <w:t xml:space="preserve">PAEI 2026  |  Gehmit</w:t>
      </w:r>
    </w:p>
    <w:p>
      <w:pPr>
        <w:spacing w:after="60"/>
      </w:pPr>
      <w:r>
        <w:rPr>
          <w:b/>
          <w:bCs/>
          <w:color w:val="1B2E22"/>
          <w:sz w:val="20"/>
          <w:szCs w:val="20"/>
        </w:rPr>
        <w:t xml:space="preserve">SÉANCE 5 — FICHE D'APPRENTISSAGE</w:t>
      </w:r>
    </w:p>
    <w:p>
      <w:pPr>
        <w:pStyle w:val="Title"/>
        <w:spacing w:after="80"/>
      </w:pPr>
      <w:r>
        <w:rPr>
          <w:b/>
          <w:bCs/>
          <w:color w:val="1B2E22"/>
          <w:sz w:val="38"/>
          <w:szCs w:val="38"/>
        </w:rPr>
        <w:t xml:space="preserve">Feature engineering et encodage</w:t>
      </w:r>
    </w:p>
    <w:p>
      <w:pPr>
        <w:spacing w:after="300"/>
      </w:pPr>
      <w:r>
        <w:rPr>
          <w:i/>
          <w:iCs/>
          <w:color w:val="444444"/>
          <w:sz w:val="22"/>
          <w:szCs w:val="22"/>
        </w:rPr>
        <w:t xml:space="preserve">Rendre les données exploitables par un modèle</w:t>
      </w:r>
    </w:p>
    <w:p>
      <w:pPr>
        <w:pBdr>
          <w:bottom w:val="single" w:color="1B2E22" w:sz="6" w:space="1"/>
        </w:pBdr>
        <w:spacing w:after="300"/>
      </w:pPr>
      <w:r>
        <w:t xml:space="preserve"/>
      </w:r>
    </w:p>
    <w:p>
      <w:pPr>
        <w:pStyle w:val="Heading1"/>
        <w:spacing w:after="140" w:before="300"/>
      </w:pPr>
      <w:r>
        <w:rPr>
          <w:b/>
          <w:bCs/>
          <w:color w:val="1B2E22"/>
          <w:sz w:val="30"/>
          <w:szCs w:val="30"/>
        </w:rPr>
        <w:t xml:space="preserve">Résumé de ce qui a été fait et pourquoi</w:t>
      </w:r>
    </w:p>
    <w:p>
      <w:pPr>
        <w:spacing w:after="140" w:line="300"/>
      </w:pPr>
      <w:r>
        <w:rPr>
          <w:sz w:val="21"/>
          <w:szCs w:val="21"/>
        </w:rPr>
        <w:t xml:space="preserve">Un modèle de Machine Learning ne comprend que des nombres. On a donc transformé les 7 variables catégorielles du dataset en valeurs numériques, avec une méthode adaptée à la nature de chacune — pas une méthode unique appliquée partout sans réflexion. On a aussi créé une nouvelle variable (LoanToIncomeRatio) pour capturer une information que les colonnes existantes ne portaient pas directement.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fill="1B2E2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 de variable</w:t>
            </w:r>
          </w:p>
        </w:tc>
        <w:tc>
          <w:tcPr>
            <w:tcW w:type="dxa" w:w="3300"/>
            <w:shd w:fill="1B2E2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Méthode utilisée</w:t>
            </w:r>
          </w:p>
        </w:tc>
        <w:tc>
          <w:tcPr>
            <w:tcW w:type="dxa" w:w="3300"/>
            <w:shd w:fill="1B2E22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Binaire (Yes/No)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Remplacement direct 0/1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HasMortgage, HasDependents, HasCoSigner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Catégorielle avec ordre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Encodage ordinal (0,1,2,3)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Catégorielle sans ordre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One-Hot Encoding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EmploymentType, MaritalStatus, LoanPurpose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000000"/>
                <w:sz w:val="19"/>
                <w:szCs w:val="19"/>
              </w:rPr>
              <w:t xml:space="preserve">Nouvelle variable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LoanToIncomeRatio = LoanAmount / Income</w:t>
            </w:r>
          </w:p>
        </w:tc>
      </w:tr>
    </w:tbl>
    <w:p>
      <w:pPr>
        <w:spacing w:before="200"/>
      </w:pPr>
    </w:p>
    <w:p>
      <w:pPr>
        <w:spacing w:after="140" w:line="300"/>
      </w:pPr>
      <w:r>
        <w:rPr>
          <w:sz w:val="21"/>
          <w:szCs w:val="21"/>
        </w:rPr>
        <w:t xml:space="preserve">Résultat : un jeu de données à 28 colonnes, entièrement numérique, sauvegardé dans data/processed/Loan_default_features.csv — prêt pour la modélisation (S6).</w:t>
      </w:r>
    </w:p>
    <w:p>
      <w:pPr>
        <w:pStyle w:val="Heading1"/>
        <w:spacing w:after="140" w:before="300"/>
      </w:pPr>
      <w:r>
        <w:rPr>
          <w:b/>
          <w:bCs/>
          <w:color w:val="1B2E22"/>
          <w:sz w:val="30"/>
          <w:szCs w:val="30"/>
        </w:rPr>
        <w:t xml:space="preserve">Concepts clés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Encodage : </w:t>
      </w:r>
      <w:r>
        <w:rPr>
          <w:sz w:val="21"/>
          <w:szCs w:val="21"/>
        </w:rPr>
        <w:t xml:space="preserve">Transformer une variable catégorielle (texte) en valeur numérique, pour qu'un modèle puisse l'utiliser.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One-Hot Encoding : </w:t>
      </w:r>
      <w:r>
        <w:rPr>
          <w:sz w:val="21"/>
          <w:szCs w:val="21"/>
        </w:rPr>
        <w:t xml:space="preserve">Une catégorie par colonne binaire (0/1). Ne suppose aucun ordre entre les catégories — adapté quand il n'y en a pas.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Encodage ordinal : </w:t>
      </w:r>
      <w:r>
        <w:rPr>
          <w:sz w:val="21"/>
          <w:szCs w:val="21"/>
        </w:rPr>
        <w:t xml:space="preserve">Chaque catégorie reçoit un nombre qui respecte un ordre logique existant (ex. niveaux de diplôme).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Feature engineering : </w:t>
      </w:r>
      <w:r>
        <w:rPr>
          <w:sz w:val="21"/>
          <w:szCs w:val="21"/>
        </w:rPr>
        <w:t xml:space="preserve">Construire de nouvelles variables à partir des existantes, quand elles peuvent apporter une information supplémentaire au modèle.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Colinéarité : </w:t>
      </w:r>
      <w:r>
        <w:rPr>
          <w:sz w:val="21"/>
          <w:szCs w:val="21"/>
        </w:rPr>
        <w:t xml:space="preserve">Redondance entre plusieurs variables (ici, entre les colonnes issues d'un même One-Hot Encoding, puisque connaître toutes les colonnes sauf une permet de déduire la dernière). Peut poser problème pour la régression logistique.</w:t>
      </w:r>
    </w:p>
    <w:p>
      <w:pPr>
        <w:pStyle w:val="Heading1"/>
        <w:spacing w:after="140" w:before="300"/>
      </w:pPr>
      <w:r>
        <w:rPr>
          <w:b/>
          <w:bCs/>
          <w:color w:val="1B2E22"/>
          <w:sz w:val="30"/>
          <w:szCs w:val="30"/>
        </w:rPr>
        <w:t xml:space="preserve">Pourquoi ces choix, et pas d'autres — pour anticiper les questions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Pourquoi ne pas encoder EmploymentType comme Education ? </w:t>
      </w:r>
      <w:r>
        <w:rPr>
          <w:sz w:val="21"/>
          <w:szCs w:val="21"/>
        </w:rPr>
        <w:t xml:space="preserve">Parce qu'un simple 0/1/2/3 pour EmploymentType ferait croire au modèle qu'il existe un ordre entre "Full-time" et "Unemployed", ce qui n'a pas de sens métier. Le One-Hot Encoding évite d'introduire cette fausse hiérarchie.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Pourquoi ne pas mettre Education en One-Hot alors ? </w:t>
      </w:r>
      <w:r>
        <w:rPr>
          <w:sz w:val="21"/>
          <w:szCs w:val="21"/>
        </w:rPr>
        <w:t xml:space="preserve">Parce que High School / Bachelor's / Master's / PhD suivent un ordre naturel (niveau d'études croissant). L'encoder en One-Hot ferait perdre cette information d'ordre, que le modèle pourrait pourtant exploiter utilement.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b/>
          <w:bCs/>
          <w:sz w:val="21"/>
          <w:szCs w:val="21"/>
        </w:rPr>
        <w:t xml:space="preserve">Pourquoi ce ratio LoanToIncomeRatio précisément ? </w:t>
      </w:r>
      <w:r>
        <w:rPr>
          <w:sz w:val="21"/>
          <w:szCs w:val="21"/>
        </w:rPr>
        <w:t xml:space="preserve">On l'a testé avec un test t (comme en S3) : la différence de LoanToIncomeRatio entre les emprunteurs en défaut et les autres est statistiquement significative (p &lt; 0,05) — la variable a un intérêt réel, ce n'est pas ajouté au hasard.</w:t>
      </w:r>
    </w:p>
    <w:p>
      <w:pPr>
        <w:pStyle w:val="Heading1"/>
        <w:spacing w:after="140" w:before="300"/>
      </w:pPr>
      <w:r>
        <w:rPr>
          <w:b/>
          <w:bCs/>
          <w:color w:val="1B2E22"/>
          <w:sz w:val="30"/>
          <w:szCs w:val="30"/>
        </w:rPr>
        <w:t xml:space="preserve">Ressources pour aller plus loin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Scikit-learn — Encoding categorical features (vue d'ensemble des méthodes) — </w:t>
      </w:r>
      <w:hyperlink w:history="1" r:id="rIdx0ech1lsuca3u2iscaygz">
        <w:r>
          <w:rPr>
            <w:color w:val="1155CC"/>
            <w:sz w:val="21"/>
            <w:szCs w:val="21"/>
            <w:u w:val="single"/>
          </w:rPr>
          <w:t xml:space="preserve">https://scikit-learn.org/stable/modules/preprocessing.html#encoding-categorical-features</w:t>
        </w:r>
      </w:hyperlink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Pandas — documentation de get_dummies (One-Hot Encoding) — </w:t>
      </w:r>
      <w:hyperlink w:history="1" r:id="rId8d16zb_e4n_arnoss7xc3">
        <w:r>
          <w:rPr>
            <w:color w:val="1155CC"/>
            <w:sz w:val="21"/>
            <w:szCs w:val="21"/>
            <w:u w:val="single"/>
          </w:rPr>
          <w:t xml:space="preserve">https://pandas.pydata.org/docs/reference/api/pandas.get_dummies.html</w:t>
        </w:r>
      </w:hyperlink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sz w:val="21"/>
          <w:szCs w:val="21"/>
        </w:rPr>
        <w:t xml:space="preserve">Feature Engineering for Machine Learning — cours gratuit (Kaggle Learn, en anglais) — </w:t>
      </w:r>
      <w:hyperlink w:history="1" r:id="rIdecz2qvslkzngj8_fovhof">
        <w:r>
          <w:rPr>
            <w:color w:val="1155CC"/>
            <w:sz w:val="21"/>
            <w:szCs w:val="21"/>
            <w:u w:val="single"/>
          </w:rPr>
          <w:t xml:space="preserve">https://www.kaggle.com/learn/feature-engineering</w:t>
        </w:r>
      </w:hyperlink>
    </w:p>
    <w:p>
      <w:pPr>
        <w:pStyle w:val="Heading1"/>
        <w:spacing w:after="140" w:before="300"/>
      </w:pPr>
      <w:r>
        <w:rPr>
          <w:b/>
          <w:bCs/>
          <w:color w:val="1B2E22"/>
          <w:sz w:val="30"/>
          <w:szCs w:val="30"/>
        </w:rPr>
        <w:t xml:space="preserve">Questions d'auto-test</w:t>
      </w:r>
    </w:p>
    <w:p>
      <w:pPr>
        <w:spacing w:after="90" w:line="280"/>
      </w:pPr>
      <w:r>
        <w:rPr>
          <w:b/>
          <w:bCs/>
          <w:color w:val="2D5A3D"/>
          <w:sz w:val="21"/>
          <w:szCs w:val="21"/>
        </w:rPr>
        <w:t xml:space="preserve">1. </w:t>
      </w:r>
      <w:r>
        <w:rPr>
          <w:i/>
          <w:iCs/>
          <w:sz w:val="21"/>
          <w:szCs w:val="21"/>
        </w:rPr>
        <w:t xml:space="preserve">Pourquoi ne peut-on pas laisser une variable comme MaritalStatus sous forme de texte pour entraîner un modèle ?</w:t>
      </w:r>
    </w:p>
    <w:p>
      <w:pPr>
        <w:spacing w:after="90" w:line="280"/>
      </w:pPr>
      <w:r>
        <w:rPr>
          <w:b/>
          <w:bCs/>
          <w:color w:val="2D5A3D"/>
          <w:sz w:val="21"/>
          <w:szCs w:val="21"/>
        </w:rPr>
        <w:t xml:space="preserve">2. </w:t>
      </w:r>
      <w:r>
        <w:rPr>
          <w:i/>
          <w:iCs/>
          <w:sz w:val="21"/>
          <w:szCs w:val="21"/>
        </w:rPr>
        <w:t xml:space="preserve">Quelle est la différence entre encodage ordinal et One-Hot Encoding, et comment sait-on lequel utiliser pour une variable donnée ?</w:t>
      </w:r>
    </w:p>
    <w:p>
      <w:pPr>
        <w:spacing w:after="90" w:line="280"/>
      </w:pPr>
      <w:r>
        <w:rPr>
          <w:b/>
          <w:bCs/>
          <w:color w:val="2D5A3D"/>
          <w:sz w:val="21"/>
          <w:szCs w:val="21"/>
        </w:rPr>
        <w:t xml:space="preserve">3. </w:t>
      </w:r>
      <w:r>
        <w:rPr>
          <w:i/>
          <w:iCs/>
          <w:sz w:val="21"/>
          <w:szCs w:val="21"/>
        </w:rPr>
        <w:t xml:space="preserve">Qu'est-ce que la colinéarité, et pourquoi peut-elle poser problème après un One-Hot Encoding ?</w:t>
      </w:r>
    </w:p>
    <w:p>
      <w:pPr>
        <w:spacing w:after="90" w:line="280"/>
      </w:pPr>
      <w:r>
        <w:rPr>
          <w:b/>
          <w:bCs/>
          <w:color w:val="2D5A3D"/>
          <w:sz w:val="21"/>
          <w:szCs w:val="21"/>
        </w:rPr>
        <w:t xml:space="preserve">4. </w:t>
      </w:r>
      <w:r>
        <w:rPr>
          <w:i/>
          <w:iCs/>
          <w:sz w:val="21"/>
          <w:szCs w:val="21"/>
        </w:rPr>
        <w:t xml:space="preserve">Pourquoi a-t-on vérifié LoanToIncomeRatio avec un test statistique avant de le garder, plutôt que de simplement l'ajouter ?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777777"/>
          <w:sz w:val="18"/>
          <w:szCs w:val="18"/>
        </w:rPr>
        <w:t xml:space="preserve">Fiche préparée après la Séance 5. Code source complet : notebooks/04_feature_engineering.ipynb.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0ech1lsuca3u2iscaygz" Type="http://schemas.openxmlformats.org/officeDocument/2006/relationships/hyperlink" Target="https://scikit-learn.org/stable/modules/preprocessing.html#encoding-categorical-features" TargetMode="External"/><Relationship Id="rId8d16zb_e4n_arnoss7xc3" Type="http://schemas.openxmlformats.org/officeDocument/2006/relationships/hyperlink" Target="https://pandas.pydata.org/docs/reference/api/pandas.get_dummies.html" TargetMode="External"/><Relationship Id="rIdecz2qvslkzngj8_fovhof" Type="http://schemas.openxmlformats.org/officeDocument/2006/relationships/hyperlink" Target="https://www.kaggle.com/learn/feature-engineerin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2026-08-13T08:15:44.729Z</dcterms:created>
  <dcterms:modified xsi:type="dcterms:W3CDTF">2026-08-13T08:15:44.739Z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