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8F71"/>
          <w:sz w:val="18"/>
          <w:szCs w:val="18"/>
        </w:rPr>
        <w:t xml:space="preserve">PAEI 2026  |  Gehmit</w:t>
      </w:r>
    </w:p>
    <w:p>
      <w:pPr>
        <w:spacing w:after="60"/>
      </w:pPr>
      <w:r>
        <w:rPr>
          <w:b/>
          <w:bCs/>
          <w:color w:val="1B2E22"/>
          <w:sz w:val="20"/>
          <w:szCs w:val="20"/>
        </w:rPr>
        <w:t xml:space="preserve">SÉANCE 7 — FICHE D'APPRENTISSAGE</w:t>
      </w:r>
    </w:p>
    <w:p>
      <w:pPr>
        <w:pStyle w:val="Title"/>
        <w:spacing w:after="80"/>
      </w:pPr>
      <w:r>
        <w:rPr>
          <w:b/>
          <w:bCs/>
          <w:color w:val="1B2E22"/>
          <w:sz w:val="34"/>
          <w:szCs w:val="34"/>
        </w:rPr>
        <w:t xml:space="preserve">Random Forest et Gradient Boosting</w:t>
      </w:r>
    </w:p>
    <w:p>
      <w:pPr>
        <w:spacing w:after="300"/>
      </w:pPr>
      <w:r>
        <w:rPr>
          <w:i/>
          <w:iCs/>
          <w:color w:val="444444"/>
          <w:sz w:val="22"/>
          <w:szCs w:val="22"/>
        </w:rPr>
        <w:t xml:space="preserve">Comparer des méthodes d'ensemble à la régression logistique</w:t>
      </w:r>
    </w:p>
    <w:p>
      <w:pPr>
        <w:pBdr>
          <w:bottom w:val="single" w:color="1B2E22" w:sz="6" w:space="1"/>
        </w:pBdr>
        <w:spacing w:after="300"/>
      </w:pPr>
      <w:r>
        <w:t xml:space="preserve"/>
      </w:r>
    </w:p>
    <w:p>
      <w:pPr>
        <w:pStyle w:val="Heading1"/>
        <w:spacing w:after="140" w:before="300"/>
      </w:pPr>
      <w:r>
        <w:rPr>
          <w:b/>
          <w:bCs/>
          <w:color w:val="1B2E22"/>
          <w:sz w:val="30"/>
          <w:szCs w:val="30"/>
        </w:rPr>
        <w:t xml:space="preserve">Résumé de ce qui a été fait et pourquoi</w:t>
      </w:r>
    </w:p>
    <w:p>
      <w:pPr>
        <w:spacing w:after="140" w:line="300"/>
      </w:pPr>
      <w:r>
        <w:rPr>
          <w:sz w:val="21"/>
          <w:szCs w:val="21"/>
        </w:rPr>
        <w:t xml:space="preserve">On a entraîné deux méthodes d'ensemble (Random Forest, Gradient Boosting) sur les mêmes données que la régression logistique de S6, puis comparé les trois modèles avec les mêmes métriques (AUC-ROC, recall, precision, accuracy). Contrairement à la régression logistique, ces modèles n'ont pas besoin de variables standardisées.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00"/>
        <w:gridCol w:w="1400"/>
      </w:tblGrid>
      <w:tr>
        <w:tc>
          <w:tcPr>
            <w:tcW w:type="dxa" w:w="3400"/>
            <w:shd w:fill="1B2E22" w:val="clear"/>
            <w:tcMar>
              <w:top w:type="dxa" w:w="90"/>
              <w:left w:type="dxa" w:w="110"/>
              <w:bottom w:type="dxa" w:w="90"/>
              <w:right w:type="dxa" w:w="110"/>
            </w:tcMar>
          </w:tcPr>
          <w:p>
            <w:r>
              <w:rPr>
                <w:b/>
                <w:bCs/>
                <w:color w:val="FFFFFF"/>
                <w:sz w:val="19"/>
                <w:szCs w:val="19"/>
              </w:rPr>
              <w:t xml:space="preserve">Modèle</w:t>
            </w:r>
          </w:p>
        </w:tc>
        <w:tc>
          <w:tcPr>
            <w:tcW w:type="dxa" w:w="2000"/>
            <w:shd w:fill="1B2E22" w:val="clear"/>
            <w:tcMar>
              <w:top w:type="dxa" w:w="90"/>
              <w:left w:type="dxa" w:w="110"/>
              <w:bottom w:type="dxa" w:w="90"/>
              <w:right w:type="dxa" w:w="110"/>
            </w:tcMar>
          </w:tcPr>
          <w:p>
            <w:r>
              <w:rPr>
                <w:b w:val="false"/>
                <w:bCs w:val="false"/>
                <w:color w:val="FFFFFF"/>
                <w:sz w:val="19"/>
                <w:szCs w:val="19"/>
              </w:rPr>
              <w:t xml:space="preserve">AUC-ROC</w:t>
            </w:r>
          </w:p>
        </w:tc>
        <w:tc>
          <w:tcPr>
            <w:tcW w:type="dxa" w:w="2400"/>
            <w:shd w:fill="1B2E22" w:val="clear"/>
            <w:tcMar>
              <w:top w:type="dxa" w:w="90"/>
              <w:left w:type="dxa" w:w="110"/>
              <w:bottom w:type="dxa" w:w="90"/>
              <w:right w:type="dxa" w:w="110"/>
            </w:tcMar>
          </w:tcPr>
          <w:p>
            <w:r>
              <w:rPr>
                <w:b w:val="false"/>
                <w:bCs w:val="false"/>
                <w:color w:val="FFFFFF"/>
                <w:sz w:val="19"/>
                <w:szCs w:val="19"/>
              </w:rPr>
              <w:t xml:space="preserve">Recall (Défaut)</w:t>
            </w:r>
          </w:p>
        </w:tc>
        <w:tc>
          <w:tcPr>
            <w:tcW w:type="dxa" w:w="1400"/>
            <w:shd w:fill="1B2E22" w:val="clear"/>
            <w:tcMar>
              <w:top w:type="dxa" w:w="90"/>
              <w:left w:type="dxa" w:w="110"/>
              <w:bottom w:type="dxa" w:w="90"/>
              <w:right w:type="dxa" w:w="110"/>
            </w:tcMar>
          </w:tcPr>
          <w:p>
            <w:r>
              <w:rPr>
                <w:b w:val="false"/>
                <w:bCs w:val="false"/>
                <w:color w:val="FFFFFF"/>
                <w:sz w:val="19"/>
                <w:szCs w:val="19"/>
              </w:rPr>
              <w:t xml:space="preserve">Accuracy</w:t>
            </w:r>
          </w:p>
        </w:tc>
      </w:tr>
      <w:tr>
        <w:tc>
          <w:tcPr>
            <w:tcW w:type="dxa" w:w="3400"/>
            <w:shd w:fill="FFFFFF" w:val="clear"/>
            <w:tcMar>
              <w:top w:type="dxa" w:w="90"/>
              <w:left w:type="dxa" w:w="110"/>
              <w:bottom w:type="dxa" w:w="90"/>
              <w:right w:type="dxa" w:w="110"/>
            </w:tcMar>
          </w:tcPr>
          <w:p>
            <w:r>
              <w:rPr>
                <w:b/>
                <w:bCs/>
                <w:color w:val="000000"/>
                <w:sz w:val="19"/>
                <w:szCs w:val="19"/>
              </w:rPr>
              <w:t xml:space="preserve">Régression logistique (pondérée)</w:t>
            </w:r>
          </w:p>
        </w:tc>
        <w:tc>
          <w:tcPr>
            <w:tcW w:type="dxa" w:w="2000"/>
            <w:shd w:fill="FFFFFF" w:val="clear"/>
            <w:tcMar>
              <w:top w:type="dxa" w:w="90"/>
              <w:left w:type="dxa" w:w="110"/>
              <w:bottom w:type="dxa" w:w="90"/>
              <w:right w:type="dxa" w:w="110"/>
            </w:tcMar>
          </w:tcPr>
          <w:p>
            <w:r>
              <w:rPr>
                <w:b w:val="false"/>
                <w:bCs w:val="false"/>
                <w:color w:val="000000"/>
                <w:sz w:val="19"/>
                <w:szCs w:val="19"/>
              </w:rPr>
              <w:t xml:space="preserve">0,762</w:t>
            </w:r>
          </w:p>
        </w:tc>
        <w:tc>
          <w:tcPr>
            <w:tcW w:type="dxa" w:w="2400"/>
            <w:shd w:fill="FFFFFF" w:val="clear"/>
            <w:tcMar>
              <w:top w:type="dxa" w:w="90"/>
              <w:left w:type="dxa" w:w="110"/>
              <w:bottom w:type="dxa" w:w="90"/>
              <w:right w:type="dxa" w:w="110"/>
            </w:tcMar>
          </w:tcPr>
          <w:p>
            <w:r>
              <w:rPr>
                <w:b w:val="false"/>
                <w:bCs w:val="false"/>
                <w:color w:val="000000"/>
                <w:sz w:val="19"/>
                <w:szCs w:val="19"/>
              </w:rPr>
              <w:t xml:space="preserve">0,698</w:t>
            </w:r>
          </w:p>
        </w:tc>
        <w:tc>
          <w:tcPr>
            <w:tcW w:type="dxa" w:w="1400"/>
            <w:shd w:fill="FFFFFF" w:val="clear"/>
            <w:tcMar>
              <w:top w:type="dxa" w:w="90"/>
              <w:left w:type="dxa" w:w="110"/>
              <w:bottom w:type="dxa" w:w="90"/>
              <w:right w:type="dxa" w:w="110"/>
            </w:tcMar>
          </w:tcPr>
          <w:p>
            <w:r>
              <w:rPr>
                <w:b w:val="false"/>
                <w:bCs w:val="false"/>
                <w:color w:val="000000"/>
                <w:sz w:val="19"/>
                <w:szCs w:val="19"/>
              </w:rPr>
              <w:t xml:space="preserve">0,691</w:t>
            </w:r>
          </w:p>
        </w:tc>
      </w:tr>
      <w:tr>
        <w:tc>
          <w:tcPr>
            <w:tcW w:type="dxa" w:w="3400"/>
            <w:shd w:fill="FFFFFF" w:val="clear"/>
            <w:tcMar>
              <w:top w:type="dxa" w:w="90"/>
              <w:left w:type="dxa" w:w="110"/>
              <w:bottom w:type="dxa" w:w="90"/>
              <w:right w:type="dxa" w:w="110"/>
            </w:tcMar>
          </w:tcPr>
          <w:p>
            <w:r>
              <w:rPr>
                <w:b/>
                <w:bCs/>
                <w:color w:val="000000"/>
                <w:sz w:val="19"/>
                <w:szCs w:val="19"/>
              </w:rPr>
              <w:t xml:space="preserve">Random Forest</w:t>
            </w:r>
          </w:p>
        </w:tc>
        <w:tc>
          <w:tcPr>
            <w:tcW w:type="dxa" w:w="2000"/>
            <w:shd w:fill="FFFFFF" w:val="clear"/>
            <w:tcMar>
              <w:top w:type="dxa" w:w="90"/>
              <w:left w:type="dxa" w:w="110"/>
              <w:bottom w:type="dxa" w:w="90"/>
              <w:right w:type="dxa" w:w="110"/>
            </w:tcMar>
          </w:tcPr>
          <w:p>
            <w:r>
              <w:rPr>
                <w:b w:val="false"/>
                <w:bCs w:val="false"/>
                <w:color w:val="000000"/>
                <w:sz w:val="19"/>
                <w:szCs w:val="19"/>
              </w:rPr>
              <w:t xml:space="preserve">0,756</w:t>
            </w:r>
          </w:p>
        </w:tc>
        <w:tc>
          <w:tcPr>
            <w:tcW w:type="dxa" w:w="2400"/>
            <w:shd w:fill="FFFFFF" w:val="clear"/>
            <w:tcMar>
              <w:top w:type="dxa" w:w="90"/>
              <w:left w:type="dxa" w:w="110"/>
              <w:bottom w:type="dxa" w:w="90"/>
              <w:right w:type="dxa" w:w="110"/>
            </w:tcMar>
          </w:tcPr>
          <w:p>
            <w:r>
              <w:rPr>
                <w:b w:val="false"/>
                <w:bCs w:val="false"/>
                <w:color w:val="000000"/>
                <w:sz w:val="19"/>
                <w:szCs w:val="19"/>
              </w:rPr>
              <w:t xml:space="preserve">0,626</w:t>
            </w:r>
          </w:p>
        </w:tc>
        <w:tc>
          <w:tcPr>
            <w:tcW w:type="dxa" w:w="1400"/>
            <w:shd w:fill="FFFFFF" w:val="clear"/>
            <w:tcMar>
              <w:top w:type="dxa" w:w="90"/>
              <w:left w:type="dxa" w:w="110"/>
              <w:bottom w:type="dxa" w:w="90"/>
              <w:right w:type="dxa" w:w="110"/>
            </w:tcMar>
          </w:tcPr>
          <w:p>
            <w:r>
              <w:rPr>
                <w:b w:val="false"/>
                <w:bCs w:val="false"/>
                <w:color w:val="000000"/>
                <w:sz w:val="19"/>
                <w:szCs w:val="19"/>
              </w:rPr>
              <w:t xml:space="preserve">0,736</w:t>
            </w:r>
          </w:p>
        </w:tc>
      </w:tr>
      <w:tr>
        <w:tc>
          <w:tcPr>
            <w:tcW w:type="dxa" w:w="3400"/>
            <w:shd w:fill="FFFFFF" w:val="clear"/>
            <w:tcMar>
              <w:top w:type="dxa" w:w="90"/>
              <w:left w:type="dxa" w:w="110"/>
              <w:bottom w:type="dxa" w:w="90"/>
              <w:right w:type="dxa" w:w="110"/>
            </w:tcMar>
          </w:tcPr>
          <w:p>
            <w:r>
              <w:rPr>
                <w:b/>
                <w:bCs/>
                <w:color w:val="000000"/>
                <w:sz w:val="19"/>
                <w:szCs w:val="19"/>
              </w:rPr>
              <w:t xml:space="preserve">Gradient Boosting</w:t>
            </w:r>
          </w:p>
        </w:tc>
        <w:tc>
          <w:tcPr>
            <w:tcW w:type="dxa" w:w="2000"/>
            <w:shd w:fill="FFFFFF" w:val="clear"/>
            <w:tcMar>
              <w:top w:type="dxa" w:w="90"/>
              <w:left w:type="dxa" w:w="110"/>
              <w:bottom w:type="dxa" w:w="90"/>
              <w:right w:type="dxa" w:w="110"/>
            </w:tcMar>
          </w:tcPr>
          <w:p>
            <w:r>
              <w:rPr>
                <w:b w:val="false"/>
                <w:bCs w:val="false"/>
                <w:color w:val="000000"/>
                <w:sz w:val="19"/>
                <w:szCs w:val="19"/>
              </w:rPr>
              <w:t xml:space="preserve">0,760</w:t>
            </w:r>
          </w:p>
        </w:tc>
        <w:tc>
          <w:tcPr>
            <w:tcW w:type="dxa" w:w="2400"/>
            <w:shd w:fill="FFFFFF" w:val="clear"/>
            <w:tcMar>
              <w:top w:type="dxa" w:w="90"/>
              <w:left w:type="dxa" w:w="110"/>
              <w:bottom w:type="dxa" w:w="90"/>
              <w:right w:type="dxa" w:w="110"/>
            </w:tcMar>
          </w:tcPr>
          <w:p>
            <w:r>
              <w:rPr>
                <w:b w:val="false"/>
                <w:bCs w:val="false"/>
                <w:color w:val="000000"/>
                <w:sz w:val="19"/>
                <w:szCs w:val="19"/>
              </w:rPr>
              <w:t xml:space="preserve">0,073</w:t>
            </w:r>
          </w:p>
        </w:tc>
        <w:tc>
          <w:tcPr>
            <w:tcW w:type="dxa" w:w="1400"/>
            <w:shd w:fill="FFFFFF" w:val="clear"/>
            <w:tcMar>
              <w:top w:type="dxa" w:w="90"/>
              <w:left w:type="dxa" w:w="110"/>
              <w:bottom w:type="dxa" w:w="90"/>
              <w:right w:type="dxa" w:w="110"/>
            </w:tcMar>
          </w:tcPr>
          <w:p>
            <w:r>
              <w:rPr>
                <w:b w:val="false"/>
                <w:bCs w:val="false"/>
                <w:color w:val="000000"/>
                <w:sz w:val="19"/>
                <w:szCs w:val="19"/>
              </w:rPr>
              <w:t xml:space="preserve">0,886</w:t>
            </w:r>
          </w:p>
        </w:tc>
      </w:tr>
    </w:tbl>
    <w:p>
      <w:pPr>
        <w:spacing w:before="200"/>
      </w:pPr>
    </w:p>
    <w:p>
      <w:pPr>
        <w:spacing w:after="140" w:line="300"/>
      </w:pPr>
      <w:r>
        <w:rPr>
          <w:sz w:val="21"/>
          <w:szCs w:val="21"/>
        </w:rPr>
        <w:t xml:space="preserve">Résultat marquant, à retenir en priorité : les trois modèles ont un AUC quasiment identique (~0,76). Les méthodes d'ensemble, malgré leur complexité supérieure, n'apportent aucun gain réel de pouvoir prédictif sur ce dataset. Deuxième constat : Gradient Boosting (sans class_weight en standard sous scikit-learn) retombe dans le même piège que la régression logistique non pondérée de S6 — recall de 0,073, il ne détecte quasiment aucun vrai défaut malgré une accuracy de 88,6%.</w:t>
      </w:r>
    </w:p>
    <w:p>
      <w:pPr>
        <w:pStyle w:val="Heading1"/>
        <w:spacing w:after="140" w:before="300"/>
      </w:pPr>
      <w:r>
        <w:rPr>
          <w:b/>
          <w:bCs/>
          <w:color w:val="1B2E22"/>
          <w:sz w:val="30"/>
          <w:szCs w:val="30"/>
        </w:rPr>
        <w:t xml:space="preserve">Concepts clés</w:t>
      </w:r>
    </w:p>
    <w:p>
      <w:pPr>
        <w:pStyle w:val="ListParagraph"/>
        <w:numPr>
          <w:ilvl w:val="0"/>
          <w:numId w:val="2"/>
        </w:numPr>
        <w:spacing w:after="70" w:line="280"/>
      </w:pPr>
      <w:r>
        <w:rPr>
          <w:b/>
          <w:bCs/>
          <w:sz w:val="21"/>
          <w:szCs w:val="21"/>
        </w:rPr>
        <w:t xml:space="preserve">Random Forest : </w:t>
      </w:r>
      <w:r>
        <w:rPr>
          <w:sz w:val="21"/>
          <w:szCs w:val="21"/>
        </w:rPr>
        <w:t xml:space="preserve">Combine plusieurs arbres de décision entraînés sur des sous-échantillons différents des données, puis moyenne leurs prédictions. Réduit le risque de sur-apprentissage d'un arbre unique.</w:t>
      </w:r>
    </w:p>
    <w:p>
      <w:pPr>
        <w:pStyle w:val="ListParagraph"/>
        <w:numPr>
          <w:ilvl w:val="0"/>
          <w:numId w:val="2"/>
        </w:numPr>
        <w:spacing w:after="70" w:line="280"/>
      </w:pPr>
      <w:r>
        <w:rPr>
          <w:b/>
          <w:bCs/>
          <w:sz w:val="21"/>
          <w:szCs w:val="21"/>
        </w:rPr>
        <w:t xml:space="preserve">Gradient Boosting : </w:t>
      </w:r>
      <w:r>
        <w:rPr>
          <w:sz w:val="21"/>
          <w:szCs w:val="21"/>
        </w:rPr>
        <w:t xml:space="preserve">Construit les arbres un par un, chacun corrigeant les erreurs du précédent. Souvent performant, mais plus sensible au sur-apprentissage si mal réglé (nombre d'arbres, profondeur, learning_rate).</w:t>
      </w:r>
    </w:p>
    <w:p>
      <w:pPr>
        <w:pStyle w:val="ListParagraph"/>
        <w:numPr>
          <w:ilvl w:val="0"/>
          <w:numId w:val="2"/>
        </w:numPr>
        <w:spacing w:after="70" w:line="280"/>
      </w:pPr>
      <w:r>
        <w:rPr>
          <w:b/>
          <w:bCs/>
          <w:sz w:val="21"/>
          <w:szCs w:val="21"/>
        </w:rPr>
        <w:t xml:space="preserve">Pourquoi pas de standardisation pour les arbres ? </w:t>
      </w:r>
      <w:r>
        <w:rPr>
          <w:sz w:val="21"/>
          <w:szCs w:val="21"/>
        </w:rPr>
        <w:t xml:space="preserve">Contrairement à la régression logistique, un arbre de décision compare juste des valeurs entre elles — l'échelle des variables n'affecte pas ces comparaisons. Standardiser serait inutile ici.</w:t>
      </w:r>
    </w:p>
    <w:p>
      <w:pPr>
        <w:pStyle w:val="ListParagraph"/>
        <w:numPr>
          <w:ilvl w:val="0"/>
          <w:numId w:val="2"/>
        </w:numPr>
        <w:spacing w:after="70" w:line="280"/>
      </w:pPr>
      <w:r>
        <w:rPr>
          <w:b/>
          <w:bCs/>
          <w:sz w:val="21"/>
          <w:szCs w:val="21"/>
        </w:rPr>
        <w:t xml:space="preserve">Importance des variables (feature_importances_) : </w:t>
      </w:r>
      <w:r>
        <w:rPr>
          <w:sz w:val="21"/>
          <w:szCs w:val="21"/>
        </w:rPr>
        <w:t xml:space="preserve">Score qui indique à quel point chaque variable contribue globalement aux décisions du modèle. Moins précis qu'un coefficient de régression logistique (qui donne un sens et une direction), mais utile pour une première lecture.</w:t>
      </w:r>
    </w:p>
    <w:p>
      <w:pPr>
        <w:pStyle w:val="ListParagraph"/>
        <w:numPr>
          <w:ilvl w:val="0"/>
          <w:numId w:val="2"/>
        </w:numPr>
        <w:spacing w:after="70" w:line="280"/>
      </w:pPr>
      <w:r>
        <w:rPr>
          <w:b/>
          <w:bCs/>
          <w:sz w:val="21"/>
          <w:szCs w:val="21"/>
        </w:rPr>
        <w:t xml:space="preserve">Sur-apprentissage (overfitting) : </w:t>
      </w:r>
      <w:r>
        <w:rPr>
          <w:sz w:val="21"/>
          <w:szCs w:val="21"/>
        </w:rPr>
        <w:t xml:space="preserve">Le modèle apprend trop précisément les particularités du jeu d'entraînement (y compris son bruit), au point de mal généraliser sur des données nouvelles. On le limite ici via max_depth (profondeur des arbres).</w:t>
      </w:r>
    </w:p>
    <w:p>
      <w:pPr>
        <w:pStyle w:val="Heading1"/>
        <w:spacing w:after="140" w:before="300"/>
      </w:pPr>
      <w:r>
        <w:rPr>
          <w:b/>
          <w:bCs/>
          <w:color w:val="1B2E22"/>
          <w:sz w:val="30"/>
          <w:szCs w:val="30"/>
        </w:rPr>
        <w:t xml:space="preserve">Pourquoi ces choix, et pas d'autres — pour anticiper les questions</w:t>
      </w:r>
    </w:p>
    <w:p>
      <w:pPr>
        <w:pStyle w:val="ListParagraph"/>
        <w:numPr>
          <w:ilvl w:val="0"/>
          <w:numId w:val="2"/>
        </w:numPr>
        <w:spacing w:after="70" w:line="280"/>
      </w:pPr>
      <w:r>
        <w:rPr>
          <w:b/>
          <w:bCs/>
          <w:sz w:val="21"/>
          <w:szCs w:val="21"/>
        </w:rPr>
        <w:t xml:space="preserve">Pourquoi les modèles d'ensemble ne font-ils pas mieux que la régression logistique ici ? </w:t>
      </w:r>
      <w:r>
        <w:rPr>
          <w:sz w:val="21"/>
          <w:szCs w:val="21"/>
        </w:rPr>
        <w:t xml:space="preserve">Parce que le dataset est probablement synthétique (constat de S3) : les variables ont été générées de façon quasi indépendante, sans les interactions complexes que ces méthodes savent habituellement exploiter sur de vraies données réelles. Sur des données bancaires réelles, l'écart serait probablement plus marqué.</w:t>
      </w:r>
    </w:p>
    <w:p>
      <w:pPr>
        <w:pStyle w:val="ListParagraph"/>
        <w:numPr>
          <w:ilvl w:val="0"/>
          <w:numId w:val="2"/>
        </w:numPr>
        <w:spacing w:after="70" w:line="280"/>
      </w:pPr>
      <w:r>
        <w:rPr>
          <w:b/>
          <w:bCs/>
          <w:sz w:val="21"/>
          <w:szCs w:val="21"/>
        </w:rPr>
        <w:t xml:space="preserve">Pourquoi Gradient Boosting n'a-t-il pas de class_weight ? </w:t>
      </w:r>
      <w:r>
        <w:rPr>
          <w:sz w:val="21"/>
          <w:szCs w:val="21"/>
        </w:rPr>
        <w:t xml:space="preserve">Parce que scikit-learn ne propose pas ce paramètre pour GradientBoostingClassifier (contrairement à LogisticRegression et RandomForestClassifier). Il faudrait soit rééquilibrer les données en amont (sur/sous-échantillonnage), soit ajuster manuellement le seuil de décision après entraînement.</w:t>
      </w:r>
    </w:p>
    <w:p>
      <w:pPr>
        <w:pStyle w:val="ListParagraph"/>
        <w:numPr>
          <w:ilvl w:val="0"/>
          <w:numId w:val="2"/>
        </w:numPr>
        <w:spacing w:after="70" w:line="280"/>
      </w:pPr>
      <w:r>
        <w:rPr>
          <w:b/>
          <w:bCs/>
          <w:sz w:val="21"/>
          <w:szCs w:val="21"/>
        </w:rPr>
        <w:t xml:space="preserve">Alors pourquoi ne pas juste garder la régression logistique ? </w:t>
      </w:r>
      <w:r>
        <w:rPr>
          <w:sz w:val="21"/>
          <w:szCs w:val="21"/>
        </w:rPr>
        <w:t xml:space="preserve">Parce que malgré l'AUC équivalent, elle reste le modèle le plus simple, la plus interprétable (utile en contexte bancaire réglementé, cf. S2), et la plus rapide à entraîner. Ajouter de la complexité sans gain de performance n'est pas justifié — c'est un principe important en science des données (rasoir d'Ockham appliqué à la modélisation).</w:t>
      </w:r>
    </w:p>
    <w:p>
      <w:pPr>
        <w:pStyle w:val="Heading1"/>
        <w:spacing w:after="140" w:before="300"/>
      </w:pPr>
      <w:r>
        <w:rPr>
          <w:b/>
          <w:bCs/>
          <w:color w:val="1B2E22"/>
          <w:sz w:val="30"/>
          <w:szCs w:val="30"/>
        </w:rPr>
        <w:t xml:space="preserve">Ressources pour aller plus loin</w:t>
      </w:r>
    </w:p>
    <w:p>
      <w:pPr>
        <w:pStyle w:val="ListParagraph"/>
        <w:numPr>
          <w:ilvl w:val="0"/>
          <w:numId w:val="2"/>
        </w:numPr>
        <w:spacing w:after="70" w:line="280"/>
      </w:pPr>
      <w:r>
        <w:rPr>
          <w:sz w:val="21"/>
          <w:szCs w:val="21"/>
        </w:rPr>
        <w:t xml:space="preserve">Scikit-learn — Random Forests (documentation officielle) — </w:t>
      </w:r>
      <w:hyperlink w:history="1" r:id="rIdqbf16j6xwgph55on8x5ne">
        <w:r>
          <w:rPr>
            <w:color w:val="1155CC"/>
            <w:sz w:val="21"/>
            <w:szCs w:val="21"/>
            <w:u w:val="single"/>
          </w:rPr>
          <w:t xml:space="preserve">https://scikit-learn.org/stable/modules/ensemble.html#random-forests</w:t>
        </w:r>
      </w:hyperlink>
    </w:p>
    <w:p>
      <w:pPr>
        <w:pStyle w:val="ListParagraph"/>
        <w:numPr>
          <w:ilvl w:val="0"/>
          <w:numId w:val="2"/>
        </w:numPr>
        <w:spacing w:after="70" w:line="280"/>
      </w:pPr>
      <w:r>
        <w:rPr>
          <w:sz w:val="21"/>
          <w:szCs w:val="21"/>
        </w:rPr>
        <w:t xml:space="preserve">Scikit-learn — Gradient Boosting (documentation officielle) — </w:t>
      </w:r>
      <w:hyperlink w:history="1" r:id="rIdy_cfvkuqyqscqu42icuax">
        <w:r>
          <w:rPr>
            <w:color w:val="1155CC"/>
            <w:sz w:val="21"/>
            <w:szCs w:val="21"/>
            <w:u w:val="single"/>
          </w:rPr>
          <w:t xml:space="preserve">https://scikit-learn.org/stable/modules/ensemble.html#gradient-boosting</w:t>
        </w:r>
      </w:hyperlink>
    </w:p>
    <w:p>
      <w:pPr>
        <w:pStyle w:val="ListParagraph"/>
        <w:numPr>
          <w:ilvl w:val="0"/>
          <w:numId w:val="2"/>
        </w:numPr>
        <w:spacing w:after="70" w:line="280"/>
      </w:pPr>
      <w:r>
        <w:rPr>
          <w:sz w:val="21"/>
          <w:szCs w:val="21"/>
        </w:rPr>
        <w:t xml:space="preserve">StatQuest — Random Forest, expliqué simplement (vidéo, en anglais) — </w:t>
      </w:r>
      <w:hyperlink w:history="1" r:id="rIdrfmflokfuxnydopm1ss2w">
        <w:r>
          <w:rPr>
            <w:color w:val="1155CC"/>
            <w:sz w:val="21"/>
            <w:szCs w:val="21"/>
            <w:u w:val="single"/>
          </w:rPr>
          <w:t xml:space="preserve">https://www.youtube.com/watch?v=J4Wdy0Wc_xQ</w:t>
        </w:r>
      </w:hyperlink>
    </w:p>
    <w:p>
      <w:pPr>
        <w:pStyle w:val="ListParagraph"/>
        <w:numPr>
          <w:ilvl w:val="0"/>
          <w:numId w:val="2"/>
        </w:numPr>
        <w:spacing w:after="70" w:line="280"/>
      </w:pPr>
      <w:r>
        <w:rPr>
          <w:sz w:val="21"/>
          <w:szCs w:val="21"/>
        </w:rPr>
        <w:t xml:space="preserve">Scikit-learn — Understanding the decision tree structure — </w:t>
      </w:r>
      <w:hyperlink w:history="1" r:id="rIdkhtzw-h1xjxwnrtz_lycm">
        <w:r>
          <w:rPr>
            <w:color w:val="1155CC"/>
            <w:sz w:val="21"/>
            <w:szCs w:val="21"/>
            <w:u w:val="single"/>
          </w:rPr>
          <w:t xml:space="preserve">https://scikit-learn.org/stable/auto_examples/tree/plot_unveil_tree_structure.html</w:t>
        </w:r>
      </w:hyperlink>
    </w:p>
    <w:p>
      <w:pPr>
        <w:pStyle w:val="Heading1"/>
        <w:spacing w:after="140" w:before="300"/>
      </w:pPr>
      <w:r>
        <w:rPr>
          <w:b/>
          <w:bCs/>
          <w:color w:val="1B2E22"/>
          <w:sz w:val="30"/>
          <w:szCs w:val="30"/>
        </w:rPr>
        <w:t xml:space="preserve">Questions d'auto-test</w:t>
      </w:r>
    </w:p>
    <w:p>
      <w:pPr>
        <w:spacing w:after="90" w:line="280"/>
      </w:pPr>
      <w:r>
        <w:rPr>
          <w:b/>
          <w:bCs/>
          <w:color w:val="2D5A3D"/>
          <w:sz w:val="21"/>
          <w:szCs w:val="21"/>
        </w:rPr>
        <w:t xml:space="preserve">1. </w:t>
      </w:r>
      <w:r>
        <w:rPr>
          <w:i/>
          <w:iCs/>
          <w:sz w:val="21"/>
          <w:szCs w:val="21"/>
        </w:rPr>
        <w:t xml:space="preserve">Pourquoi n'a-t-on pas standardisé les variables avant d'entraîner le Random Forest et le Gradient Boosting, alors qu'on l'avait fait pour la régression logistique ?</w:t>
      </w:r>
    </w:p>
    <w:p>
      <w:pPr>
        <w:spacing w:after="90" w:line="280"/>
      </w:pPr>
      <w:r>
        <w:rPr>
          <w:b/>
          <w:bCs/>
          <w:color w:val="2D5A3D"/>
          <w:sz w:val="21"/>
          <w:szCs w:val="21"/>
        </w:rPr>
        <w:t xml:space="preserve">2. </w:t>
      </w:r>
      <w:r>
        <w:rPr>
          <w:i/>
          <w:iCs/>
          <w:sz w:val="21"/>
          <w:szCs w:val="21"/>
        </w:rPr>
        <w:t xml:space="preserve">Les trois modèles ont un AUC très proche. Qu'est-ce que ça suggère sur la nature du dataset ?</w:t>
      </w:r>
    </w:p>
    <w:p>
      <w:pPr>
        <w:spacing w:after="90" w:line="280"/>
      </w:pPr>
      <w:r>
        <w:rPr>
          <w:b/>
          <w:bCs/>
          <w:color w:val="2D5A3D"/>
          <w:sz w:val="21"/>
          <w:szCs w:val="21"/>
        </w:rPr>
        <w:t xml:space="preserve">3. </w:t>
      </w:r>
      <w:r>
        <w:rPr>
          <w:i/>
          <w:iCs/>
          <w:sz w:val="21"/>
          <w:szCs w:val="21"/>
        </w:rPr>
        <w:t xml:space="preserve">Pourquoi le Gradient Boosting a-t-il un recall aussi faible malgré une accuracy élevée ? Est-ce lié à l'algorithme ou à autre chose ?</w:t>
      </w:r>
    </w:p>
    <w:p>
      <w:pPr>
        <w:spacing w:after="90" w:line="280"/>
      </w:pPr>
      <w:r>
        <w:rPr>
          <w:b/>
          <w:bCs/>
          <w:color w:val="2D5A3D"/>
          <w:sz w:val="21"/>
          <w:szCs w:val="21"/>
        </w:rPr>
        <w:t xml:space="preserve">4. </w:t>
      </w:r>
      <w:r>
        <w:rPr>
          <w:i/>
          <w:iCs/>
          <w:sz w:val="21"/>
          <w:szCs w:val="21"/>
        </w:rPr>
        <w:t xml:space="preserve">Quel est l'intérêt de regarder l'importance des variables d'un Random Forest, et quelle est sa limite par rapport à un coefficient de régression logistique ?</w:t>
      </w:r>
    </w:p>
    <w:p>
      <w:pPr>
        <w:pBdr>
          <w:top w:val="single" w:color="CCCCCC" w:sz="4" w:space="4"/>
        </w:pBdr>
        <w:spacing w:before="300"/>
      </w:pPr>
      <w:r>
        <w:rPr>
          <w:i/>
          <w:iCs/>
          <w:color w:val="777777"/>
          <w:sz w:val="18"/>
          <w:szCs w:val="18"/>
        </w:rPr>
        <w:t xml:space="preserve">Fiche préparée après la Séance 7. Code source complet : notebooks/06_modeles_ensemble.ipynb.</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f16j6xwgph55on8x5ne" Type="http://schemas.openxmlformats.org/officeDocument/2006/relationships/hyperlink" Target="https://scikit-learn.org/stable/modules/ensemble.html#random-forests" TargetMode="External"/><Relationship Id="rIdy_cfvkuqyqscqu42icuax" Type="http://schemas.openxmlformats.org/officeDocument/2006/relationships/hyperlink" Target="https://scikit-learn.org/stable/modules/ensemble.html#gradient-boosting" TargetMode="External"/><Relationship Id="rIdrfmflokfuxnydopm1ss2w" Type="http://schemas.openxmlformats.org/officeDocument/2006/relationships/hyperlink" Target="https://www.youtube.com/watch?v=J4Wdy0Wc_xQ" TargetMode="External"/><Relationship Id="rIdkhtzw-h1xjxwnrtz_lycm" Type="http://schemas.openxmlformats.org/officeDocument/2006/relationships/hyperlink" Target="https://scikit-learn.org/stable/auto_examples/tree/plot_unveil_tree_structure.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2026-08-14T21:49:21.665Z</dcterms:created>
  <dcterms:modified xsi:type="dcterms:W3CDTF">2026-08-14T21:49:21.676Z</dcterms:modified>
</cp:coreProperties>
</file>

<file path=docProps/custom.xml><?xml version="1.0" encoding="utf-8"?>
<Properties xmlns="http://schemas.openxmlformats.org/officeDocument/2006/custom-properties" xmlns:vt="http://schemas.openxmlformats.org/officeDocument/2006/docPropsVTypes"/>
</file>