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8F71"/>
          <w:sz w:val="18"/>
          <w:szCs w:val="18"/>
        </w:rPr>
        <w:t xml:space="preserve">PAEI 2026  |  Gehmit</w:t>
      </w:r>
    </w:p>
    <w:p>
      <w:pPr>
        <w:spacing w:after="60"/>
      </w:pPr>
      <w:r>
        <w:rPr>
          <w:b/>
          <w:bCs/>
          <w:color w:val="1B2E22"/>
          <w:sz w:val="20"/>
          <w:szCs w:val="20"/>
        </w:rPr>
        <w:t xml:space="preserve">SÉANCE 8 — FICHE D'APPRENTISSAGE</w:t>
      </w:r>
    </w:p>
    <w:p>
      <w:pPr>
        <w:pStyle w:val="Title"/>
        <w:spacing w:after="80"/>
      </w:pPr>
      <w:r>
        <w:rPr>
          <w:b/>
          <w:bCs/>
          <w:color w:val="1B2E22"/>
          <w:sz w:val="32"/>
          <w:szCs w:val="32"/>
        </w:rPr>
        <w:t xml:space="preserve">Optimisation : hyperparamètres et seuil</w:t>
      </w:r>
    </w:p>
    <w:p>
      <w:pPr>
        <w:spacing w:after="300"/>
      </w:pPr>
      <w:r>
        <w:rPr>
          <w:i/>
          <w:iCs/>
          <w:color w:val="444444"/>
          <w:sz w:val="21"/>
          <w:szCs w:val="21"/>
        </w:rPr>
        <w:t xml:space="preserve">Validation croisée, GridSearchCV, Gini, KS, et un piège à connaître sur le seuil de décision</w:t>
      </w:r>
    </w:p>
    <w:p>
      <w:pPr>
        <w:pBdr>
          <w:bottom w:val="single" w:color="1B2E22" w:sz="6" w:space="1"/>
        </w:pBdr>
        <w:spacing w:after="300"/>
      </w:pPr>
      <w:r>
        <w:t xml:space="preserve"/>
      </w:r>
    </w:p>
    <w:p>
      <w:pPr>
        <w:pStyle w:val="Heading1"/>
        <w:spacing w:after="140" w:before="300"/>
      </w:pPr>
      <w:r>
        <w:rPr>
          <w:b/>
          <w:bCs/>
          <w:color w:val="1B2E22"/>
          <w:sz w:val="30"/>
          <w:szCs w:val="30"/>
        </w:rPr>
        <w:t xml:space="preserve">Résumé de ce qui a été fait et pourquoi</w:t>
      </w:r>
    </w:p>
    <w:p>
      <w:pPr>
        <w:spacing w:after="140" w:line="300"/>
      </w:pPr>
      <w:r>
        <w:rPr>
          <w:sz w:val="21"/>
          <w:szCs w:val="21"/>
        </w:rPr>
        <w:t xml:space="preserve">On a validé la robustesse du modèle par validation croisée (5 découpages), cherché le meilleur hyperparamètre C par GridSearchCV, calculé les métriques bancaires Gini et KS identifiées depuis S2, puis exploré l'optimisation du seuil de décision.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B2E22" w:val="clear"/>
            <w:tcMar>
              <w:top w:type="dxa" w:w="90"/>
              <w:left w:type="dxa" w:w="110"/>
              <w:bottom w:type="dxa" w:w="90"/>
              <w:right w:type="dxa" w:w="110"/>
            </w:tcMar>
          </w:tcPr>
          <w:p>
            <w:r>
              <w:rPr>
                <w:b/>
                <w:bCs/>
                <w:color w:val="FFFFFF"/>
                <w:sz w:val="19"/>
                <w:szCs w:val="19"/>
              </w:rPr>
              <w:t xml:space="preserve">Résultat</w:t>
            </w:r>
          </w:p>
        </w:tc>
        <w:tc>
          <w:tcPr>
            <w:tcW w:type="dxa" w:w="4600"/>
            <w:shd w:fill="1B2E22" w:val="clear"/>
            <w:tcMar>
              <w:top w:type="dxa" w:w="90"/>
              <w:left w:type="dxa" w:w="110"/>
              <w:bottom w:type="dxa" w:w="90"/>
              <w:right w:type="dxa" w:w="110"/>
            </w:tcMar>
          </w:tcPr>
          <w:p>
            <w:r>
              <w:rPr>
                <w:b w:val="false"/>
                <w:bCs w:val="false"/>
                <w:color w:val="FFFFFF"/>
                <w:sz w:val="19"/>
                <w:szCs w:val="19"/>
              </w:rPr>
              <w:t xml:space="preserve">Valeur</w:t>
            </w:r>
          </w:p>
        </w:tc>
      </w:tr>
      <w:tr>
        <w:tc>
          <w:tcPr>
            <w:tcW w:type="dxa" w:w="4600"/>
            <w:shd w:fill="FFFFFF" w:val="clear"/>
            <w:tcMar>
              <w:top w:type="dxa" w:w="90"/>
              <w:left w:type="dxa" w:w="110"/>
              <w:bottom w:type="dxa" w:w="90"/>
              <w:right w:type="dxa" w:w="110"/>
            </w:tcMar>
          </w:tcPr>
          <w:p>
            <w:r>
              <w:rPr>
                <w:b/>
                <w:bCs/>
                <w:color w:val="000000"/>
                <w:sz w:val="19"/>
                <w:szCs w:val="19"/>
              </w:rPr>
              <w:t xml:space="preserve">AUC moyen (validation croisée, 5 découpages)</w:t>
            </w:r>
          </w:p>
        </w:tc>
        <w:tc>
          <w:tcPr>
            <w:tcW w:type="dxa" w:w="4600"/>
            <w:shd w:fill="FFFFFF" w:val="clear"/>
            <w:tcMar>
              <w:top w:type="dxa" w:w="90"/>
              <w:left w:type="dxa" w:w="110"/>
              <w:bottom w:type="dxa" w:w="90"/>
              <w:right w:type="dxa" w:w="110"/>
            </w:tcMar>
          </w:tcPr>
          <w:p>
            <w:r>
              <w:rPr>
                <w:b w:val="false"/>
                <w:bCs w:val="false"/>
                <w:color w:val="000000"/>
                <w:sz w:val="19"/>
                <w:szCs w:val="19"/>
              </w:rPr>
              <w:t xml:space="preserve">0,756 (écart-type 0,003 — très stable)</w:t>
            </w:r>
          </w:p>
        </w:tc>
      </w:tr>
      <w:tr>
        <w:tc>
          <w:tcPr>
            <w:tcW w:type="dxa" w:w="4600"/>
            <w:shd w:fill="FFFFFF" w:val="clear"/>
            <w:tcMar>
              <w:top w:type="dxa" w:w="90"/>
              <w:left w:type="dxa" w:w="110"/>
              <w:bottom w:type="dxa" w:w="90"/>
              <w:right w:type="dxa" w:w="110"/>
            </w:tcMar>
          </w:tcPr>
          <w:p>
            <w:r>
              <w:rPr>
                <w:b/>
                <w:bCs/>
                <w:color w:val="000000"/>
                <w:sz w:val="19"/>
                <w:szCs w:val="19"/>
              </w:rPr>
              <w:t xml:space="preserve">Meilleur C (GridSearchCV)</w:t>
            </w:r>
          </w:p>
        </w:tc>
        <w:tc>
          <w:tcPr>
            <w:tcW w:type="dxa" w:w="4600"/>
            <w:shd w:fill="FFFFFF" w:val="clear"/>
            <w:tcMar>
              <w:top w:type="dxa" w:w="90"/>
              <w:left w:type="dxa" w:w="110"/>
              <w:bottom w:type="dxa" w:w="90"/>
              <w:right w:type="dxa" w:w="110"/>
            </w:tcMar>
          </w:tcPr>
          <w:p>
            <w:r>
              <w:rPr>
                <w:b w:val="false"/>
                <w:bCs w:val="false"/>
                <w:color w:val="000000"/>
                <w:sz w:val="19"/>
                <w:szCs w:val="19"/>
              </w:rPr>
              <w:t xml:space="preserve">Aucun effet notable sur l'AUC (0,7558 à 0,7559 sur toute la grille)</w:t>
            </w:r>
          </w:p>
        </w:tc>
      </w:tr>
      <w:tr>
        <w:tc>
          <w:tcPr>
            <w:tcW w:type="dxa" w:w="4600"/>
            <w:shd w:fill="FFFFFF" w:val="clear"/>
            <w:tcMar>
              <w:top w:type="dxa" w:w="90"/>
              <w:left w:type="dxa" w:w="110"/>
              <w:bottom w:type="dxa" w:w="90"/>
              <w:right w:type="dxa" w:w="110"/>
            </w:tcMar>
          </w:tcPr>
          <w:p>
            <w:r>
              <w:rPr>
                <w:b/>
                <w:bCs/>
                <w:color w:val="000000"/>
                <w:sz w:val="19"/>
                <w:szCs w:val="19"/>
              </w:rPr>
              <w:t xml:space="preserve">AUC-ROC sur le jeu de test</w:t>
            </w:r>
          </w:p>
        </w:tc>
        <w:tc>
          <w:tcPr>
            <w:tcW w:type="dxa" w:w="4600"/>
            <w:shd w:fill="FFFFFF" w:val="clear"/>
            <w:tcMar>
              <w:top w:type="dxa" w:w="90"/>
              <w:left w:type="dxa" w:w="110"/>
              <w:bottom w:type="dxa" w:w="90"/>
              <w:right w:type="dxa" w:w="110"/>
            </w:tcMar>
          </w:tcPr>
          <w:p>
            <w:r>
              <w:rPr>
                <w:b w:val="false"/>
                <w:bCs w:val="false"/>
                <w:color w:val="000000"/>
                <w:sz w:val="19"/>
                <w:szCs w:val="19"/>
              </w:rPr>
              <w:t xml:space="preserve">0,762</w:t>
            </w:r>
          </w:p>
        </w:tc>
      </w:tr>
      <w:tr>
        <w:tc>
          <w:tcPr>
            <w:tcW w:type="dxa" w:w="4600"/>
            <w:shd w:fill="FFFFFF" w:val="clear"/>
            <w:tcMar>
              <w:top w:type="dxa" w:w="90"/>
              <w:left w:type="dxa" w:w="110"/>
              <w:bottom w:type="dxa" w:w="90"/>
              <w:right w:type="dxa" w:w="110"/>
            </w:tcMar>
          </w:tcPr>
          <w:p>
            <w:r>
              <w:rPr>
                <w:b/>
                <w:bCs/>
                <w:color w:val="000000"/>
                <w:sz w:val="19"/>
                <w:szCs w:val="19"/>
              </w:rPr>
              <w:t xml:space="preserve">Gini (= 2×AUC − 1)</w:t>
            </w:r>
          </w:p>
        </w:tc>
        <w:tc>
          <w:tcPr>
            <w:tcW w:type="dxa" w:w="4600"/>
            <w:shd w:fill="FFFFFF" w:val="clear"/>
            <w:tcMar>
              <w:top w:type="dxa" w:w="90"/>
              <w:left w:type="dxa" w:w="110"/>
              <w:bottom w:type="dxa" w:w="90"/>
              <w:right w:type="dxa" w:w="110"/>
            </w:tcMar>
          </w:tcPr>
          <w:p>
            <w:r>
              <w:rPr>
                <w:b w:val="false"/>
                <w:bCs w:val="false"/>
                <w:color w:val="000000"/>
                <w:sz w:val="19"/>
                <w:szCs w:val="19"/>
              </w:rPr>
              <w:t xml:space="preserve">0,523</w:t>
            </w:r>
          </w:p>
        </w:tc>
      </w:tr>
      <w:tr>
        <w:tc>
          <w:tcPr>
            <w:tcW w:type="dxa" w:w="4600"/>
            <w:shd w:fill="FFFFFF" w:val="clear"/>
            <w:tcMar>
              <w:top w:type="dxa" w:w="90"/>
              <w:left w:type="dxa" w:w="110"/>
              <w:bottom w:type="dxa" w:w="90"/>
              <w:right w:type="dxa" w:w="110"/>
            </w:tcMar>
          </w:tcPr>
          <w:p>
            <w:r>
              <w:rPr>
                <w:b/>
                <w:bCs/>
                <w:color w:val="000000"/>
                <w:sz w:val="19"/>
                <w:szCs w:val="19"/>
              </w:rPr>
              <w:t xml:space="preserve">KS (Kolmogorov-Smirnov)</w:t>
            </w:r>
          </w:p>
        </w:tc>
        <w:tc>
          <w:tcPr>
            <w:tcW w:type="dxa" w:w="4600"/>
            <w:shd w:fill="FFFFFF" w:val="clear"/>
            <w:tcMar>
              <w:top w:type="dxa" w:w="90"/>
              <w:left w:type="dxa" w:w="110"/>
              <w:bottom w:type="dxa" w:w="90"/>
              <w:right w:type="dxa" w:w="110"/>
            </w:tcMar>
          </w:tcPr>
          <w:p>
            <w:r>
              <w:rPr>
                <w:b w:val="false"/>
                <w:bCs w:val="false"/>
                <w:color w:val="000000"/>
                <w:sz w:val="19"/>
                <w:szCs w:val="19"/>
              </w:rPr>
              <w:t xml:space="preserve">0,389</w:t>
            </w:r>
          </w:p>
        </w:tc>
      </w:tr>
    </w:tbl>
    <w:p>
      <w:pPr>
        <w:pBdr>
          <w:left w:val="single" w:color="B23B3B" w:sz="24" w:space="8"/>
        </w:pBdr>
        <w:shd w:fill="FBEAEA" w:val="clear"/>
        <w:spacing w:after="120" w:before="240"/>
      </w:pPr>
      <w:r>
        <w:rPr>
          <w:b/>
          <w:bCs/>
          <w:color w:val="B23B3B"/>
          <w:sz w:val="22"/>
          <w:szCs w:val="22"/>
        </w:rPr>
        <w:t xml:space="preserve">⚠ Un piège rencontré, à bien comprendre</w:t>
      </w:r>
    </w:p>
    <w:p>
      <w:pPr>
        <w:spacing w:after="140" w:line="300"/>
      </w:pPr>
      <w:r>
        <w:rPr>
          <w:sz w:val="21"/>
          <w:szCs w:val="21"/>
        </w:rPr>
        <w:t xml:space="preserve">Le seuil qui maximise le F1-score (0,619) donne un recall de 0,517 — plus bas que le seuil par défaut 0,5 combiné à class_weight='balanced' (recall de 0,698). Optimiser le F1-score revient à équilibrer precision et recall à parts égales, alors qu'on avait justifié dès S6 que le recall devait être prioritaire (un défaut manqué coûte plus cher qu'une fausse alerte). Le seuil 0,5 avec pondération de classe reste donc préférable ici — pas parce qu'il est "par défaut", mais parce qu'il correspond mieux à la priorité métier définie plus tôt dans le projet.</w:t>
      </w:r>
    </w:p>
    <w:p>
      <w:pPr>
        <w:pStyle w:val="Heading1"/>
        <w:spacing w:after="140" w:before="300"/>
      </w:pPr>
      <w:r>
        <w:rPr>
          <w:b/>
          <w:bCs/>
          <w:color w:val="1B2E22"/>
          <w:sz w:val="30"/>
          <w:szCs w:val="30"/>
        </w:rPr>
        <w:t xml:space="preserve">Concepts clés</w:t>
      </w:r>
    </w:p>
    <w:p>
      <w:pPr>
        <w:pStyle w:val="ListParagraph"/>
        <w:numPr>
          <w:ilvl w:val="0"/>
          <w:numId w:val="2"/>
        </w:numPr>
        <w:spacing w:after="70" w:line="280"/>
      </w:pPr>
      <w:r>
        <w:rPr>
          <w:b/>
          <w:bCs/>
          <w:sz w:val="21"/>
          <w:szCs w:val="21"/>
        </w:rPr>
        <w:t xml:space="preserve">Validation croisée (cross-validation) : </w:t>
      </w:r>
      <w:r>
        <w:rPr>
          <w:sz w:val="21"/>
          <w:szCs w:val="21"/>
        </w:rPr>
        <w:t xml:space="preserve">Répéter l'entraînement et l'évaluation sur plusieurs découpages différents des données, puis moyenner les résultats — donne une estimation plus fiable qu'un seul découpage train/test.</w:t>
      </w:r>
    </w:p>
    <w:p>
      <w:pPr>
        <w:pStyle w:val="ListParagraph"/>
        <w:numPr>
          <w:ilvl w:val="0"/>
          <w:numId w:val="2"/>
        </w:numPr>
        <w:spacing w:after="70" w:line="280"/>
      </w:pPr>
      <w:r>
        <w:rPr>
          <w:b/>
          <w:bCs/>
          <w:sz w:val="21"/>
          <w:szCs w:val="21"/>
        </w:rPr>
        <w:t xml:space="preserve">GridSearchCV : </w:t>
      </w:r>
      <w:r>
        <w:rPr>
          <w:sz w:val="21"/>
          <w:szCs w:val="21"/>
        </w:rPr>
        <w:t xml:space="preserve">Recherche automatique de la meilleure combinaison d'hyperparamètres parmi une liste donnée, en s'appuyant sur la validation croisée pour comparer chaque combinaison équitablement.</w:t>
      </w:r>
    </w:p>
    <w:p>
      <w:pPr>
        <w:pStyle w:val="ListParagraph"/>
        <w:numPr>
          <w:ilvl w:val="0"/>
          <w:numId w:val="2"/>
        </w:numPr>
        <w:spacing w:after="70" w:line="280"/>
      </w:pPr>
      <w:r>
        <w:rPr>
          <w:b/>
          <w:bCs/>
          <w:sz w:val="21"/>
          <w:szCs w:val="21"/>
        </w:rPr>
        <w:t xml:space="preserve">Hyperparamètre C : </w:t>
      </w:r>
      <w:r>
        <w:rPr>
          <w:sz w:val="21"/>
          <w:szCs w:val="21"/>
        </w:rPr>
        <w:t xml:space="preserve">Paramètre de régularisation de la régression logistique. Petit = modèle plus prudent (risque de sous-apprentissage) ; grand = modèle plus proche des données d'entraînement (risque de sur-apprentissage).</w:t>
      </w:r>
    </w:p>
    <w:p>
      <w:pPr>
        <w:pStyle w:val="ListParagraph"/>
        <w:numPr>
          <w:ilvl w:val="0"/>
          <w:numId w:val="2"/>
        </w:numPr>
        <w:spacing w:after="70" w:line="280"/>
      </w:pPr>
      <w:r>
        <w:rPr>
          <w:b/>
          <w:bCs/>
          <w:sz w:val="21"/>
          <w:szCs w:val="21"/>
        </w:rPr>
        <w:t xml:space="preserve">Gini : </w:t>
      </w:r>
      <w:r>
        <w:rPr>
          <w:sz w:val="21"/>
          <w:szCs w:val="21"/>
        </w:rPr>
        <w:t xml:space="preserve">= 2×AUC − 1. Reformulation de l'AUC utilisée comme standard dans le secteur bancaire (littérature S2).</w:t>
      </w:r>
    </w:p>
    <w:p>
      <w:pPr>
        <w:pStyle w:val="ListParagraph"/>
        <w:numPr>
          <w:ilvl w:val="0"/>
          <w:numId w:val="2"/>
        </w:numPr>
        <w:spacing w:after="70" w:line="280"/>
      </w:pPr>
      <w:r>
        <w:rPr>
          <w:b/>
          <w:bCs/>
          <w:sz w:val="21"/>
          <w:szCs w:val="21"/>
        </w:rPr>
        <w:t xml:space="preserve">KS (Kolmogorov-Smirnov) : </w:t>
      </w:r>
      <w:r>
        <w:rPr>
          <w:sz w:val="21"/>
          <w:szCs w:val="21"/>
        </w:rPr>
        <w:t xml:space="preserve">Écart maximal entre les distributions cumulées des scores des deux classes (défaut / non-défaut). Plus il est élevé, mieux le modèle sépare les deux populations.</w:t>
      </w:r>
    </w:p>
    <w:p>
      <w:pPr>
        <w:pStyle w:val="ListParagraph"/>
        <w:numPr>
          <w:ilvl w:val="0"/>
          <w:numId w:val="2"/>
        </w:numPr>
        <w:spacing w:after="70" w:line="280"/>
      </w:pPr>
      <w:r>
        <w:rPr>
          <w:b/>
          <w:bCs/>
          <w:sz w:val="21"/>
          <w:szCs w:val="21"/>
        </w:rPr>
        <w:t xml:space="preserve">F1-score : </w:t>
      </w:r>
      <w:r>
        <w:rPr>
          <w:sz w:val="21"/>
          <w:szCs w:val="21"/>
        </w:rPr>
        <w:t xml:space="preserve">Score qui combine precision et recall à parts égales (moyenne harmonique). Utile comme repère général, mais ne reflète pas forcément la priorité métier réelle d'un projet donné.</w:t>
      </w:r>
    </w:p>
    <w:p>
      <w:pPr>
        <w:pStyle w:val="ListParagraph"/>
        <w:numPr>
          <w:ilvl w:val="0"/>
          <w:numId w:val="2"/>
        </w:numPr>
        <w:spacing w:after="70" w:line="280"/>
      </w:pPr>
      <w:r>
        <w:rPr>
          <w:b/>
          <w:bCs/>
          <w:sz w:val="21"/>
          <w:szCs w:val="21"/>
        </w:rPr>
        <w:t xml:space="preserve">Leçon retenue : </w:t>
      </w:r>
      <w:r>
        <w:rPr>
          <w:sz w:val="21"/>
          <w:szCs w:val="21"/>
        </w:rPr>
        <w:t xml:space="preserve">Optimiser une métrique générique (comme le F1-score) sans vérifier qu'elle correspond à l'objectif réel du projet peut donner un résultat qui semble meilleur sur le papier, mais qui va à l'encontre de ce qu'on cherchait vraiment.</w:t>
      </w:r>
    </w:p>
    <w:p>
      <w:pPr>
        <w:pStyle w:val="Heading1"/>
        <w:spacing w:after="140" w:before="300"/>
      </w:pPr>
      <w:r>
        <w:rPr>
          <w:b/>
          <w:bCs/>
          <w:color w:val="1B2E22"/>
          <w:sz w:val="30"/>
          <w:szCs w:val="30"/>
        </w:rPr>
        <w:t xml:space="preserve">Pourquoi ces choix, et pas d'autres — pour anticiper les questions</w:t>
      </w:r>
    </w:p>
    <w:p>
      <w:pPr>
        <w:pStyle w:val="ListParagraph"/>
        <w:numPr>
          <w:ilvl w:val="0"/>
          <w:numId w:val="2"/>
        </w:numPr>
        <w:spacing w:after="70" w:line="280"/>
      </w:pPr>
      <w:r>
        <w:rPr>
          <w:b/>
          <w:bCs/>
          <w:sz w:val="21"/>
          <w:szCs w:val="21"/>
        </w:rPr>
        <w:t xml:space="preserve">Pourquoi utiliser la validation croisée en plus du train/test déjà fait en S6 ? </w:t>
      </w:r>
      <w:r>
        <w:rPr>
          <w:sz w:val="21"/>
          <w:szCs w:val="21"/>
        </w:rPr>
        <w:t xml:space="preserve">Parce qu'un seul découpage train/test dépend du hasard : un découpage particulièrement favorable ou défavorable fausserait l'évaluation. La moyenne sur 5 découpages, avec un écart-type faible (0,003), donne confiance dans la stabilité du résultat.</w:t>
      </w:r>
    </w:p>
    <w:p>
      <w:pPr>
        <w:pStyle w:val="ListParagraph"/>
        <w:numPr>
          <w:ilvl w:val="0"/>
          <w:numId w:val="2"/>
        </w:numPr>
        <w:spacing w:after="70" w:line="280"/>
      </w:pPr>
      <w:r>
        <w:rPr>
          <w:b/>
          <w:bCs/>
          <w:sz w:val="21"/>
          <w:szCs w:val="21"/>
        </w:rPr>
        <w:t xml:space="preserve">Pourquoi le paramètre C n'a-t-il presque aucun effet ici ? </w:t>
      </w:r>
      <w:r>
        <w:rPr>
          <w:sz w:val="21"/>
          <w:szCs w:val="21"/>
        </w:rPr>
        <w:t xml:space="preserve">Parce que le dataset semble synthétique et propre (S3) : sans bruit ni valeurs aberrantes à corriger, la régularisation — dont le rôle est justement de limiter l'effet du bruit — a peu de travail à faire, donc peu d'impact visible.</w:t>
      </w:r>
    </w:p>
    <w:p>
      <w:pPr>
        <w:pStyle w:val="ListParagraph"/>
        <w:numPr>
          <w:ilvl w:val="0"/>
          <w:numId w:val="2"/>
        </w:numPr>
        <w:spacing w:after="70" w:line="280"/>
      </w:pPr>
      <w:r>
        <w:rPr>
          <w:b/>
          <w:bCs/>
          <w:sz w:val="21"/>
          <w:szCs w:val="21"/>
        </w:rPr>
        <w:t xml:space="preserve">Pourquoi ne pas garder le seuil qui maximise F1, puisqu'il est "optimal" ? </w:t>
      </w:r>
      <w:r>
        <w:rPr>
          <w:sz w:val="21"/>
          <w:szCs w:val="21"/>
        </w:rPr>
        <w:t xml:space="preserve">Parce que le choix du seuil est une décision métier (quel coût accorder à un défaut manqué vs une fausse alerte), pas uniquement une optimisation statistique. Une métrique générique comme F1 ne connaît pas ce contexte — elle traite les deux erreurs comme équivalentes, ce qui n'est pas vrai dans le scoring de crédit.</w:t>
      </w:r>
    </w:p>
    <w:p>
      <w:pPr>
        <w:pStyle w:val="Heading1"/>
        <w:spacing w:after="140" w:before="300"/>
      </w:pPr>
      <w:r>
        <w:rPr>
          <w:b/>
          <w:bCs/>
          <w:color w:val="1B2E22"/>
          <w:sz w:val="30"/>
          <w:szCs w:val="30"/>
        </w:rPr>
        <w:t xml:space="preserve">Ressources pour aller plus loin</w:t>
      </w:r>
    </w:p>
    <w:p>
      <w:pPr>
        <w:pStyle w:val="ListParagraph"/>
        <w:numPr>
          <w:ilvl w:val="0"/>
          <w:numId w:val="2"/>
        </w:numPr>
        <w:spacing w:after="70" w:line="280"/>
      </w:pPr>
      <w:r>
        <w:rPr>
          <w:sz w:val="21"/>
          <w:szCs w:val="21"/>
        </w:rPr>
        <w:t xml:space="preserve">Scikit-learn — Cross-validation: evaluating estimator performance — </w:t>
      </w:r>
      <w:hyperlink w:history="1" r:id="rIdgc1lxmvq6hqry8azavget">
        <w:r>
          <w:rPr>
            <w:color w:val="1155CC"/>
            <w:sz w:val="21"/>
            <w:szCs w:val="21"/>
            <w:u w:val="single"/>
          </w:rPr>
          <w:t xml:space="preserve">https://scikit-learn.org/stable/modules/cross_validation.html</w:t>
        </w:r>
      </w:hyperlink>
    </w:p>
    <w:p>
      <w:pPr>
        <w:pStyle w:val="ListParagraph"/>
        <w:numPr>
          <w:ilvl w:val="0"/>
          <w:numId w:val="2"/>
        </w:numPr>
        <w:spacing w:after="70" w:line="280"/>
      </w:pPr>
      <w:r>
        <w:rPr>
          <w:sz w:val="21"/>
          <w:szCs w:val="21"/>
        </w:rPr>
        <w:t xml:space="preserve">Scikit-learn — GridSearchCV, tuning des hyperparamètres — </w:t>
      </w:r>
      <w:hyperlink w:history="1" r:id="rIdhguopvlkq5vmerqpnan-p">
        <w:r>
          <w:rPr>
            <w:color w:val="1155CC"/>
            <w:sz w:val="21"/>
            <w:szCs w:val="21"/>
            <w:u w:val="single"/>
          </w:rPr>
          <w:t xml:space="preserve">https://scikit-learn.org/stable/modules/grid_search.html</w:t>
        </w:r>
      </w:hyperlink>
    </w:p>
    <w:p>
      <w:pPr>
        <w:pStyle w:val="ListParagraph"/>
        <w:numPr>
          <w:ilvl w:val="0"/>
          <w:numId w:val="2"/>
        </w:numPr>
        <w:spacing w:after="70" w:line="280"/>
      </w:pPr>
      <w:r>
        <w:rPr>
          <w:sz w:val="21"/>
          <w:szCs w:val="21"/>
        </w:rPr>
        <w:t xml:space="preserve">Scikit-learn — Precision-Recall curve et choix de seuil — </w:t>
      </w:r>
      <w:hyperlink w:history="1" r:id="rIdjf1en94oapo3uflya6xjn">
        <w:r>
          <w:rPr>
            <w:color w:val="1155CC"/>
            <w:sz w:val="21"/>
            <w:szCs w:val="21"/>
            <w:u w:val="single"/>
          </w:rPr>
          <w:t xml:space="preserve">https://scikit-learn.org/stable/auto_examples/model_selection/plot_precision_recall.html</w:t>
        </w:r>
      </w:hyperlink>
    </w:p>
    <w:p>
      <w:pPr>
        <w:pStyle w:val="ListParagraph"/>
        <w:numPr>
          <w:ilvl w:val="0"/>
          <w:numId w:val="2"/>
        </w:numPr>
        <w:spacing w:after="70" w:line="280"/>
      </w:pPr>
      <w:r>
        <w:rPr>
          <w:sz w:val="21"/>
          <w:szCs w:val="21"/>
        </w:rPr>
        <w:t xml:space="preserve">Wikipedia — Test de Kolmogorov-Smirnov — </w:t>
      </w:r>
      <w:hyperlink w:history="1" r:id="rIdfbutc-xyxi4hgo4aadfqw">
        <w:r>
          <w:rPr>
            <w:color w:val="1155CC"/>
            <w:sz w:val="21"/>
            <w:szCs w:val="21"/>
            <w:u w:val="single"/>
          </w:rPr>
          <w:t xml:space="preserve">https://fr.wikipedia.org/wiki/Test_de_Kolmogorov-Smirnov</w:t>
        </w:r>
      </w:hyperlink>
    </w:p>
    <w:p>
      <w:pPr>
        <w:pStyle w:val="Heading1"/>
        <w:spacing w:after="140" w:before="300"/>
      </w:pPr>
      <w:r>
        <w:rPr>
          <w:b/>
          <w:bCs/>
          <w:color w:val="1B2E22"/>
          <w:sz w:val="30"/>
          <w:szCs w:val="30"/>
        </w:rPr>
        <w:t xml:space="preserve">Questions d'auto-test</w:t>
      </w:r>
    </w:p>
    <w:p>
      <w:pPr>
        <w:spacing w:after="90" w:line="280"/>
      </w:pPr>
      <w:r>
        <w:rPr>
          <w:b/>
          <w:bCs/>
          <w:color w:val="2D5A3D"/>
          <w:sz w:val="21"/>
          <w:szCs w:val="21"/>
        </w:rPr>
        <w:t xml:space="preserve">1. </w:t>
      </w:r>
      <w:r>
        <w:rPr>
          <w:i/>
          <w:iCs/>
          <w:sz w:val="21"/>
          <w:szCs w:val="21"/>
        </w:rPr>
        <w:t xml:space="preserve">Pourquoi un AUC moyen stable sur 5 découpages (écart-type de 0,003) est-il un bon signe pour la fiabilité du modèle ?</w:t>
      </w:r>
    </w:p>
    <w:p>
      <w:pPr>
        <w:spacing w:after="90" w:line="280"/>
      </w:pPr>
      <w:r>
        <w:rPr>
          <w:b/>
          <w:bCs/>
          <w:color w:val="2D5A3D"/>
          <w:sz w:val="21"/>
          <w:szCs w:val="21"/>
        </w:rPr>
        <w:t xml:space="preserve">2. </w:t>
      </w:r>
      <w:r>
        <w:rPr>
          <w:i/>
          <w:iCs/>
          <w:sz w:val="21"/>
          <w:szCs w:val="21"/>
        </w:rPr>
        <w:t xml:space="preserve">Le seuil qui maximise le F1-score donne un recall plus faible que le seuil 0,5 avec class_weight='balanced'. Pourquoi n'est-ce pas une contradiction, et lequel choisir pour ce projet ?</w:t>
      </w:r>
    </w:p>
    <w:p>
      <w:pPr>
        <w:spacing w:after="90" w:line="280"/>
      </w:pPr>
      <w:r>
        <w:rPr>
          <w:b/>
          <w:bCs/>
          <w:color w:val="2D5A3D"/>
          <w:sz w:val="21"/>
          <w:szCs w:val="21"/>
        </w:rPr>
        <w:t xml:space="preserve">3. </w:t>
      </w:r>
      <w:r>
        <w:rPr>
          <w:i/>
          <w:iCs/>
          <w:sz w:val="21"/>
          <w:szCs w:val="21"/>
        </w:rPr>
        <w:t xml:space="preserve">Quelle est la relation exacte entre Gini et AUC-ROC ?</w:t>
      </w:r>
    </w:p>
    <w:p>
      <w:pPr>
        <w:spacing w:after="90" w:line="280"/>
      </w:pPr>
      <w:r>
        <w:rPr>
          <w:b/>
          <w:bCs/>
          <w:color w:val="2D5A3D"/>
          <w:sz w:val="21"/>
          <w:szCs w:val="21"/>
        </w:rPr>
        <w:t xml:space="preserve">4. </w:t>
      </w:r>
      <w:r>
        <w:rPr>
          <w:i/>
          <w:iCs/>
          <w:sz w:val="21"/>
          <w:szCs w:val="21"/>
        </w:rPr>
        <w:t xml:space="preserve">Pourquoi le réglage de l'hyperparamètre C n'a-t-il presque aucun effet sur ce dataset précis ?</w:t>
      </w:r>
    </w:p>
    <w:p>
      <w:pPr>
        <w:pBdr>
          <w:top w:val="single" w:color="CCCCCC" w:sz="4" w:space="4"/>
        </w:pBdr>
        <w:spacing w:before="300"/>
      </w:pPr>
      <w:r>
        <w:rPr>
          <w:i/>
          <w:iCs/>
          <w:color w:val="777777"/>
          <w:sz w:val="18"/>
          <w:szCs w:val="18"/>
        </w:rPr>
        <w:t xml:space="preserve">Fiche préparée après la Séance 8. Code source complet : notebooks/07_optimisation_S8.ipynb.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c1lxmvq6hqry8azavget" Type="http://schemas.openxmlformats.org/officeDocument/2006/relationships/hyperlink" Target="https://scikit-learn.org/stable/modules/cross_validation.html" TargetMode="External"/><Relationship Id="rIdhguopvlkq5vmerqpnan-p" Type="http://schemas.openxmlformats.org/officeDocument/2006/relationships/hyperlink" Target="https://scikit-learn.org/stable/modules/grid_search.html" TargetMode="External"/><Relationship Id="rIdjf1en94oapo3uflya6xjn" Type="http://schemas.openxmlformats.org/officeDocument/2006/relationships/hyperlink" Target="https://scikit-learn.org/stable/auto_examples/model_selection/plot_precision_recall.html" TargetMode="External"/><Relationship Id="rIdfbutc-xyxi4hgo4aadfqw" Type="http://schemas.openxmlformats.org/officeDocument/2006/relationships/hyperlink" Target="https://fr.wikipedia.org/wiki/Test_de_Kolmogorov-Smirno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2026-08-14T22:37:28.702Z</dcterms:created>
  <dcterms:modified xsi:type="dcterms:W3CDTF">2026-08-14T22:37:28.710Z</dcterms:modified>
</cp:coreProperties>
</file>

<file path=docProps/custom.xml><?xml version="1.0" encoding="utf-8"?>
<Properties xmlns="http://schemas.openxmlformats.org/officeDocument/2006/custom-properties" xmlns:vt="http://schemas.openxmlformats.org/officeDocument/2006/docPropsVTypes"/>
</file>