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8F71"/>
          <w:sz w:val="18"/>
          <w:szCs w:val="18"/>
        </w:rPr>
        <w:t xml:space="preserve">PAEI 2026  |  Gehmit</w:t>
      </w:r>
    </w:p>
    <w:p>
      <w:pPr>
        <w:spacing w:after="60"/>
      </w:pPr>
      <w:r>
        <w:rPr>
          <w:b/>
          <w:bCs/>
          <w:color w:val="1B2E22"/>
          <w:sz w:val="20"/>
          <w:szCs w:val="20"/>
        </w:rPr>
        <w:t xml:space="preserve">SÉANCE 9 — FICHE D'APPRENTISSAGE</w:t>
      </w:r>
    </w:p>
    <w:p>
      <w:pPr>
        <w:pStyle w:val="Title"/>
        <w:spacing w:after="80"/>
      </w:pPr>
      <w:r>
        <w:rPr>
          <w:b/>
          <w:bCs/>
          <w:color w:val="1B2E22"/>
          <w:sz w:val="34"/>
          <w:szCs w:val="34"/>
        </w:rPr>
        <w:t xml:space="preserve">Interprétabilité du modèle final</w:t>
      </w:r>
    </w:p>
    <w:p>
      <w:pPr>
        <w:spacing w:after="300"/>
      </w:pPr>
      <w:r>
        <w:rPr>
          <w:i/>
          <w:iCs/>
          <w:color w:val="444444"/>
          <w:sz w:val="21"/>
          <w:szCs w:val="21"/>
        </w:rPr>
        <w:t xml:space="preserve">Coefficients, odds ratios, et une preuve de cohérence sur tout le projet</w:t>
      </w:r>
    </w:p>
    <w:p>
      <w:pPr>
        <w:pBdr>
          <w:bottom w:val="single" w:color="1B2E22" w:sz="6" w:space="1"/>
        </w:pBdr>
        <w:spacing w:after="300"/>
      </w:pPr>
      <w:r>
        <w:t xml:space="preserve"/>
      </w:r>
    </w:p>
    <w:p>
      <w:pPr>
        <w:pStyle w:val="Heading1"/>
        <w:spacing w:after="140" w:before="300"/>
      </w:pPr>
      <w:r>
        <w:rPr>
          <w:b/>
          <w:bCs/>
          <w:color w:val="1B2E22"/>
          <w:sz w:val="30"/>
          <w:szCs w:val="30"/>
        </w:rPr>
        <w:t xml:space="preserve">Résumé de ce qui a été fait et pourquoi</w:t>
      </w:r>
    </w:p>
    <w:p>
      <w:pPr>
        <w:spacing w:after="140" w:line="300"/>
      </w:pPr>
      <w:r>
        <w:rPr>
          <w:sz w:val="21"/>
          <w:szCs w:val="21"/>
        </w:rPr>
        <w:t xml:space="preserve">On a extrait les coefficients du modèle final (régression logistique), converti chacun en odds ratio pour une lecture intuitive, et surtout vérifié leur cohérence avec les résultats de S3 (corrélations) et S7 (importance Random Forest).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100"/>
      </w:tblGrid>
      <w:tr>
        <w:tc>
          <w:tcPr>
            <w:tcW w:type="dxa" w:w="3200"/>
            <w:shd w:fill="1B2E22" w:val="clear"/>
            <w:tcMar>
              <w:top w:type="dxa" w:w="90"/>
              <w:left w:type="dxa" w:w="110"/>
              <w:bottom w:type="dxa" w:w="90"/>
              <w:right w:type="dxa" w:w="110"/>
            </w:tcMar>
          </w:tcPr>
          <w:p>
            <w:r>
              <w:rPr>
                <w:b/>
                <w:bCs/>
                <w:color w:val="FFFFFF"/>
                <w:sz w:val="19"/>
                <w:szCs w:val="19"/>
              </w:rPr>
              <w:t xml:space="preserve">Variable</w:t>
            </w:r>
          </w:p>
        </w:tc>
        <w:tc>
          <w:tcPr>
            <w:tcW w:type="dxa" w:w="2900"/>
            <w:shd w:fill="1B2E22" w:val="clear"/>
            <w:tcMar>
              <w:top w:type="dxa" w:w="90"/>
              <w:left w:type="dxa" w:w="110"/>
              <w:bottom w:type="dxa" w:w="90"/>
              <w:right w:type="dxa" w:w="110"/>
            </w:tcMar>
          </w:tcPr>
          <w:p>
            <w:r>
              <w:rPr>
                <w:b w:val="false"/>
                <w:bCs w:val="false"/>
                <w:color w:val="FFFFFF"/>
                <w:sz w:val="19"/>
                <w:szCs w:val="19"/>
              </w:rPr>
              <w:t xml:space="preserve">Coefficient</w:t>
            </w:r>
          </w:p>
        </w:tc>
        <w:tc>
          <w:tcPr>
            <w:tcW w:type="dxa" w:w="3100"/>
            <w:shd w:fill="1B2E22" w:val="clear"/>
            <w:tcMar>
              <w:top w:type="dxa" w:w="90"/>
              <w:left w:type="dxa" w:w="110"/>
              <w:bottom w:type="dxa" w:w="90"/>
              <w:right w:type="dxa" w:w="110"/>
            </w:tcMar>
          </w:tcPr>
          <w:p>
            <w:r>
              <w:rPr>
                <w:b w:val="false"/>
                <w:bCs w:val="false"/>
                <w:color w:val="FFFFFF"/>
                <w:sz w:val="19"/>
                <w:szCs w:val="19"/>
              </w:rPr>
              <w:t xml:space="preserve">Lecture (odds ratio)</w:t>
            </w:r>
          </w:p>
        </w:tc>
      </w:tr>
      <w:tr>
        <w:tc>
          <w:tcPr>
            <w:tcW w:type="dxa" w:w="3200"/>
            <w:shd w:fill="FFFFFF" w:val="clear"/>
            <w:tcMar>
              <w:top w:type="dxa" w:w="90"/>
              <w:left w:type="dxa" w:w="110"/>
              <w:bottom w:type="dxa" w:w="90"/>
              <w:right w:type="dxa" w:w="110"/>
            </w:tcMar>
          </w:tcPr>
          <w:p>
            <w:r>
              <w:rPr>
                <w:b/>
                <w:bCs/>
                <w:color w:val="000000"/>
                <w:sz w:val="19"/>
                <w:szCs w:val="19"/>
              </w:rPr>
              <w:t xml:space="preserve">Age</w:t>
            </w:r>
          </w:p>
        </w:tc>
        <w:tc>
          <w:tcPr>
            <w:tcW w:type="dxa" w:w="2900"/>
            <w:shd w:fill="FFFFFF" w:val="clear"/>
            <w:tcMar>
              <w:top w:type="dxa" w:w="90"/>
              <w:left w:type="dxa" w:w="110"/>
              <w:bottom w:type="dxa" w:w="90"/>
              <w:right w:type="dxa" w:w="110"/>
            </w:tcMar>
          </w:tcPr>
          <w:p>
            <w:r>
              <w:rPr>
                <w:b w:val="false"/>
                <w:bCs w:val="false"/>
                <w:color w:val="000000"/>
                <w:sz w:val="19"/>
                <w:szCs w:val="19"/>
              </w:rPr>
              <w:t xml:space="preserve">-0,598</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×0,55 par écart-type (protège du défaut)</w:t>
            </w:r>
          </w:p>
        </w:tc>
      </w:tr>
      <w:tr>
        <w:tc>
          <w:tcPr>
            <w:tcW w:type="dxa" w:w="3200"/>
            <w:shd w:fill="FFFFFF" w:val="clear"/>
            <w:tcMar>
              <w:top w:type="dxa" w:w="90"/>
              <w:left w:type="dxa" w:w="110"/>
              <w:bottom w:type="dxa" w:w="90"/>
              <w:right w:type="dxa" w:w="110"/>
            </w:tcMar>
          </w:tcPr>
          <w:p>
            <w:r>
              <w:rPr>
                <w:b/>
                <w:bCs/>
                <w:color w:val="000000"/>
                <w:sz w:val="19"/>
                <w:szCs w:val="19"/>
              </w:rPr>
              <w:t xml:space="preserve">LoanToIncomeRatio</w:t>
            </w:r>
          </w:p>
        </w:tc>
        <w:tc>
          <w:tcPr>
            <w:tcW w:type="dxa" w:w="2900"/>
            <w:shd w:fill="FFFFFF" w:val="clear"/>
            <w:tcMar>
              <w:top w:type="dxa" w:w="90"/>
              <w:left w:type="dxa" w:w="110"/>
              <w:bottom w:type="dxa" w:w="90"/>
              <w:right w:type="dxa" w:w="110"/>
            </w:tcMar>
          </w:tcPr>
          <w:p>
            <w:r>
              <w:rPr>
                <w:b w:val="false"/>
                <w:bCs w:val="false"/>
                <w:color w:val="000000"/>
                <w:sz w:val="19"/>
                <w:szCs w:val="19"/>
              </w:rPr>
              <w:t xml:space="preserve">+0,473</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×1,61 par écart-type (augmente le risque)</w:t>
            </w:r>
          </w:p>
        </w:tc>
      </w:tr>
      <w:tr>
        <w:tc>
          <w:tcPr>
            <w:tcW w:type="dxa" w:w="3200"/>
            <w:shd w:fill="FFFFFF" w:val="clear"/>
            <w:tcMar>
              <w:top w:type="dxa" w:w="90"/>
              <w:left w:type="dxa" w:w="110"/>
              <w:bottom w:type="dxa" w:w="90"/>
              <w:right w:type="dxa" w:w="110"/>
            </w:tcMar>
          </w:tcPr>
          <w:p>
            <w:r>
              <w:rPr>
                <w:b/>
                <w:bCs/>
                <w:color w:val="000000"/>
                <w:sz w:val="19"/>
                <w:szCs w:val="19"/>
              </w:rPr>
              <w:t xml:space="preserve">InterestRate</w:t>
            </w:r>
          </w:p>
        </w:tc>
        <w:tc>
          <w:tcPr>
            <w:tcW w:type="dxa" w:w="2900"/>
            <w:shd w:fill="FFFFFF" w:val="clear"/>
            <w:tcMar>
              <w:top w:type="dxa" w:w="90"/>
              <w:left w:type="dxa" w:w="110"/>
              <w:bottom w:type="dxa" w:w="90"/>
              <w:right w:type="dxa" w:w="110"/>
            </w:tcMar>
          </w:tcPr>
          <w:p>
            <w:r>
              <w:rPr>
                <w:b w:val="false"/>
                <w:bCs w:val="false"/>
                <w:color w:val="000000"/>
                <w:sz w:val="19"/>
                <w:szCs w:val="19"/>
              </w:rPr>
              <w:t xml:space="preserve">+0,468</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×1,60 par écart-type (augmente le risque)</w:t>
            </w:r>
          </w:p>
        </w:tc>
      </w:tr>
      <w:tr>
        <w:tc>
          <w:tcPr>
            <w:tcW w:type="dxa" w:w="3200"/>
            <w:shd w:fill="FFFFFF" w:val="clear"/>
            <w:tcMar>
              <w:top w:type="dxa" w:w="90"/>
              <w:left w:type="dxa" w:w="110"/>
              <w:bottom w:type="dxa" w:w="90"/>
              <w:right w:type="dxa" w:w="110"/>
            </w:tcMar>
          </w:tcPr>
          <w:p>
            <w:r>
              <w:rPr>
                <w:b/>
                <w:bCs/>
                <w:color w:val="000000"/>
                <w:sz w:val="19"/>
                <w:szCs w:val="19"/>
              </w:rPr>
              <w:t xml:space="preserve">MonthsEmployed</w:t>
            </w:r>
          </w:p>
        </w:tc>
        <w:tc>
          <w:tcPr>
            <w:tcW w:type="dxa" w:w="2900"/>
            <w:shd w:fill="FFFFFF" w:val="clear"/>
            <w:tcMar>
              <w:top w:type="dxa" w:w="90"/>
              <w:left w:type="dxa" w:w="110"/>
              <w:bottom w:type="dxa" w:w="90"/>
              <w:right w:type="dxa" w:w="110"/>
            </w:tcMar>
          </w:tcPr>
          <w:p>
            <w:r>
              <w:rPr>
                <w:b w:val="false"/>
                <w:bCs w:val="false"/>
                <w:color w:val="000000"/>
                <w:sz w:val="19"/>
                <w:szCs w:val="19"/>
              </w:rPr>
              <w:t xml:space="preserve">-0,338</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×0,71 par écart-type (protège du défaut)</w:t>
            </w:r>
          </w:p>
        </w:tc>
      </w:tr>
      <w:tr>
        <w:tc>
          <w:tcPr>
            <w:tcW w:type="dxa" w:w="3200"/>
            <w:shd w:fill="FFFFFF" w:val="clear"/>
            <w:tcMar>
              <w:top w:type="dxa" w:w="90"/>
              <w:left w:type="dxa" w:w="110"/>
              <w:bottom w:type="dxa" w:w="90"/>
              <w:right w:type="dxa" w:w="110"/>
            </w:tcMar>
          </w:tcPr>
          <w:p>
            <w:r>
              <w:rPr>
                <w:b/>
                <w:bCs/>
                <w:color w:val="000000"/>
                <w:sz w:val="19"/>
                <w:szCs w:val="19"/>
              </w:rPr>
              <w:t xml:space="preserve">HasCoSigner</w:t>
            </w:r>
          </w:p>
        </w:tc>
        <w:tc>
          <w:tcPr>
            <w:tcW w:type="dxa" w:w="2900"/>
            <w:shd w:fill="FFFFFF" w:val="clear"/>
            <w:tcMar>
              <w:top w:type="dxa" w:w="90"/>
              <w:left w:type="dxa" w:w="110"/>
              <w:bottom w:type="dxa" w:w="90"/>
              <w:right w:type="dxa" w:w="110"/>
            </w:tcMar>
          </w:tcPr>
          <w:p>
            <w:r>
              <w:rPr>
                <w:b w:val="false"/>
                <w:bCs w:val="false"/>
                <w:color w:val="000000"/>
                <w:sz w:val="19"/>
                <w:szCs w:val="19"/>
              </w:rPr>
              <w:t xml:space="preserve">-0,133</w:t>
            </w:r>
          </w:p>
        </w:tc>
        <w:tc>
          <w:tcPr>
            <w:tcW w:type="dxa" w:w="3100"/>
            <w:shd w:fill="FFFFFF" w:val="clear"/>
            <w:tcMar>
              <w:top w:type="dxa" w:w="90"/>
              <w:left w:type="dxa" w:w="110"/>
              <w:bottom w:type="dxa" w:w="90"/>
              <w:right w:type="dxa" w:w="110"/>
            </w:tcMar>
          </w:tcPr>
          <w:p>
            <w:r>
              <w:rPr>
                <w:b w:val="false"/>
                <w:bCs w:val="false"/>
                <w:color w:val="000000"/>
                <w:sz w:val="19"/>
                <w:szCs w:val="19"/>
              </w:rPr>
              <w:t xml:space="preserve">×0,88 (protège légèrement du défaut)</w:t>
            </w:r>
          </w:p>
        </w:tc>
      </w:tr>
    </w:tbl>
    <w:p>
      <w:pPr>
        <w:spacing w:before="200"/>
      </w:pPr>
    </w:p>
    <w:p>
      <w:pPr>
        <w:spacing w:after="140" w:line="300"/>
      </w:pPr>
      <w:r>
        <w:rPr>
          <w:sz w:val="21"/>
          <w:szCs w:val="21"/>
        </w:rPr>
        <w:t xml:space="preserve">Résultat le plus important de cette séance : les mêmes variables (Age, InterestRate, LoanToIncomeRatio, MonthsEmployed) reviennent en tête dans trois méthodes indépendantes — corrélations simples (S3), importance d'un Random Forest (S7), coefficients d'une régression logistique (S9). C'est la preuve la plus solide qu'on ait produite dans le projet que le signal détecté est réel, pas un artefact d'une technique particulière.</w:t>
      </w:r>
    </w:p>
    <w:p>
      <w:pPr>
        <w:pStyle w:val="Heading1"/>
        <w:spacing w:after="140" w:before="300"/>
      </w:pPr>
      <w:r>
        <w:rPr>
          <w:b/>
          <w:bCs/>
          <w:color w:val="1B2E22"/>
          <w:sz w:val="30"/>
          <w:szCs w:val="30"/>
        </w:rPr>
        <w:t xml:space="preserve">Concepts clés</w:t>
      </w:r>
    </w:p>
    <w:p>
      <w:pPr>
        <w:pStyle w:val="ListParagraph"/>
        <w:numPr>
          <w:ilvl w:val="0"/>
          <w:numId w:val="2"/>
        </w:numPr>
        <w:spacing w:after="70" w:line="280"/>
      </w:pPr>
      <w:r>
        <w:rPr>
          <w:b/>
          <w:bCs/>
          <w:sz w:val="21"/>
          <w:szCs w:val="21"/>
        </w:rPr>
        <w:t xml:space="preserve">Coefficient : </w:t>
      </w:r>
      <w:r>
        <w:rPr>
          <w:sz w:val="21"/>
          <w:szCs w:val="21"/>
        </w:rPr>
        <w:t xml:space="preserve">Nombre associé à chaque variable dans une régression logistique, qui indique la direction (signe) et la force de son effet sur le risque de défaut prédit, une fois toutes les autres variables prises en compte.</w:t>
      </w:r>
    </w:p>
    <w:p>
      <w:pPr>
        <w:pStyle w:val="ListParagraph"/>
        <w:numPr>
          <w:ilvl w:val="0"/>
          <w:numId w:val="2"/>
        </w:numPr>
        <w:spacing w:after="70" w:line="280"/>
      </w:pPr>
      <w:r>
        <w:rPr>
          <w:b/>
          <w:bCs/>
          <w:sz w:val="21"/>
          <w:szCs w:val="21"/>
        </w:rPr>
        <w:t xml:space="preserve">Odds ratio : </w:t>
      </w:r>
      <w:r>
        <w:rPr>
          <w:sz w:val="21"/>
          <w:szCs w:val="21"/>
        </w:rPr>
        <w:t xml:space="preserve">exp(coefficient). Se lit comme un facteur multiplicatif sur les chances (odds) de défaut. Plus intuitif à communiquer qu'un coefficient brut, notamment à un public non technique.</w:t>
      </w:r>
    </w:p>
    <w:p>
      <w:pPr>
        <w:pStyle w:val="ListParagraph"/>
        <w:numPr>
          <w:ilvl w:val="0"/>
          <w:numId w:val="2"/>
        </w:numPr>
        <w:spacing w:after="70" w:line="280"/>
      </w:pPr>
      <w:r>
        <w:rPr>
          <w:b/>
          <w:bCs/>
          <w:sz w:val="21"/>
          <w:szCs w:val="21"/>
        </w:rPr>
        <w:t xml:space="preserve">Pourquoi standardiser avant d'interpréter ? </w:t>
      </w:r>
      <w:r>
        <w:rPr>
          <w:sz w:val="21"/>
          <w:szCs w:val="21"/>
        </w:rPr>
        <w:t xml:space="preserve">Comme les variables ont été standardisées avant l'entraînement (S6), les coefficients sont exprimés "par écart-type", et deviennent comparables entre eux en magnitude — ce qui ne serait pas vrai avec les variables à leur échelle d'origine.</w:t>
      </w:r>
    </w:p>
    <w:p>
      <w:pPr>
        <w:pStyle w:val="ListParagraph"/>
        <w:numPr>
          <w:ilvl w:val="0"/>
          <w:numId w:val="2"/>
        </w:numPr>
        <w:spacing w:after="70" w:line="280"/>
      </w:pPr>
      <w:r>
        <w:rPr>
          <w:b/>
          <w:bCs/>
          <w:sz w:val="21"/>
          <w:szCs w:val="21"/>
        </w:rPr>
        <w:t xml:space="preserve">Cohérence inter-méthodes : </w:t>
      </w:r>
      <w:r>
        <w:rPr>
          <w:sz w:val="21"/>
          <w:szCs w:val="21"/>
        </w:rPr>
        <w:t xml:space="preserve">Retrouver un même résultat par plusieurs méthodes indépendantes (ici : corrélation, importance d'arbre, coefficient de régression) renforce la confiance qu'il ne s'agit pas d'un artefact de la méthode utilisée.</w:t>
      </w:r>
    </w:p>
    <w:p>
      <w:pPr>
        <w:pStyle w:val="ListParagraph"/>
        <w:numPr>
          <w:ilvl w:val="0"/>
          <w:numId w:val="2"/>
        </w:numPr>
        <w:spacing w:after="70" w:line="280"/>
      </w:pPr>
      <w:r>
        <w:rPr>
          <w:b/>
          <w:bCs/>
          <w:sz w:val="21"/>
          <w:szCs w:val="21"/>
        </w:rPr>
        <w:t xml:space="preserve">Interprétabilité : </w:t>
      </w:r>
      <w:r>
        <w:rPr>
          <w:sz w:val="21"/>
          <w:szCs w:val="21"/>
        </w:rPr>
        <w:t xml:space="preserve">Capacité à comprendre et expliquer pourquoi un modèle prend une décision donnée — cruciale dans le scoring de crédit, où une décision de refus doit pouvoir être justifiée (cf. synthèse de littérature S2).</w:t>
      </w:r>
    </w:p>
    <w:p>
      <w:pPr>
        <w:pStyle w:val="Heading1"/>
        <w:spacing w:after="140" w:before="300"/>
      </w:pPr>
      <w:r>
        <w:rPr>
          <w:b/>
          <w:bCs/>
          <w:color w:val="1B2E22"/>
          <w:sz w:val="30"/>
          <w:szCs w:val="30"/>
        </w:rPr>
        <w:t xml:space="preserve">Pourquoi ces choix, et pas d'autres — pour anticiper les questions</w:t>
      </w:r>
    </w:p>
    <w:p>
      <w:pPr>
        <w:pStyle w:val="ListParagraph"/>
        <w:numPr>
          <w:ilvl w:val="0"/>
          <w:numId w:val="2"/>
        </w:numPr>
        <w:spacing w:after="70" w:line="280"/>
      </w:pPr>
      <w:r>
        <w:rPr>
          <w:b/>
          <w:bCs/>
          <w:sz w:val="21"/>
          <w:szCs w:val="21"/>
        </w:rPr>
        <w:t xml:space="preserve">Pourquoi comparer les coefficients seulement après standardisation ? </w:t>
      </w:r>
      <w:r>
        <w:rPr>
          <w:sz w:val="21"/>
          <w:szCs w:val="21"/>
        </w:rPr>
        <w:t xml:space="preserve">Parce que sans standardisation, une variable à grande échelle (Income, de 0 à 150 000) aurait mécaniquement un coefficient minuscule, et une variable à petite échelle (DTIRatio, de 0 à 1) un coefficient énorme — sans que ça reflète leur importance réelle. La standardisation met toutes les variables sur un pied d'égalité avant comparaison.</w:t>
      </w:r>
    </w:p>
    <w:p>
      <w:pPr>
        <w:pStyle w:val="ListParagraph"/>
        <w:numPr>
          <w:ilvl w:val="0"/>
          <w:numId w:val="2"/>
        </w:numPr>
        <w:spacing w:after="70" w:line="280"/>
      </w:pPr>
      <w:r>
        <w:rPr>
          <w:b/>
          <w:bCs/>
          <w:sz w:val="21"/>
          <w:szCs w:val="21"/>
        </w:rPr>
        <w:t xml:space="preserve">Pourquoi les variables catégorielles (EmploymentType, etc.) sont-elles plus délicates à interpréter ici ? </w:t>
      </w:r>
      <w:r>
        <w:rPr>
          <w:sz w:val="21"/>
          <w:szCs w:val="21"/>
        </w:rPr>
        <w:t xml:space="preserve">Parce que les variables issues du One-Hot Encoding (0/1) ont aussi été standardisées comme les autres en S6 — leur magnitude est donc un peu moins directement lisible qu'avec des indicatrices non standardisées. C'est documenté explicitement comme une limite, plutôt qu'ignoré.</w:t>
      </w:r>
    </w:p>
    <w:p>
      <w:pPr>
        <w:pStyle w:val="ListParagraph"/>
        <w:numPr>
          <w:ilvl w:val="0"/>
          <w:numId w:val="2"/>
        </w:numPr>
        <w:spacing w:after="70" w:line="280"/>
      </w:pPr>
      <w:r>
        <w:rPr>
          <w:b/>
          <w:bCs/>
          <w:sz w:val="21"/>
          <w:szCs w:val="21"/>
        </w:rPr>
        <w:t xml:space="preserve">Pourquoi comparer à S3 et S7 plutôt que présenter les coefficients seuls ? </w:t>
      </w:r>
      <w:r>
        <w:rPr>
          <w:sz w:val="21"/>
          <w:szCs w:val="21"/>
        </w:rPr>
        <w:t xml:space="preserve">Parce qu'une seule méthode pourrait donner un résultat trompeur (biais propre à la méthode, coïncidence sur ce dataset précis). Trois méthodes indépendantes convergeant vers les mêmes variables est un argument bien plus solide face à un examinateur qui douterait de la fiabilité du modèle.</w:t>
      </w:r>
    </w:p>
    <w:p>
      <w:pPr>
        <w:pStyle w:val="Heading1"/>
        <w:spacing w:after="140" w:before="300"/>
      </w:pPr>
      <w:r>
        <w:rPr>
          <w:b/>
          <w:bCs/>
          <w:color w:val="1B2E22"/>
          <w:sz w:val="30"/>
          <w:szCs w:val="30"/>
        </w:rPr>
        <w:t xml:space="preserve">Ressources pour aller plus loin</w:t>
      </w:r>
    </w:p>
    <w:p>
      <w:pPr>
        <w:pStyle w:val="ListParagraph"/>
        <w:numPr>
          <w:ilvl w:val="0"/>
          <w:numId w:val="2"/>
        </w:numPr>
        <w:spacing w:after="70" w:line="280"/>
      </w:pPr>
      <w:r>
        <w:rPr>
          <w:sz w:val="21"/>
          <w:szCs w:val="21"/>
        </w:rPr>
        <w:t xml:space="preserve">Scikit-learn — Interprétation des coefficients de régression linéaire/logistique — </w:t>
      </w:r>
      <w:hyperlink w:history="1" r:id="rIdntff_suyoug3m4fxdy0dz">
        <w:r>
          <w:rPr>
            <w:color w:val="1155CC"/>
            <w:sz w:val="21"/>
            <w:szCs w:val="21"/>
            <w:u w:val="single"/>
          </w:rPr>
          <w:t xml:space="preserve">https://scikit-learn.org/stable/auto_examples/inspection/plot_linear_model_coefficient_interpretation.html</w:t>
        </w:r>
      </w:hyperlink>
    </w:p>
    <w:p>
      <w:pPr>
        <w:pStyle w:val="ListParagraph"/>
        <w:numPr>
          <w:ilvl w:val="0"/>
          <w:numId w:val="2"/>
        </w:numPr>
        <w:spacing w:after="70" w:line="280"/>
      </w:pPr>
      <w:r>
        <w:rPr>
          <w:sz w:val="21"/>
          <w:szCs w:val="21"/>
        </w:rPr>
        <w:t xml:space="preserve">Wikipedia — Odds ratio (rapport de cotes) — </w:t>
      </w:r>
      <w:hyperlink w:history="1" r:id="rIda8hmicqvhd4txslhnvjpd">
        <w:r>
          <w:rPr>
            <w:color w:val="1155CC"/>
            <w:sz w:val="21"/>
            <w:szCs w:val="21"/>
            <w:u w:val="single"/>
          </w:rPr>
          <w:t xml:space="preserve">https://fr.wikipedia.org/wiki/Rapport_des_cotes</w:t>
        </w:r>
      </w:hyperlink>
    </w:p>
    <w:p>
      <w:pPr>
        <w:pStyle w:val="ListParagraph"/>
        <w:numPr>
          <w:ilvl w:val="0"/>
          <w:numId w:val="2"/>
        </w:numPr>
        <w:spacing w:after="70" w:line="280"/>
      </w:pPr>
      <w:r>
        <w:rPr>
          <w:sz w:val="21"/>
          <w:szCs w:val="21"/>
        </w:rPr>
        <w:t xml:space="preserve">StatQuest — Odds and Log(Odds), expliqué simplement (vidéo, en anglais) — </w:t>
      </w:r>
      <w:hyperlink w:history="1" r:id="rId58oh8okjpgg3z3qp9bsdl">
        <w:r>
          <w:rPr>
            <w:color w:val="1155CC"/>
            <w:sz w:val="21"/>
            <w:szCs w:val="21"/>
            <w:u w:val="single"/>
          </w:rPr>
          <w:t xml:space="preserve">https://www.youtube.com/watch?v=ARfXDSkQf1Y</w:t>
        </w:r>
      </w:hyperlink>
    </w:p>
    <w:p>
      <w:pPr>
        <w:pStyle w:val="Heading1"/>
        <w:spacing w:after="140" w:before="300"/>
      </w:pPr>
      <w:r>
        <w:rPr>
          <w:b/>
          <w:bCs/>
          <w:color w:val="1B2E22"/>
          <w:sz w:val="30"/>
          <w:szCs w:val="30"/>
        </w:rPr>
        <w:t xml:space="preserve">Questions d'auto-test</w:t>
      </w:r>
    </w:p>
    <w:p>
      <w:pPr>
        <w:spacing w:after="90" w:line="280"/>
      </w:pPr>
      <w:r>
        <w:rPr>
          <w:b/>
          <w:bCs/>
          <w:color w:val="2D5A3D"/>
          <w:sz w:val="21"/>
          <w:szCs w:val="21"/>
        </w:rPr>
        <w:t xml:space="preserve">1. </w:t>
      </w:r>
      <w:r>
        <w:rPr>
          <w:i/>
          <w:iCs/>
          <w:sz w:val="21"/>
          <w:szCs w:val="21"/>
        </w:rPr>
        <w:t xml:space="preserve">Comment interprètes-tu un odds ratio de 1,61 pour LoanToIncomeRatio ?</w:t>
      </w:r>
    </w:p>
    <w:p>
      <w:pPr>
        <w:spacing w:after="90" w:line="280"/>
      </w:pPr>
      <w:r>
        <w:rPr>
          <w:b/>
          <w:bCs/>
          <w:color w:val="2D5A3D"/>
          <w:sz w:val="21"/>
          <w:szCs w:val="21"/>
        </w:rPr>
        <w:t xml:space="preserve">2. </w:t>
      </w:r>
      <w:r>
        <w:rPr>
          <w:i/>
          <w:iCs/>
          <w:sz w:val="21"/>
          <w:szCs w:val="21"/>
        </w:rPr>
        <w:t xml:space="preserve">Pourquoi le fait de retrouver les mêmes variables importantes en S3, S7 et S9 est-il un argument de fiabilité, et pas juste une coïncidence ?</w:t>
      </w:r>
    </w:p>
    <w:p>
      <w:pPr>
        <w:spacing w:after="90" w:line="280"/>
      </w:pPr>
      <w:r>
        <w:rPr>
          <w:b/>
          <w:bCs/>
          <w:color w:val="2D5A3D"/>
          <w:sz w:val="21"/>
          <w:szCs w:val="21"/>
        </w:rPr>
        <w:t xml:space="preserve">3. </w:t>
      </w:r>
      <w:r>
        <w:rPr>
          <w:i/>
          <w:iCs/>
          <w:sz w:val="21"/>
          <w:szCs w:val="21"/>
        </w:rPr>
        <w:t xml:space="preserve">Pourquoi ne peut-on pas comparer directement les coefficients d'une régression logistique si les variables n'ont pas été standardisées au préalable ?</w:t>
      </w:r>
    </w:p>
    <w:p>
      <w:pPr>
        <w:spacing w:after="90" w:line="280"/>
      </w:pPr>
      <w:r>
        <w:rPr>
          <w:b/>
          <w:bCs/>
          <w:color w:val="2D5A3D"/>
          <w:sz w:val="21"/>
          <w:szCs w:val="21"/>
        </w:rPr>
        <w:t xml:space="preserve">4. </w:t>
      </w:r>
      <w:r>
        <w:rPr>
          <w:i/>
          <w:iCs/>
          <w:sz w:val="21"/>
          <w:szCs w:val="21"/>
        </w:rPr>
        <w:t xml:space="preserve">Quelle est la limite qu'on a documentée sur l'interprétation des variables catégorielles (One-Hot Encoding), et pourquoi est-ce important de le dire plutôt que de la passer sous silence ?</w:t>
      </w:r>
    </w:p>
    <w:p>
      <w:pPr>
        <w:pBdr>
          <w:top w:val="single" w:color="CCCCCC" w:sz="4" w:space="4"/>
        </w:pBdr>
        <w:spacing w:before="300"/>
      </w:pPr>
      <w:r>
        <w:rPr>
          <w:i/>
          <w:iCs/>
          <w:color w:val="777777"/>
          <w:sz w:val="18"/>
          <w:szCs w:val="18"/>
        </w:rPr>
        <w:t xml:space="preserve">Fiche préparée après la Séance 9. Code source complet : notebooks/08_interpretabilite_S9.ipynb.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ff_suyoug3m4fxdy0dz" Type="http://schemas.openxmlformats.org/officeDocument/2006/relationships/hyperlink" Target="https://scikit-learn.org/stable/auto_examples/inspection/plot_linear_model_coefficient_interpretation.html" TargetMode="External"/><Relationship Id="rIda8hmicqvhd4txslhnvjpd" Type="http://schemas.openxmlformats.org/officeDocument/2006/relationships/hyperlink" Target="https://fr.wikipedia.org/wiki/Rapport_des_cotes" TargetMode="External"/><Relationship Id="rId58oh8okjpgg3z3qp9bsdl" Type="http://schemas.openxmlformats.org/officeDocument/2006/relationships/hyperlink" Target="https://www.youtube.com/watch?v=ARfXDSkQf1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2026-08-15T09:07:14.279Z</dcterms:created>
  <dcterms:modified xsi:type="dcterms:W3CDTF">2026-08-15T09:07:14.291Z</dcterms:modified>
</cp:coreProperties>
</file>

<file path=docProps/custom.xml><?xml version="1.0" encoding="utf-8"?>
<Properties xmlns="http://schemas.openxmlformats.org/officeDocument/2006/custom-properties" xmlns:vt="http://schemas.openxmlformats.org/officeDocument/2006/docPropsVTypes"/>
</file>