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jc w:val="right"/>
      </w:pPr>
      <w:r>
        <w:t>Arial;</w:t>
      </w:r>
    </w:p>
    <w:p>
      <w:pPr>
        <w:spacing w:after="120"/>
      </w:pPr>
    </w:p>
    <w:p>
      <w:pPr>
        <w:spacing w:after="120"/>
      </w:pPr>
    </w:p>
    <w:p>
      <w:pPr>
        <w:bidi w:val="1"/>
        <w:spacing w:after="120"/>
        <w:jc w:val="right"/>
      </w:pPr>
      <w:r>
        <w:t>dخطة بحث (Study Protocol)</w:t>
      </w:r>
    </w:p>
    <w:p>
      <w:pPr>
        <w:spacing w:after="120"/>
      </w:pPr>
    </w:p>
    <w:p>
      <w:pPr>
        <w:spacing w:after="120"/>
      </w:pPr>
    </w:p>
    <w:p>
      <w:pPr>
        <w:bidi w:val="1"/>
        <w:spacing w:after="120"/>
        <w:jc w:val="right"/>
      </w:pPr>
      <w:r>
        <w:t>dقبول واستعداد طلاب طب الأسنان في سوريا للتحول من سجل تدريبي ورقي إلى سجل إلكتروني (E-Logbook) ثنائي المنصة (ويب + هاتف)</w:t>
      </w:r>
    </w:p>
    <w:p>
      <w:pPr>
        <w:spacing w:after="120"/>
      </w:pPr>
    </w:p>
    <w:p>
      <w:pPr>
        <w:spacing w:after="120"/>
      </w:pPr>
    </w:p>
    <w:p>
      <w:pPr>
        <w:bidi w:val="1"/>
        <w:spacing w:after="120"/>
        <w:jc w:val="right"/>
      </w:pPr>
      <w:r>
        <w:t>dموجهة للنشر في: BMC Medical Education</w:t>
      </w:r>
    </w:p>
    <w:p>
      <w:pPr>
        <w:spacing w:after="120"/>
      </w:pPr>
    </w:p>
    <w:p>
      <w:pPr>
        <w:bidi w:val="1"/>
        <w:spacing w:after="120"/>
        <w:jc w:val="right"/>
      </w:pPr>
      <w:r>
        <w:t>dالتاريخ: 2026-04-23</w:t>
      </w:r>
    </w:p>
    <w:p>
      <w:pPr>
        <w:spacing w:after="120"/>
      </w:pPr>
    </w:p>
    <w:p>
      <w:pPr>
        <w:spacing w:after="120"/>
      </w:pPr>
    </w:p>
    <w:p>
      <w:pPr>
        <w:spacing w:after="120"/>
      </w:pPr>
    </w:p>
    <w:p>
      <w:pPr>
        <w:bidi w:val="1"/>
        <w:spacing w:after="120"/>
        <w:jc w:val="right"/>
      </w:pPr>
      <w:r>
        <w:t>d1) الملخص (Abstract)</w:t>
      </w:r>
    </w:p>
    <w:p>
      <w:pPr>
        <w:spacing w:after="120"/>
      </w:pPr>
    </w:p>
    <w:p>
      <w:pPr>
        <w:spacing w:after="120"/>
      </w:pPr>
    </w:p>
    <w:p>
      <w:pPr>
        <w:bidi w:val="1"/>
        <w:spacing w:after="120"/>
        <w:jc w:val="right"/>
      </w:pPr>
      <w:r>
        <w:t>dالخلفية: يُستخدم السجل التدريبي (Logbook) لتوثيق إجراءات/خبرات الطالب السريرية في تعليم طب الأسنان، إلا أن السجل الورقي يرتبط بمشكلات في الاتساق، صعوبة التدقيق، وتتبع الإنجاز، وقد يحد من قيمة التغذية الراجعة والتحسين التعليمي المستمر. (2)(7)</w:t>
      </w:r>
    </w:p>
    <w:p>
      <w:pPr>
        <w:spacing w:after="120"/>
      </w:pPr>
    </w:p>
    <w:p>
      <w:pPr>
        <w:bidi w:val="1"/>
        <w:spacing w:after="120"/>
        <w:jc w:val="right"/>
      </w:pPr>
      <w:r>
        <w:t>الهدف: تقييم استعداد وقبول طلاب طب الأسنان (البكالوريوس، سنوات 2–5) في سوريا لاعتماد سجل إلكتروني ثنائي المنصة (ويب + هاتف) بدل السجل الورقي، باستخدام نموذج UTAUT2 الممتد بمخاوف الخصوصية/الأمان والكفاءة الذاتية الرقمية. (5)(8)(13)</w:t>
      </w:r>
    </w:p>
    <w:p>
      <w:pPr>
        <w:spacing w:after="120"/>
      </w:pPr>
    </w:p>
    <w:p>
      <w:pPr>
        <w:bidi w:val="1"/>
        <w:spacing w:after="120"/>
        <w:jc w:val="right"/>
      </w:pPr>
      <w:r>
        <w:t>المنهجية: دراسة مقطعية متعددة المراكز في أربع كليات طب أسنان سورية. سيتم جمع البيانات عبر استبيان 20 بند (Likert 1–5) يغطي PE, EE, SI, FC, HM, HT, SEC, DSE، والمتغير التابع BI. سيتم تحليل البيانات باستخدام Python (تنظيف، عكس البنود المعكوسة، ثبات الأداة، مقارنة السنوات، ونمذجة علاقات/SEM عبر semopy أو بدائل انحدارية). (2)(6)(13)</w:t>
      </w:r>
    </w:p>
    <w:p>
      <w:pPr>
        <w:spacing w:after="120"/>
      </w:pPr>
    </w:p>
    <w:p>
      <w:pPr>
        <w:bidi w:val="1"/>
        <w:spacing w:after="120"/>
        <w:jc w:val="right"/>
      </w:pPr>
      <w:r>
        <w:t>النتائج المتوقعة: نتوقع أن ترتبط المنفعة المتوقعة، الظروف التسهيلية، والكفاءة الذاتية الرقمية إيجابياً بالنية، بينما ترتبط مخاوف الخصوصية/الأمان سلباً. (6)(8)(13)</w:t>
      </w:r>
    </w:p>
    <w:p>
      <w:pPr>
        <w:spacing w:after="120"/>
      </w:pPr>
    </w:p>
    <w:p>
      <w:pPr>
        <w:bidi w:val="1"/>
        <w:spacing w:after="120"/>
        <w:jc w:val="right"/>
      </w:pPr>
      <w:r>
        <w:t>الأهمية: توفر الدراسة بيانات خط أساس (baseline) لدعم قرار التحول الرقمي في توثيق التدريب السريري في تعليم طب الأسنان ضمن سياق محدود الموارد، مع توصيات عملية للتدريب والدعم الفني والحوكمة والخصوصية. (10)(12)</w:t>
      </w:r>
    </w:p>
    <w:p>
      <w:pPr>
        <w:spacing w:after="120"/>
      </w:pPr>
    </w:p>
    <w:p>
      <w:pPr>
        <w:spacing w:after="120"/>
      </w:pPr>
    </w:p>
    <w:p>
      <w:pPr>
        <w:spacing w:after="120"/>
      </w:pPr>
    </w:p>
    <w:p>
      <w:pPr>
        <w:bidi w:val="1"/>
        <w:spacing w:after="120"/>
        <w:jc w:val="right"/>
      </w:pPr>
      <w:r>
        <w:t>dالكلمات المفتاحية:تعليم طب الأسنان؛ طلاب بكالوريوس؛ سجل تدريبي؛ E-Logbook؛ UTAUT2؛ الخصوصية والأمان؛ الكفاءة الذاتية الرقمية؛ سوريا.</w:t>
      </w:r>
    </w:p>
    <w:p>
      <w:pPr>
        <w:spacing w:after="120"/>
      </w:pPr>
    </w:p>
    <w:p>
      <w:pPr>
        <w:spacing w:after="120"/>
      </w:pPr>
    </w:p>
    <w:p>
      <w:pPr>
        <w:spacing w:after="120"/>
      </w:pPr>
    </w:p>
    <w:p>
      <w:pPr>
        <w:bidi w:val="1"/>
        <w:spacing w:after="120"/>
        <w:jc w:val="right"/>
      </w:pPr>
      <w:r>
        <w:t>d2) الخلفية العلمية (Background)</w:t>
      </w:r>
    </w:p>
    <w:p>
      <w:pPr>
        <w:spacing w:after="120"/>
      </w:pPr>
    </w:p>
    <w:p>
      <w:pPr>
        <w:spacing w:after="120"/>
      </w:pPr>
    </w:p>
    <w:p>
      <w:pPr>
        <w:bidi w:val="1"/>
        <w:spacing w:after="120"/>
        <w:jc w:val="right"/>
      </w:pPr>
      <w:r>
        <w:t>dفي التعليم الصحي، تُستخدم السجلات/المحافظ الإلكترونية (e-portfolio) والـlogbooks كأدوات لتوثيق التعلم والخبرة السريرية والتقييم التكويني وتتبّع متطلبات التدريب. (2)(3)(18)</w:t>
      </w:r>
    </w:p>
    <w:p>
      <w:pPr>
        <w:spacing w:after="120"/>
      </w:pPr>
    </w:p>
    <w:p>
      <w:pPr>
        <w:bidi w:val="1"/>
        <w:spacing w:after="120"/>
        <w:jc w:val="right"/>
      </w:pPr>
      <w:r>
        <w:t>أظهرت دراسات حديثة في BMC Medical Education وجود اهتمام متزايد بإدارة الـlogbook وتحسينه، بما في ذلك جمع آراء المتعلمين حول محتوى السجل وتجربة استخدامه وطرق تطويره. (2)</w:t>
      </w:r>
    </w:p>
    <w:p>
      <w:pPr>
        <w:spacing w:after="120"/>
      </w:pPr>
    </w:p>
    <w:p>
      <w:pPr>
        <w:bidi w:val="1"/>
        <w:spacing w:after="120"/>
        <w:jc w:val="right"/>
      </w:pPr>
      <w:r>
        <w:t>كما أن الأدبيات الحديثة تشير إلى فوائد المحتوى الرقمي في التدريب السريري والتعليم، وإلى الحاجة لتهيئة الظروف التسهيلية والتدريب لضمان نجاح أي أداة رقمية تعليمية. (10)(21)(22)</w:t>
      </w:r>
    </w:p>
    <w:p>
      <w:pPr>
        <w:spacing w:after="120"/>
      </w:pPr>
    </w:p>
    <w:p>
      <w:pPr>
        <w:bidi w:val="1"/>
        <w:spacing w:after="120"/>
        <w:jc w:val="right"/>
      </w:pPr>
      <w:r>
        <w:t>إلا أن التحول الرقمي يواجه تحديات تتعلق بالقبول (acceptance) وبالبنية التحتية والدعم الفني، إضافةً إلى مخاوف الخصوصية خصوصاً عندما يحتوي التوثيق على معلومات أو صور سريرية. (8)(21)</w:t>
      </w:r>
    </w:p>
    <w:p>
      <w:pPr>
        <w:spacing w:after="120"/>
      </w:pPr>
    </w:p>
    <w:p>
      <w:pPr>
        <w:bidi w:val="1"/>
        <w:spacing w:after="120"/>
        <w:jc w:val="right"/>
      </w:pPr>
      <w:r>
        <w:t>يوفر نموذج UTAUT2 إطاراً لتفسير نية استخدام التقنية، وقد استُخدم على نطاق واسع لتفسير اعتماد تقنيات في الصحة والتعليم العالي، ويمكن تمديده بمتغيرات سياقية مثل الخصوصية/الأمان والكفاءة الذاتية. (5)(13)(14)</w:t>
      </w:r>
    </w:p>
    <w:p>
      <w:pPr>
        <w:spacing w:after="120"/>
      </w:pPr>
    </w:p>
    <w:p>
      <w:pPr>
        <w:bidi w:val="1"/>
        <w:spacing w:after="120"/>
        <w:jc w:val="right"/>
      </w:pPr>
      <w:r>
        <w:t>ضمن سياق سوريا، تؤثر القيود البنيوية والصحية والمواردية على جاهزية التحول الرقمي، ما يجعل قياس readiness خطوة مهمة قبل التطبيق. (10)(11)(12)</w:t>
      </w:r>
    </w:p>
    <w:p>
      <w:pPr>
        <w:spacing w:after="120"/>
      </w:pPr>
    </w:p>
    <w:p>
      <w:pPr>
        <w:spacing w:after="120"/>
      </w:pPr>
    </w:p>
    <w:p>
      <w:pPr>
        <w:spacing w:after="120"/>
      </w:pPr>
    </w:p>
    <w:p>
      <w:pPr>
        <w:bidi w:val="1"/>
        <w:spacing w:after="120"/>
        <w:jc w:val="right"/>
      </w:pPr>
      <w:r>
        <w:t>d3) مشكلة البحث (Problem statement)</w:t>
      </w:r>
    </w:p>
    <w:p>
      <w:pPr>
        <w:spacing w:after="120"/>
      </w:pPr>
    </w:p>
    <w:p>
      <w:pPr>
        <w:spacing w:after="120"/>
      </w:pPr>
    </w:p>
    <w:p>
      <w:pPr>
        <w:bidi w:val="1"/>
        <w:spacing w:after="120"/>
        <w:jc w:val="right"/>
      </w:pPr>
      <w:r>
        <w:t>dلا تتوافر بيانات محلية كافية حول قبول طلاب طب الأسنان في سوريا لاعتماد E-Logbook ثنائي المنصة بدل السجل الورقي، ولا حول العوامل الأكثر تأثيراً على هذا القبول (مثل المنفعة المتوقعة، الظروف التسهيلية، العادة، الخصوصية/الأمان، والكفاءة الذاتية الرقمية). (2)(10)(13)</w:t>
      </w:r>
    </w:p>
    <w:p>
      <w:pPr>
        <w:spacing w:after="120"/>
      </w:pPr>
    </w:p>
    <w:p>
      <w:pPr>
        <w:spacing w:after="120"/>
      </w:pPr>
    </w:p>
    <w:p>
      <w:pPr>
        <w:spacing w:after="120"/>
      </w:pPr>
    </w:p>
    <w:p>
      <w:pPr>
        <w:bidi w:val="1"/>
        <w:spacing w:after="120"/>
        <w:jc w:val="right"/>
      </w:pPr>
      <w:r>
        <w:t>d4) أهداف الدراسة (Objectives)</w:t>
      </w:r>
    </w:p>
    <w:p>
      <w:pPr>
        <w:spacing w:after="120"/>
      </w:pPr>
    </w:p>
    <w:p>
      <w:pPr>
        <w:spacing w:after="120"/>
      </w:pPr>
    </w:p>
    <w:p>
      <w:pPr>
        <w:bidi w:val="1"/>
        <w:spacing w:after="120"/>
        <w:jc w:val="right"/>
      </w:pPr>
      <w:r>
        <w:t>dالهدف العام: قياس قبول واستعداد طلاب طب الأسنان (سنوات 2–5) لاعتماد E-Logbook (ويب + هاتف) بدل السجل الورقي. (2)</w:t>
      </w:r>
    </w:p>
    <w:p>
      <w:pPr>
        <w:spacing w:after="120"/>
      </w:pPr>
    </w:p>
    <w:p>
      <w:pPr>
        <w:bidi w:val="1"/>
        <w:spacing w:after="120"/>
        <w:jc w:val="right"/>
      </w:pPr>
      <w:r>
        <w:t>الأهداف الفرعية:</w:t>
      </w:r>
    </w:p>
    <w:p>
      <w:pPr>
        <w:spacing w:after="120"/>
      </w:pPr>
    </w:p>
    <w:p>
      <w:pPr>
        <w:bidi w:val="1"/>
        <w:spacing w:after="120"/>
        <w:jc w:val="right"/>
      </w:pPr>
      <w:r>
        <w:t>1. تقدير مستوى النية للاستخدام (BI) ومستوى الأبعاد المختلفة لدى الطلاب. (5)(13)</w:t>
      </w:r>
    </w:p>
    <w:p>
      <w:pPr>
        <w:spacing w:after="120"/>
      </w:pPr>
    </w:p>
    <w:p>
      <w:pPr>
        <w:bidi w:val="1"/>
        <w:spacing w:after="120"/>
        <w:jc w:val="right"/>
      </w:pPr>
      <w:r>
        <w:t>2. اختبار نموذج UTAUT2 الممتد (PE, EE, SI, FC, HM, HT) مع (SEC, DSE) كمتنبئات بالنية. (5)(6)(8)(13)</w:t>
      </w:r>
    </w:p>
    <w:p>
      <w:pPr>
        <w:spacing w:after="120"/>
      </w:pPr>
    </w:p>
    <w:p>
      <w:pPr>
        <w:bidi w:val="1"/>
        <w:spacing w:after="120"/>
        <w:jc w:val="right"/>
      </w:pPr>
      <w:r>
        <w:t>3. مقارنة النتائج بين السنوات الدراسية (2–5) وبين الجامعات. (3)(23)</w:t>
      </w:r>
    </w:p>
    <w:p>
      <w:pPr>
        <w:spacing w:after="120"/>
      </w:pPr>
    </w:p>
    <w:p>
      <w:pPr>
        <w:bidi w:val="1"/>
        <w:spacing w:after="120"/>
        <w:jc w:val="right"/>
      </w:pPr>
      <w:r>
        <w:t>4. تقديم توصيات تنفيذية (تدريب، دعم فني، سياسات خصوصية، تصميم واجهات) مبنية على النتائج. (8)(21)(22)</w:t>
      </w:r>
    </w:p>
    <w:p>
      <w:pPr>
        <w:spacing w:after="120"/>
      </w:pPr>
    </w:p>
    <w:p>
      <w:pPr>
        <w:spacing w:after="120"/>
      </w:pPr>
    </w:p>
    <w:p>
      <w:pPr>
        <w:spacing w:after="120"/>
      </w:pPr>
    </w:p>
    <w:p>
      <w:pPr>
        <w:bidi w:val="1"/>
        <w:spacing w:after="120"/>
        <w:jc w:val="right"/>
      </w:pPr>
      <w:r>
        <w:t>d5) أسئلة البحث (Research questions)</w:t>
      </w:r>
    </w:p>
    <w:p>
      <w:pPr>
        <w:spacing w:after="120"/>
      </w:pPr>
    </w:p>
    <w:p>
      <w:pPr>
        <w:spacing w:after="120"/>
      </w:pPr>
    </w:p>
    <w:p>
      <w:pPr>
        <w:bidi w:val="1"/>
        <w:spacing w:after="120"/>
        <w:jc w:val="right"/>
      </w:pPr>
      <w:r>
        <w:t>dRQ1: ما مستوى النية لاستخدام E-Logbook لدى طلاب طب الأسنان في سوريا؟ (2)</w:t>
      </w:r>
    </w:p>
    <w:p>
      <w:pPr>
        <w:spacing w:after="120"/>
      </w:pPr>
    </w:p>
    <w:p>
      <w:pPr>
        <w:bidi w:val="1"/>
        <w:spacing w:after="120"/>
        <w:jc w:val="right"/>
      </w:pPr>
      <w:r>
        <w:t>RQ2: ما العوامل الأكثر تأثيراً على النية (PE/EE/FC/DSE/SEC…)? (5)(13)</w:t>
      </w:r>
    </w:p>
    <w:p>
      <w:pPr>
        <w:spacing w:after="120"/>
      </w:pPr>
    </w:p>
    <w:p>
      <w:pPr>
        <w:bidi w:val="1"/>
        <w:spacing w:after="120"/>
        <w:jc w:val="right"/>
      </w:pPr>
      <w:r>
        <w:t>RQ3: هل توجد فروق حسب السنة (2–5)? (3)(23)</w:t>
      </w:r>
    </w:p>
    <w:p>
      <w:pPr>
        <w:spacing w:after="120"/>
      </w:pPr>
    </w:p>
    <w:p>
      <w:pPr>
        <w:bidi w:val="1"/>
        <w:spacing w:after="120"/>
        <w:jc w:val="right"/>
      </w:pPr>
      <w:r>
        <w:t>RQ4: هل توجد فروق حسب الجامعة؟</w:t>
      </w:r>
    </w:p>
    <w:p>
      <w:pPr>
        <w:spacing w:after="120"/>
      </w:pPr>
    </w:p>
    <w:p>
      <w:pPr>
        <w:spacing w:after="120"/>
      </w:pPr>
    </w:p>
    <w:p>
      <w:pPr>
        <w:spacing w:after="120"/>
      </w:pPr>
    </w:p>
    <w:p>
      <w:pPr>
        <w:bidi w:val="1"/>
        <w:spacing w:after="120"/>
        <w:jc w:val="right"/>
      </w:pPr>
      <w:r>
        <w:t>d6) النموذج النظري والفرضيات (Conceptual model &amp; hypotheses)</w:t>
      </w:r>
    </w:p>
    <w:p>
      <w:pPr>
        <w:spacing w:after="120"/>
      </w:pPr>
    </w:p>
    <w:p>
      <w:pPr>
        <w:spacing w:after="120"/>
      </w:pPr>
    </w:p>
    <w:p>
      <w:pPr>
        <w:bidi w:val="1"/>
        <w:spacing w:after="120"/>
        <w:jc w:val="right"/>
      </w:pPr>
      <w:r>
        <w:t>dيعتمد النموذج على UTAUT2 (5) مع تمديدين مناسبين للسياق: الخصوصية/الأمان (SEC) (8) والكفاءة الذاتية الرقمية (DSE) (21).</w:t>
      </w:r>
    </w:p>
    <w:p>
      <w:pPr>
        <w:spacing w:after="120"/>
      </w:pPr>
    </w:p>
    <w:p>
      <w:pPr>
        <w:bidi w:val="1"/>
        <w:spacing w:after="120"/>
        <w:jc w:val="right"/>
      </w:pPr>
      <w:r>
        <w:t>الفرضيات:</w:t>
      </w:r>
    </w:p>
    <w:p>
      <w:pPr>
        <w:spacing w:after="120"/>
      </w:pPr>
    </w:p>
    <w:p>
      <w:pPr>
        <w:bidi w:val="1"/>
        <w:spacing w:after="120"/>
        <w:jc w:val="right"/>
      </w:pPr>
      <w:r>
        <w:t>H1: PE تؤثر إيجابياً على BI. (5)(13)</w:t>
      </w:r>
    </w:p>
    <w:p>
      <w:pPr>
        <w:spacing w:after="120"/>
      </w:pPr>
    </w:p>
    <w:p>
      <w:pPr>
        <w:bidi w:val="1"/>
        <w:spacing w:after="120"/>
        <w:jc w:val="right"/>
      </w:pPr>
      <w:r>
        <w:t>H2: EE تؤثر إيجابياً على BI. (5)(13)</w:t>
      </w:r>
    </w:p>
    <w:p>
      <w:pPr>
        <w:spacing w:after="120"/>
      </w:pPr>
    </w:p>
    <w:p>
      <w:pPr>
        <w:bidi w:val="1"/>
        <w:spacing w:after="120"/>
        <w:jc w:val="right"/>
      </w:pPr>
      <w:r>
        <w:t>H3: SI تؤثر إيجابياً على BI. (5)</w:t>
      </w:r>
    </w:p>
    <w:p>
      <w:pPr>
        <w:spacing w:after="120"/>
      </w:pPr>
    </w:p>
    <w:p>
      <w:pPr>
        <w:bidi w:val="1"/>
        <w:spacing w:after="120"/>
        <w:jc w:val="right"/>
      </w:pPr>
      <w:r>
        <w:t>H4: FC تؤثر إيجابياً على BI. (5)(2)</w:t>
      </w:r>
    </w:p>
    <w:p>
      <w:pPr>
        <w:spacing w:after="120"/>
      </w:pPr>
    </w:p>
    <w:p>
      <w:pPr>
        <w:bidi w:val="1"/>
        <w:spacing w:after="120"/>
        <w:jc w:val="right"/>
      </w:pPr>
      <w:r>
        <w:t>H5: HM تؤثر إيجابياً على BI. (5)</w:t>
      </w:r>
    </w:p>
    <w:p>
      <w:pPr>
        <w:spacing w:after="120"/>
      </w:pPr>
    </w:p>
    <w:p>
      <w:pPr>
        <w:bidi w:val="1"/>
        <w:spacing w:after="120"/>
        <w:jc w:val="right"/>
      </w:pPr>
      <w:r>
        <w:t>H6: HT (تفضيل الورق/العادة) تؤثر سلبياً على BI. (5)(7)</w:t>
      </w:r>
    </w:p>
    <w:p>
      <w:pPr>
        <w:spacing w:after="120"/>
      </w:pPr>
    </w:p>
    <w:p>
      <w:pPr>
        <w:bidi w:val="1"/>
        <w:spacing w:after="120"/>
        <w:jc w:val="right"/>
      </w:pPr>
      <w:r>
        <w:t>H7: SEC تؤثر سلبياً على BI. (8)</w:t>
      </w:r>
    </w:p>
    <w:p>
      <w:pPr>
        <w:spacing w:after="120"/>
      </w:pPr>
    </w:p>
    <w:p>
      <w:pPr>
        <w:bidi w:val="1"/>
        <w:spacing w:after="120"/>
        <w:jc w:val="right"/>
      </w:pPr>
      <w:r>
        <w:t>H8: DSE تؤثر إيجابياً على BI. (21)</w:t>
      </w:r>
    </w:p>
    <w:p>
      <w:pPr>
        <w:spacing w:after="120"/>
      </w:pPr>
    </w:p>
    <w:p>
      <w:pPr>
        <w:spacing w:after="120"/>
      </w:pPr>
    </w:p>
    <w:p>
      <w:pPr>
        <w:spacing w:after="120"/>
      </w:pPr>
    </w:p>
    <w:p>
      <w:pPr>
        <w:bidi w:val="1"/>
        <w:spacing w:after="120"/>
        <w:jc w:val="right"/>
      </w:pPr>
      <w:r>
        <w:t>d7) تصميم الدراسة (Study design)</w:t>
      </w:r>
    </w:p>
    <w:p>
      <w:pPr>
        <w:spacing w:after="120"/>
      </w:pPr>
    </w:p>
    <w:p>
      <w:pPr>
        <w:spacing w:after="120"/>
      </w:pPr>
    </w:p>
    <w:p>
      <w:pPr>
        <w:bidi w:val="1"/>
        <w:spacing w:after="120"/>
        <w:jc w:val="right"/>
      </w:pPr>
      <w:r>
        <w:t>dدراسة مقطعية (Cross-sectional) باستخدام استبيان ذاتي موجه لطلاب طب الأسنان فقط. (2)</w:t>
      </w:r>
    </w:p>
    <w:p>
      <w:pPr>
        <w:spacing w:after="120"/>
      </w:pPr>
    </w:p>
    <w:p>
      <w:pPr>
        <w:spacing w:after="120"/>
      </w:pPr>
    </w:p>
    <w:p>
      <w:pPr>
        <w:spacing w:after="120"/>
      </w:pPr>
    </w:p>
    <w:p>
      <w:pPr>
        <w:bidi w:val="1"/>
        <w:spacing w:after="120"/>
        <w:jc w:val="right"/>
      </w:pPr>
      <w:r>
        <w:t>d8) المكان (Setting)</w:t>
      </w:r>
    </w:p>
    <w:p>
      <w:pPr>
        <w:spacing w:after="120"/>
      </w:pPr>
    </w:p>
    <w:p>
      <w:pPr>
        <w:spacing w:after="120"/>
      </w:pPr>
    </w:p>
    <w:p>
      <w:pPr>
        <w:bidi w:val="1"/>
        <w:spacing w:after="120"/>
        <w:jc w:val="right"/>
      </w:pPr>
      <w:r>
        <w:t>dأربع كليات/جامعات داخل سوريا (حسب اعتماد الباحث): جامعة اللاذقية، جامعة طرطوس، جامعة المنارة، جامعة الشام.</w:t>
      </w:r>
    </w:p>
    <w:p>
      <w:pPr>
        <w:spacing w:after="120"/>
      </w:pPr>
    </w:p>
    <w:p>
      <w:pPr>
        <w:bidi w:val="1"/>
        <w:spacing w:after="120"/>
        <w:jc w:val="right"/>
      </w:pPr>
      <w:r>
        <w:t>ملاحظة: إذا كانت هناك جامعة لديها تجربة تطبيق سابقة قد تُربك خط الأساس، يفضّل استبعادها أو التعامل معها كطبقة منفصلة. (2)</w:t>
      </w:r>
    </w:p>
    <w:p>
      <w:pPr>
        <w:spacing w:after="120"/>
      </w:pPr>
    </w:p>
    <w:p>
      <w:pPr>
        <w:spacing w:after="120"/>
      </w:pPr>
    </w:p>
    <w:p>
      <w:pPr>
        <w:spacing w:after="120"/>
      </w:pPr>
    </w:p>
    <w:p>
      <w:pPr>
        <w:bidi w:val="1"/>
        <w:spacing w:after="120"/>
        <w:jc w:val="right"/>
      </w:pPr>
      <w:r>
        <w:t>d9) مجتمع الدراسة والعينة (Population &amp; sampling)</w:t>
      </w:r>
    </w:p>
    <w:p>
      <w:pPr>
        <w:spacing w:after="120"/>
      </w:pPr>
    </w:p>
    <w:p>
      <w:pPr>
        <w:spacing w:after="120"/>
      </w:pPr>
    </w:p>
    <w:p>
      <w:pPr>
        <w:bidi w:val="1"/>
        <w:spacing w:after="120"/>
        <w:jc w:val="right"/>
      </w:pPr>
      <w:r>
        <w:t>dالمجتمع: طلاب طب الأسنان (البكالوريوس) سنوات 2–5.</w:t>
      </w:r>
    </w:p>
    <w:p>
      <w:pPr>
        <w:spacing w:after="120"/>
      </w:pPr>
    </w:p>
    <w:p>
      <w:pPr>
        <w:bidi w:val="1"/>
        <w:spacing w:after="120"/>
        <w:jc w:val="right"/>
      </w:pPr>
      <w:r>
        <w:t>الاستبعاد: طلاب الامتياز/الخريجين، أو الطلاب غير المسجلين فعلياً في السنة الحالية.</w:t>
      </w:r>
    </w:p>
    <w:p>
      <w:pPr>
        <w:spacing w:after="120"/>
      </w:pPr>
    </w:p>
    <w:p>
      <w:pPr>
        <w:bidi w:val="1"/>
        <w:spacing w:after="120"/>
        <w:jc w:val="right"/>
      </w:pPr>
      <w:r>
        <w:t>العينة: عينة طبقية حسب الجامعة والسنة (2/3/4/5).</w:t>
      </w:r>
    </w:p>
    <w:p>
      <w:pPr>
        <w:spacing w:after="120"/>
      </w:pPr>
    </w:p>
    <w:p>
      <w:pPr>
        <w:bidi w:val="1"/>
        <w:spacing w:after="120"/>
        <w:jc w:val="right"/>
      </w:pPr>
      <w:r>
        <w:t>حجم العينة المقترح: 400–600 طالب لتحقيق قوة مناسبة للتحقق البنيوي CFA والتحليلات المقارنة بين السنوات. (13)(21)</w:t>
      </w:r>
    </w:p>
    <w:p>
      <w:pPr>
        <w:spacing w:after="120"/>
      </w:pPr>
    </w:p>
    <w:p>
      <w:pPr>
        <w:spacing w:after="120"/>
      </w:pPr>
    </w:p>
    <w:p>
      <w:pPr>
        <w:spacing w:after="120"/>
      </w:pPr>
    </w:p>
    <w:p>
      <w:pPr>
        <w:bidi w:val="1"/>
        <w:spacing w:after="120"/>
        <w:jc w:val="right"/>
      </w:pPr>
      <w:r>
        <w:t>d10) التدخل/الوصف (E-Logbook description)</w:t>
      </w:r>
    </w:p>
    <w:p>
      <w:pPr>
        <w:spacing w:after="120"/>
      </w:pPr>
    </w:p>
    <w:p>
      <w:pPr>
        <w:spacing w:after="120"/>
      </w:pPr>
    </w:p>
    <w:p>
      <w:pPr>
        <w:bidi w:val="1"/>
        <w:spacing w:after="120"/>
        <w:jc w:val="right"/>
      </w:pPr>
      <w:r>
        <w:t>dالنظام المستهدف: سجل إلكتروني لتوثيق إجراءات/حالات الطالب (E-Logbook) يعمل على:</w:t>
      </w:r>
    </w:p>
    <w:p>
      <w:pPr>
        <w:spacing w:after="120"/>
      </w:pPr>
    </w:p>
    <w:p>
      <w:pPr>
        <w:bidi w:val="1"/>
        <w:spacing w:after="120"/>
        <w:jc w:val="right"/>
      </w:pPr>
      <w:r>
        <w:t>- منصة ويب (حاسوب) للإدخال والتعديل التفصيلي وإدارة السجلات.</w:t>
      </w:r>
    </w:p>
    <w:p>
      <w:pPr>
        <w:spacing w:after="120"/>
      </w:pPr>
    </w:p>
    <w:p>
      <w:pPr>
        <w:bidi w:val="1"/>
        <w:spacing w:after="120"/>
        <w:jc w:val="right"/>
      </w:pPr>
      <w:r>
        <w:t>- تطبيق/واجهة هاتف لسهولة الإدخال أثناء التدريب أو بعده مباشرة.</w:t>
      </w:r>
    </w:p>
    <w:p>
      <w:pPr>
        <w:spacing w:after="120"/>
      </w:pPr>
    </w:p>
    <w:p>
      <w:pPr>
        <w:bidi w:val="1"/>
        <w:spacing w:after="120"/>
        <w:jc w:val="right"/>
      </w:pPr>
      <w:r>
        <w:t>توصيف البيانات المراد توثيقها (قالب): نوع الإجراء، التاريخ، المرحلة/المادة، مستوى الإشراف، ملاحظات، وربما مرفقات (مع سياسات صارمة لتجنب أي بيانات تعريفية للمريض). (8)(21)</w:t>
      </w:r>
    </w:p>
    <w:p>
      <w:pPr>
        <w:spacing w:after="120"/>
      </w:pPr>
    </w:p>
    <w:p>
      <w:pPr>
        <w:spacing w:after="120"/>
      </w:pPr>
    </w:p>
    <w:p>
      <w:pPr>
        <w:spacing w:after="120"/>
      </w:pPr>
    </w:p>
    <w:p>
      <w:pPr>
        <w:bidi w:val="1"/>
        <w:spacing w:after="120"/>
        <w:jc w:val="right"/>
      </w:pPr>
      <w:r>
        <w:t>d11) أداة الدراسة (Instrument)</w:t>
      </w:r>
    </w:p>
    <w:p>
      <w:pPr>
        <w:spacing w:after="120"/>
      </w:pPr>
    </w:p>
    <w:p>
      <w:pPr>
        <w:spacing w:after="120"/>
      </w:pPr>
    </w:p>
    <w:p>
      <w:pPr>
        <w:bidi w:val="1"/>
        <w:spacing w:after="120"/>
        <w:jc w:val="right"/>
      </w:pPr>
      <w:r>
        <w:t>dاستبيان 20 بند لقياس أبعاد UTAUT2 الممتد.</w:t>
      </w:r>
    </w:p>
    <w:p>
      <w:pPr>
        <w:spacing w:after="120"/>
      </w:pPr>
    </w:p>
    <w:p>
      <w:pPr>
        <w:bidi w:val="1"/>
        <w:spacing w:after="120"/>
        <w:jc w:val="right"/>
      </w:pPr>
      <w:r>
        <w:t>مقياس الاستجابة: 1=لا أوافق بشدة … 5=أوافق بشدة.</w:t>
      </w:r>
    </w:p>
    <w:p>
      <w:pPr>
        <w:spacing w:after="120"/>
      </w:pPr>
    </w:p>
    <w:p>
      <w:pPr>
        <w:bidi w:val="1"/>
        <w:spacing w:after="120"/>
        <w:jc w:val="right"/>
      </w:pPr>
      <w:r>
        <w:t>بنود العادة/تفضيل الورق (HT) تُعكس أثناء التحليل.</w:t>
      </w:r>
    </w:p>
    <w:p>
      <w:pPr>
        <w:spacing w:after="120"/>
      </w:pPr>
    </w:p>
    <w:p>
      <w:pPr>
        <w:bidi w:val="1"/>
        <w:spacing w:after="120"/>
        <w:jc w:val="right"/>
      </w:pPr>
      <w:r>
        <w:t>تمت صياغة البنود لتناسب سياق E-Logbook في التعليم السريري، مع دعم محتوى البُعد من أدبيات الـlogbooks وe-portfolios. (2)(7)(18)</w:t>
      </w:r>
    </w:p>
    <w:p>
      <w:pPr>
        <w:spacing w:after="120"/>
      </w:pPr>
    </w:p>
    <w:p>
      <w:pPr>
        <w:spacing w:after="120"/>
      </w:pPr>
    </w:p>
    <w:p>
      <w:pPr>
        <w:spacing w:after="120"/>
      </w:pPr>
    </w:p>
    <w:p>
      <w:pPr>
        <w:bidi w:val="1"/>
        <w:spacing w:after="120"/>
        <w:jc w:val="right"/>
      </w:pPr>
      <w:r>
        <w:t>d11.1) الاستبيان (طلاب فقط) — جاهز للطباعة</w:t>
      </w:r>
    </w:p>
    <w:p>
      <w:pPr>
        <w:spacing w:after="120"/>
      </w:pPr>
    </w:p>
    <w:p>
      <w:pPr>
        <w:spacing w:after="120"/>
      </w:pPr>
    </w:p>
    <w:p>
      <w:pPr>
        <w:bidi w:val="1"/>
        <w:spacing w:after="120"/>
        <w:jc w:val="right"/>
      </w:pPr>
      <w:r>
        <w:t>dتعليمات: يرجى الإجابة عن جميع الأسئلة بصدق. لا توجد إجابات صحيحة أو خاطئة. البيانات سرية وتستخدم للأغراض البحثية فقط.</w:t>
      </w:r>
    </w:p>
    <w:p>
      <w:pPr>
        <w:spacing w:after="120"/>
      </w:pPr>
    </w:p>
    <w:p>
      <w:pPr>
        <w:bidi w:val="1"/>
        <w:spacing w:after="120"/>
        <w:jc w:val="right"/>
      </w:pPr>
      <w:r>
        <w:t>مقياس الاستجابة: 1 لا أوافق بشدة، 2 لا أوافق، 3 محايد، 4 أوافق، 5 أوافق بشدة.</w:t>
      </w:r>
    </w:p>
    <w:p>
      <w:pPr>
        <w:spacing w:after="120"/>
      </w:pPr>
    </w:p>
    <w:p>
      <w:pPr>
        <w:spacing w:after="120"/>
      </w:pPr>
    </w:p>
    <w:p>
      <w:pPr>
        <w:bidi w:val="1"/>
        <w:spacing w:after="120"/>
        <w:jc w:val="right"/>
      </w:pPr>
      <w:r>
        <w:t>البنود (20):</w:t>
      </w:r>
    </w:p>
    <w:p>
      <w:pPr>
        <w:spacing w:after="120"/>
      </w:pPr>
    </w:p>
    <w:p>
      <w:pPr>
        <w:bidi w:val="1"/>
        <w:spacing w:after="120"/>
        <w:jc w:val="right"/>
      </w:pPr>
      <w:r>
        <w:t>PE (المنفعة المتوقعة)</w:t>
      </w:r>
    </w:p>
    <w:p>
      <w:pPr>
        <w:spacing w:after="120"/>
      </w:pPr>
    </w:p>
    <w:p>
      <w:pPr>
        <w:bidi w:val="1"/>
        <w:spacing w:after="120"/>
        <w:jc w:val="right"/>
      </w:pPr>
      <w:r>
        <w:rPr>
          <w:b/>
          <w:sz w:val="26"/>
        </w:rPr>
        <w:t>1) أعتقد أن الـE-Logbook سيحسن جودة توثيق إجراءات/حالاتي.</w:t>
      </w:r>
    </w:p>
    <w:p>
      <w:pPr>
        <w:spacing w:after="120"/>
      </w:pPr>
    </w:p>
    <w:p>
      <w:pPr>
        <w:bidi w:val="1"/>
        <w:spacing w:after="120"/>
        <w:jc w:val="right"/>
      </w:pPr>
      <w:r>
        <w:rPr>
          <w:b/>
          <w:sz w:val="26"/>
        </w:rPr>
        <w:t>2) الـE-Logbook سيساعدني على تتبع إنجازاتي ومتطلبات التدريب بسهولة.</w:t>
      </w:r>
    </w:p>
    <w:p>
      <w:pPr>
        <w:spacing w:after="120"/>
      </w:pPr>
    </w:p>
    <w:p>
      <w:pPr>
        <w:bidi w:val="1"/>
        <w:spacing w:after="120"/>
        <w:jc w:val="right"/>
      </w:pPr>
      <w:r>
        <w:t>EE (الجهد المتوقع/سهولة الاستخدام)</w:t>
      </w:r>
    </w:p>
    <w:p>
      <w:pPr>
        <w:spacing w:after="120"/>
      </w:pPr>
    </w:p>
    <w:p>
      <w:pPr>
        <w:bidi w:val="1"/>
        <w:spacing w:after="120"/>
        <w:jc w:val="right"/>
      </w:pPr>
      <w:r>
        <w:rPr>
          <w:b/>
          <w:sz w:val="26"/>
        </w:rPr>
        <w:t>3) تعلم استخدام الـE-Logbook (ويب + هاتف) سيكون سهلاً بالنسبة لي.</w:t>
      </w:r>
    </w:p>
    <w:p>
      <w:pPr>
        <w:spacing w:after="120"/>
      </w:pPr>
    </w:p>
    <w:p>
      <w:pPr>
        <w:bidi w:val="1"/>
        <w:spacing w:after="120"/>
        <w:jc w:val="right"/>
      </w:pPr>
      <w:r>
        <w:rPr>
          <w:b/>
          <w:sz w:val="26"/>
        </w:rPr>
        <w:t>4) إدخال إجراء/حالة في الـE-Logbook سيكون واضحاً ومفهوماً.</w:t>
      </w:r>
    </w:p>
    <w:p>
      <w:pPr>
        <w:spacing w:after="120"/>
      </w:pPr>
    </w:p>
    <w:p>
      <w:pPr>
        <w:bidi w:val="1"/>
        <w:spacing w:after="120"/>
        <w:jc w:val="right"/>
      </w:pPr>
      <w:r>
        <w:t>SI (التأثير الاجتماعي)</w:t>
      </w:r>
    </w:p>
    <w:p>
      <w:pPr>
        <w:spacing w:after="120"/>
      </w:pPr>
    </w:p>
    <w:p>
      <w:pPr>
        <w:bidi w:val="1"/>
        <w:spacing w:after="120"/>
        <w:jc w:val="right"/>
      </w:pPr>
      <w:r>
        <w:rPr>
          <w:b/>
          <w:sz w:val="26"/>
        </w:rPr>
        <w:t>5) المدرسون/المشرفون سيشجعون اعتماد الـE-Logbook بدلاً من الورقي.</w:t>
      </w:r>
    </w:p>
    <w:p>
      <w:pPr>
        <w:spacing w:after="120"/>
      </w:pPr>
    </w:p>
    <w:p>
      <w:pPr>
        <w:bidi w:val="1"/>
        <w:spacing w:after="120"/>
        <w:jc w:val="right"/>
      </w:pPr>
      <w:r>
        <w:rPr>
          <w:b/>
          <w:sz w:val="26"/>
        </w:rPr>
        <w:t>6) زملائي يتوقعون أن اعتماد الـE-Logbook سيصبح معياراً في الكلية.</w:t>
      </w:r>
    </w:p>
    <w:p>
      <w:pPr>
        <w:spacing w:after="120"/>
      </w:pPr>
    </w:p>
    <w:p>
      <w:pPr>
        <w:bidi w:val="1"/>
        <w:spacing w:after="120"/>
        <w:jc w:val="right"/>
      </w:pPr>
      <w:r>
        <w:t>FC (الظروف التسهيلية)</w:t>
      </w:r>
    </w:p>
    <w:p>
      <w:pPr>
        <w:spacing w:after="120"/>
      </w:pPr>
    </w:p>
    <w:p>
      <w:pPr>
        <w:bidi w:val="1"/>
        <w:spacing w:after="120"/>
        <w:jc w:val="right"/>
      </w:pPr>
      <w:r>
        <w:rPr>
          <w:b/>
          <w:sz w:val="26"/>
        </w:rPr>
        <w:t>7) تتوفر بنية تحتية كافية (إنترنت/أجهزة) لاستخدام الـE-Logbook.</w:t>
      </w:r>
    </w:p>
    <w:p>
      <w:pPr>
        <w:spacing w:after="120"/>
      </w:pPr>
    </w:p>
    <w:p>
      <w:pPr>
        <w:bidi w:val="1"/>
        <w:spacing w:after="120"/>
        <w:jc w:val="right"/>
      </w:pPr>
      <w:r>
        <w:rPr>
          <w:b/>
          <w:sz w:val="26"/>
        </w:rPr>
        <w:t>8) سأحصل على تدريب/دعم فني كافٍ لاستخدام الـE-Logbook.</w:t>
      </w:r>
    </w:p>
    <w:p>
      <w:pPr>
        <w:spacing w:after="120"/>
      </w:pPr>
    </w:p>
    <w:p>
      <w:pPr>
        <w:bidi w:val="1"/>
        <w:spacing w:after="120"/>
        <w:jc w:val="right"/>
      </w:pPr>
      <w:r>
        <w:t>HM (الدافعية/الارتياح)</w:t>
      </w:r>
    </w:p>
    <w:p>
      <w:pPr>
        <w:spacing w:after="120"/>
      </w:pPr>
    </w:p>
    <w:p>
      <w:pPr>
        <w:bidi w:val="1"/>
        <w:spacing w:after="120"/>
        <w:jc w:val="right"/>
      </w:pPr>
      <w:r>
        <w:rPr>
          <w:b/>
          <w:sz w:val="26"/>
        </w:rPr>
        <w:t>9) استخدام الـE-Logbook سيكون أكثر راحة/سلاسة من الورقي.</w:t>
      </w:r>
    </w:p>
    <w:p>
      <w:pPr>
        <w:spacing w:after="120"/>
      </w:pPr>
    </w:p>
    <w:p>
      <w:pPr>
        <w:bidi w:val="1"/>
        <w:spacing w:after="120"/>
        <w:jc w:val="right"/>
      </w:pPr>
      <w:r>
        <w:t>HT (العادة/تفضيل الورق) (تعكس عند التحليل)</w:t>
      </w:r>
    </w:p>
    <w:p>
      <w:pPr>
        <w:spacing w:after="120"/>
      </w:pPr>
    </w:p>
    <w:p>
      <w:pPr>
        <w:bidi w:val="1"/>
        <w:spacing w:after="120"/>
        <w:jc w:val="right"/>
      </w:pPr>
      <w:r>
        <w:rPr>
          <w:b/>
          <w:sz w:val="26"/>
        </w:rPr>
        <w:t>10) أفضل الـLogbook الورقي على الإلكتروني.</w:t>
      </w:r>
    </w:p>
    <w:p>
      <w:pPr>
        <w:spacing w:after="120"/>
      </w:pPr>
    </w:p>
    <w:p>
      <w:pPr>
        <w:bidi w:val="1"/>
        <w:spacing w:after="120"/>
        <w:jc w:val="right"/>
      </w:pPr>
      <w:r>
        <w:rPr>
          <w:b/>
          <w:sz w:val="26"/>
        </w:rPr>
        <w:t>11) تعودي على السجل الورقي يجعل الانتقال إلى الإلكتروني صعباً.</w:t>
      </w:r>
    </w:p>
    <w:p>
      <w:pPr>
        <w:spacing w:after="120"/>
      </w:pPr>
    </w:p>
    <w:p>
      <w:pPr>
        <w:bidi w:val="1"/>
        <w:spacing w:after="120"/>
        <w:jc w:val="right"/>
      </w:pPr>
      <w:r>
        <w:t>SEC (مخاوف الخصوصية/الأمان)</w:t>
      </w:r>
    </w:p>
    <w:p>
      <w:pPr>
        <w:spacing w:after="120"/>
      </w:pPr>
    </w:p>
    <w:p>
      <w:pPr>
        <w:bidi w:val="1"/>
        <w:spacing w:after="120"/>
        <w:jc w:val="right"/>
      </w:pPr>
      <w:r>
        <w:rPr>
          <w:b/>
          <w:sz w:val="26"/>
        </w:rPr>
        <w:t>12) أخشى الوصول غير المصرح به إلى بيانات التوثيق إذا أصبحت إلكترونية.</w:t>
      </w:r>
    </w:p>
    <w:p>
      <w:pPr>
        <w:spacing w:after="120"/>
      </w:pPr>
    </w:p>
    <w:p>
      <w:pPr>
        <w:bidi w:val="1"/>
        <w:spacing w:after="120"/>
        <w:jc w:val="right"/>
      </w:pPr>
      <w:r>
        <w:rPr>
          <w:b/>
          <w:sz w:val="26"/>
        </w:rPr>
        <w:t>13) أخشى تسرب محتوى الحالات/الصور/التفاصيل السريرية عبر النظام الإلكتروني.</w:t>
      </w:r>
    </w:p>
    <w:p>
      <w:pPr>
        <w:spacing w:after="120"/>
      </w:pPr>
    </w:p>
    <w:p>
      <w:pPr>
        <w:bidi w:val="1"/>
        <w:spacing w:after="120"/>
        <w:jc w:val="right"/>
      </w:pPr>
      <w:r>
        <w:rPr>
          <w:b/>
          <w:sz w:val="26"/>
        </w:rPr>
        <w:t>14) لا أثق بأن النظام سيحمي الخصوصية بشكل كافٍ.</w:t>
      </w:r>
    </w:p>
    <w:p>
      <w:pPr>
        <w:spacing w:after="120"/>
      </w:pPr>
    </w:p>
    <w:p>
      <w:pPr>
        <w:bidi w:val="1"/>
        <w:spacing w:after="120"/>
        <w:jc w:val="right"/>
      </w:pPr>
      <w:r>
        <w:t>DSE (الكفاءة الذاتية الرقمية)</w:t>
      </w:r>
    </w:p>
    <w:p>
      <w:pPr>
        <w:spacing w:after="120"/>
      </w:pPr>
    </w:p>
    <w:p>
      <w:pPr>
        <w:bidi w:val="1"/>
        <w:spacing w:after="120"/>
        <w:jc w:val="right"/>
      </w:pPr>
      <w:r>
        <w:rPr>
          <w:b/>
          <w:sz w:val="26"/>
        </w:rPr>
        <w:t>15) أثق بقدرتي على تعلم استخدام الـE-Logbook.</w:t>
      </w:r>
    </w:p>
    <w:p>
      <w:pPr>
        <w:spacing w:after="120"/>
      </w:pPr>
    </w:p>
    <w:p>
      <w:pPr>
        <w:bidi w:val="1"/>
        <w:spacing w:after="120"/>
        <w:jc w:val="right"/>
      </w:pPr>
      <w:r>
        <w:rPr>
          <w:b/>
          <w:sz w:val="26"/>
        </w:rPr>
        <w:t>16) أستطيع حل المشاكل البسيطة في استخدام النظام دون مساعدة كبيرة.</w:t>
      </w:r>
    </w:p>
    <w:p>
      <w:pPr>
        <w:spacing w:after="120"/>
      </w:pPr>
    </w:p>
    <w:p>
      <w:pPr>
        <w:bidi w:val="1"/>
        <w:spacing w:after="120"/>
        <w:jc w:val="right"/>
      </w:pPr>
      <w:r>
        <w:t>BI (النية للاستخدام)</w:t>
      </w:r>
    </w:p>
    <w:p>
      <w:pPr>
        <w:spacing w:after="120"/>
      </w:pPr>
    </w:p>
    <w:p>
      <w:pPr>
        <w:bidi w:val="1"/>
        <w:spacing w:after="120"/>
        <w:jc w:val="right"/>
      </w:pPr>
      <w:r>
        <w:rPr>
          <w:b/>
          <w:sz w:val="26"/>
        </w:rPr>
        <w:t>17) أنوي استخدام الـE-Logbook بانتظام إذا تم اعتماده رسمياً.</w:t>
      </w:r>
    </w:p>
    <w:p>
      <w:pPr>
        <w:spacing w:after="120"/>
      </w:pPr>
    </w:p>
    <w:p>
      <w:pPr>
        <w:bidi w:val="1"/>
        <w:spacing w:after="120"/>
        <w:jc w:val="right"/>
      </w:pPr>
      <w:r>
        <w:rPr>
          <w:b/>
          <w:sz w:val="26"/>
        </w:rPr>
        <w:t>18) سأفضّل اعتماد الـE-Logbook بدلاً من الورقي.</w:t>
      </w:r>
    </w:p>
    <w:p>
      <w:pPr>
        <w:spacing w:after="120"/>
      </w:pPr>
    </w:p>
    <w:p>
      <w:pPr>
        <w:bidi w:val="1"/>
        <w:spacing w:after="120"/>
        <w:jc w:val="right"/>
      </w:pPr>
      <w:r>
        <w:rPr>
          <w:b/>
          <w:sz w:val="26"/>
        </w:rPr>
        <w:t>19) وجود الـE-Logbook على الويب والهاتف سيزيد التزامي بالتوثيق.</w:t>
      </w:r>
    </w:p>
    <w:p>
      <w:pPr>
        <w:spacing w:after="120"/>
      </w:pPr>
    </w:p>
    <w:p>
      <w:pPr>
        <w:bidi w:val="1"/>
        <w:spacing w:after="120"/>
        <w:jc w:val="right"/>
      </w:pPr>
      <w:r>
        <w:rPr>
          <w:b/>
          <w:sz w:val="26"/>
        </w:rPr>
        <w:t>20) سأشجع زملائي على استخدام الـE-Logbook.</w:t>
      </w:r>
    </w:p>
    <w:p>
      <w:pPr>
        <w:spacing w:after="120"/>
      </w:pPr>
    </w:p>
    <w:p>
      <w:pPr>
        <w:spacing w:after="120"/>
      </w:pPr>
    </w:p>
    <w:p>
      <w:pPr>
        <w:bidi w:val="1"/>
        <w:spacing w:after="120"/>
        <w:jc w:val="right"/>
      </w:pPr>
      <w:r>
        <w:t>البيانات الديموغرافية (طلاب):</w:t>
      </w:r>
    </w:p>
    <w:p>
      <w:pPr>
        <w:spacing w:after="120"/>
      </w:pPr>
    </w:p>
    <w:p>
      <w:pPr>
        <w:bidi w:val="1"/>
        <w:spacing w:after="120"/>
        <w:jc w:val="right"/>
      </w:pPr>
      <w:r>
        <w:t>- الجامعة: ________</w:t>
      </w:r>
    </w:p>
    <w:p>
      <w:pPr>
        <w:spacing w:after="120"/>
      </w:pPr>
    </w:p>
    <w:p>
      <w:pPr>
        <w:bidi w:val="1"/>
        <w:spacing w:after="120"/>
        <w:jc w:val="right"/>
      </w:pPr>
      <w:r>
        <w:t>- السنة: 2 / 3 / 4 / 5</w:t>
      </w:r>
    </w:p>
    <w:p>
      <w:pPr>
        <w:spacing w:after="120"/>
      </w:pPr>
    </w:p>
    <w:p>
      <w:pPr>
        <w:bidi w:val="1"/>
        <w:spacing w:after="120"/>
        <w:jc w:val="right"/>
      </w:pPr>
      <w:r>
        <w:t>- العمر: ____</w:t>
      </w:r>
    </w:p>
    <w:p>
      <w:pPr>
        <w:spacing w:after="120"/>
      </w:pPr>
    </w:p>
    <w:p>
      <w:pPr>
        <w:bidi w:val="1"/>
        <w:spacing w:after="120"/>
        <w:jc w:val="right"/>
      </w:pPr>
      <w:r>
        <w:t>- الجنس: ذكر / أنثى</w:t>
      </w:r>
    </w:p>
    <w:p>
      <w:pPr>
        <w:spacing w:after="120"/>
      </w:pPr>
    </w:p>
    <w:p>
      <w:pPr>
        <w:bidi w:val="1"/>
        <w:spacing w:after="120"/>
        <w:jc w:val="right"/>
      </w:pPr>
      <w:r>
        <w:t>- الخبرة الرقمية: مبتدئ / متوسط / متقدم</w:t>
      </w:r>
    </w:p>
    <w:p>
      <w:pPr>
        <w:spacing w:after="120"/>
      </w:pPr>
    </w:p>
    <w:p>
      <w:pPr>
        <w:spacing w:after="120"/>
      </w:pPr>
    </w:p>
    <w:p>
      <w:pPr>
        <w:spacing w:after="120"/>
      </w:pPr>
    </w:p>
    <w:p>
      <w:pPr>
        <w:bidi w:val="1"/>
        <w:spacing w:after="120"/>
        <w:jc w:val="right"/>
      </w:pPr>
      <w:r>
        <w:t>d12) جمع البيانات (Data collection)</w:t>
      </w:r>
    </w:p>
    <w:p>
      <w:pPr>
        <w:spacing w:after="120"/>
      </w:pPr>
    </w:p>
    <w:p>
      <w:pPr>
        <w:spacing w:after="120"/>
      </w:pPr>
    </w:p>
    <w:p>
      <w:pPr>
        <w:bidi w:val="1"/>
        <w:spacing w:after="120"/>
        <w:jc w:val="right"/>
      </w:pPr>
      <w:r>
        <w:t>dسيتم جمع البيانات عبر استبيان ورقي أو رابط إلكتروني (QR) وفق توافر الإنترنت. لتقليل التحيز، يفضل أن يتم التوزيع في أوقات لا تتداخل مع التقييم الرسمي، مع التأكيد على سرية البيانات وعدم تأثير المشاركة على تقييم الطالب. (2)(7)</w:t>
      </w:r>
    </w:p>
    <w:p>
      <w:pPr>
        <w:spacing w:after="120"/>
      </w:pPr>
    </w:p>
    <w:p>
      <w:pPr>
        <w:spacing w:after="120"/>
      </w:pPr>
    </w:p>
    <w:p>
      <w:pPr>
        <w:spacing w:after="120"/>
      </w:pPr>
    </w:p>
    <w:p>
      <w:pPr>
        <w:bidi w:val="1"/>
        <w:spacing w:after="120"/>
        <w:jc w:val="right"/>
      </w:pPr>
      <w:r>
        <w:t>d13) خطة التحليل باستخدام Python (Analysis plan)</w:t>
      </w:r>
    </w:p>
    <w:p>
      <w:pPr>
        <w:spacing w:after="120"/>
      </w:pPr>
    </w:p>
    <w:p>
      <w:pPr>
        <w:spacing w:after="120"/>
      </w:pPr>
    </w:p>
    <w:p>
      <w:pPr>
        <w:bidi w:val="1"/>
        <w:spacing w:after="120"/>
        <w:jc w:val="right"/>
      </w:pPr>
      <w:r>
        <w:t>d1) التحضير:</w:t>
      </w:r>
    </w:p>
    <w:p>
      <w:pPr>
        <w:spacing w:after="120"/>
      </w:pPr>
    </w:p>
    <w:p>
      <w:pPr>
        <w:bidi w:val="1"/>
        <w:spacing w:after="120"/>
        <w:jc w:val="right"/>
      </w:pPr>
      <w:r>
        <w:t>- تحويل الإجابات إلى أرقام 1–5.</w:t>
      </w:r>
    </w:p>
    <w:p>
      <w:pPr>
        <w:spacing w:after="120"/>
      </w:pPr>
    </w:p>
    <w:p>
      <w:pPr>
        <w:bidi w:val="1"/>
        <w:spacing w:after="120"/>
        <w:jc w:val="right"/>
      </w:pPr>
      <w:r>
        <w:t>- عكس البنود المعكوسة: HT1 وHT2 باستخدام (6 - القيمة).</w:t>
      </w:r>
    </w:p>
    <w:p>
      <w:pPr>
        <w:spacing w:after="120"/>
      </w:pPr>
    </w:p>
    <w:p>
      <w:pPr>
        <w:bidi w:val="1"/>
        <w:spacing w:after="120"/>
        <w:jc w:val="right"/>
      </w:pPr>
      <w:r>
        <w:t>- حساب متوسط كل بُعد (PE, EE, SI, FC, HM, HT, SEC, DSE) ومتوسط BI.</w:t>
      </w:r>
    </w:p>
    <w:p>
      <w:pPr>
        <w:spacing w:after="120"/>
      </w:pPr>
    </w:p>
    <w:p>
      <w:pPr>
        <w:bidi w:val="1"/>
        <w:spacing w:after="120"/>
        <w:jc w:val="right"/>
      </w:pPr>
      <w:r>
        <w:rPr>
          <w:b/>
          <w:sz w:val="26"/>
        </w:rPr>
        <w:t>2) الثبات:</w:t>
      </w:r>
    </w:p>
    <w:p>
      <w:pPr>
        <w:spacing w:after="120"/>
      </w:pPr>
    </w:p>
    <w:p>
      <w:pPr>
        <w:bidi w:val="1"/>
        <w:spacing w:after="120"/>
        <w:jc w:val="right"/>
      </w:pPr>
      <w:r>
        <w:t>- حساب Cronbach’s alpha لكل بُعد وللاستبيان ككل.</w:t>
      </w:r>
    </w:p>
    <w:p>
      <w:pPr>
        <w:spacing w:after="120"/>
      </w:pPr>
    </w:p>
    <w:p>
      <w:pPr>
        <w:bidi w:val="1"/>
        <w:spacing w:after="120"/>
        <w:jc w:val="right"/>
      </w:pPr>
      <w:r>
        <w:rPr>
          <w:b/>
          <w:sz w:val="26"/>
        </w:rPr>
        <w:t>3) المقارنات:</w:t>
      </w:r>
    </w:p>
    <w:p>
      <w:pPr>
        <w:spacing w:after="120"/>
      </w:pPr>
    </w:p>
    <w:p>
      <w:pPr>
        <w:bidi w:val="1"/>
        <w:spacing w:after="120"/>
        <w:jc w:val="right"/>
      </w:pPr>
      <w:r>
        <w:t>- اختبار فروق BI حسب السنة (ANOVA أو Kruskal عند الحاجة) + Post-hoc.</w:t>
      </w:r>
    </w:p>
    <w:p>
      <w:pPr>
        <w:spacing w:after="120"/>
      </w:pPr>
    </w:p>
    <w:p>
      <w:pPr>
        <w:bidi w:val="1"/>
        <w:spacing w:after="120"/>
        <w:jc w:val="right"/>
      </w:pPr>
      <w:r>
        <w:t>- اختبار فروق حسب الجامعة.</w:t>
      </w:r>
    </w:p>
    <w:p>
      <w:pPr>
        <w:spacing w:after="120"/>
      </w:pPr>
    </w:p>
    <w:p>
      <w:pPr>
        <w:bidi w:val="1"/>
        <w:spacing w:after="120"/>
        <w:jc w:val="right"/>
      </w:pPr>
      <w:r>
        <w:rPr>
          <w:b/>
          <w:sz w:val="26"/>
        </w:rPr>
        <w:t>4) اختبار الفرضيات:</w:t>
      </w:r>
    </w:p>
    <w:p>
      <w:pPr>
        <w:spacing w:after="120"/>
      </w:pPr>
    </w:p>
    <w:p>
      <w:pPr>
        <w:bidi w:val="1"/>
        <w:spacing w:after="120"/>
        <w:jc w:val="right"/>
      </w:pPr>
      <w:r>
        <w:t>- انحدار خطي متعدد: BI ~ PE + EE + SI + FC + HM + HT + SEC + DSE + (متغيرات ضابطة).</w:t>
      </w:r>
    </w:p>
    <w:p>
      <w:pPr>
        <w:spacing w:after="120"/>
      </w:pPr>
    </w:p>
    <w:p>
      <w:pPr>
        <w:bidi w:val="1"/>
        <w:spacing w:after="120"/>
        <w:jc w:val="right"/>
      </w:pPr>
      <w:r>
        <w:t>- CFA/SEM باستخدام مكتبة semopy (اختياري) للتحقق من نموذج القياس والنموذج البنيوي.</w:t>
      </w:r>
    </w:p>
    <w:p>
      <w:pPr>
        <w:spacing w:after="120"/>
      </w:pPr>
    </w:p>
    <w:p>
      <w:pPr>
        <w:bidi w:val="1"/>
        <w:spacing w:after="120"/>
        <w:jc w:val="right"/>
      </w:pPr>
      <w:r>
        <w:rPr>
          <w:b/>
          <w:sz w:val="26"/>
        </w:rPr>
        <w:t>5) الإبلاغ:</w:t>
      </w:r>
    </w:p>
    <w:p>
      <w:pPr>
        <w:spacing w:after="120"/>
      </w:pPr>
    </w:p>
    <w:p>
      <w:pPr>
        <w:bidi w:val="1"/>
        <w:spacing w:after="120"/>
        <w:jc w:val="right"/>
      </w:pPr>
      <w:r>
        <w:t>- تقديم معاملات بيتا، فواصل الثقة، والقيم الاحتمالية، مع مؤشرات ملاءمة عند SEM.</w:t>
      </w:r>
    </w:p>
    <w:p>
      <w:pPr>
        <w:spacing w:after="120"/>
      </w:pPr>
    </w:p>
    <w:p>
      <w:pPr>
        <w:bidi w:val="1"/>
        <w:spacing w:after="120"/>
        <w:jc w:val="right"/>
      </w:pPr>
      <w:r>
        <w:t>مرجع داعم لمنطق readiness والتدخلات: مراجعة منهجية عن تحسين الجاهزية الرقمية في الصحة. (21)</w:t>
      </w:r>
    </w:p>
    <w:p>
      <w:pPr>
        <w:spacing w:after="120"/>
      </w:pPr>
    </w:p>
    <w:p>
      <w:pPr>
        <w:spacing w:after="120"/>
      </w:pPr>
    </w:p>
    <w:p>
      <w:pPr>
        <w:spacing w:after="120"/>
      </w:pPr>
    </w:p>
    <w:p>
      <w:pPr>
        <w:bidi w:val="1"/>
        <w:spacing w:after="120"/>
        <w:jc w:val="right"/>
      </w:pPr>
      <w:r>
        <w:t>d14) الاعتبارات الأخلاقية والخصوصية (Ethics &amp; privacy)</w:t>
      </w:r>
    </w:p>
    <w:p>
      <w:pPr>
        <w:spacing w:after="120"/>
      </w:pPr>
    </w:p>
    <w:p>
      <w:pPr>
        <w:spacing w:after="120"/>
      </w:pPr>
    </w:p>
    <w:p>
      <w:pPr>
        <w:bidi w:val="1"/>
        <w:spacing w:after="120"/>
        <w:jc w:val="right"/>
      </w:pPr>
      <w:r>
        <w:t>d- الحصول على موافقة لجنة أخلاقيات/الجامعة.</w:t>
      </w:r>
    </w:p>
    <w:p>
      <w:pPr>
        <w:spacing w:after="120"/>
      </w:pPr>
    </w:p>
    <w:p>
      <w:pPr>
        <w:bidi w:val="1"/>
        <w:spacing w:after="120"/>
        <w:jc w:val="right"/>
      </w:pPr>
      <w:r>
        <w:t>- موافقة مستنيرة.</w:t>
      </w:r>
    </w:p>
    <w:p>
      <w:pPr>
        <w:spacing w:after="120"/>
      </w:pPr>
    </w:p>
    <w:p>
      <w:pPr>
        <w:bidi w:val="1"/>
        <w:spacing w:after="120"/>
        <w:jc w:val="right"/>
      </w:pPr>
      <w:r>
        <w:t>- عدم جمع بيانات تعريفية للطلاب.</w:t>
      </w:r>
    </w:p>
    <w:p>
      <w:pPr>
        <w:spacing w:after="120"/>
      </w:pPr>
    </w:p>
    <w:p>
      <w:pPr>
        <w:bidi w:val="1"/>
        <w:spacing w:after="120"/>
        <w:jc w:val="right"/>
      </w:pPr>
      <w:r>
        <w:t>- سياسة واضحة حول عدم توثيق أسماء المرضى أو أي معرفات شخصية داخل السجل الإلكتروني.</w:t>
      </w:r>
    </w:p>
    <w:p>
      <w:pPr>
        <w:spacing w:after="120"/>
      </w:pPr>
    </w:p>
    <w:p>
      <w:pPr>
        <w:bidi w:val="1"/>
        <w:spacing w:after="120"/>
        <w:jc w:val="right"/>
      </w:pPr>
      <w:r>
        <w:t>- توصيات أمنية تُبنى على أدبيات أمن السجلات الصحية ومتطلبات الحماية. (8)</w:t>
      </w:r>
    </w:p>
    <w:p>
      <w:pPr>
        <w:spacing w:after="120"/>
      </w:pPr>
    </w:p>
    <w:p>
      <w:pPr>
        <w:spacing w:after="120"/>
      </w:pPr>
    </w:p>
    <w:p>
      <w:pPr>
        <w:spacing w:after="120"/>
      </w:pPr>
    </w:p>
    <w:p>
      <w:pPr>
        <w:bidi w:val="1"/>
        <w:spacing w:after="120"/>
        <w:jc w:val="right"/>
      </w:pPr>
      <w:r>
        <w:t>d15) المخرجات المتوقعة (Expected outcomes)</w:t>
      </w:r>
    </w:p>
    <w:p>
      <w:pPr>
        <w:spacing w:after="120"/>
      </w:pPr>
    </w:p>
    <w:p>
      <w:pPr>
        <w:spacing w:after="120"/>
      </w:pPr>
    </w:p>
    <w:p>
      <w:pPr>
        <w:bidi w:val="1"/>
        <w:spacing w:after="120"/>
        <w:jc w:val="right"/>
      </w:pPr>
      <w:r>
        <w:t>d- تحديد مستوى القبول والاستعداد.</w:t>
      </w:r>
    </w:p>
    <w:p>
      <w:pPr>
        <w:spacing w:after="120"/>
      </w:pPr>
    </w:p>
    <w:p>
      <w:pPr>
        <w:bidi w:val="1"/>
        <w:spacing w:after="120"/>
        <w:jc w:val="right"/>
      </w:pPr>
      <w:r>
        <w:t>- تحديد العوامل الأكثر تأثيراً على النية.</w:t>
      </w:r>
    </w:p>
    <w:p>
      <w:pPr>
        <w:spacing w:after="120"/>
      </w:pPr>
    </w:p>
    <w:p>
      <w:pPr>
        <w:bidi w:val="1"/>
        <w:spacing w:after="120"/>
        <w:jc w:val="right"/>
      </w:pPr>
      <w:r>
        <w:t>- توصيات عملية للتصميم (ويب + هاتف)، التدريب، والدعم والحوكمة.</w:t>
      </w:r>
    </w:p>
    <w:p>
      <w:pPr>
        <w:spacing w:after="120"/>
      </w:pPr>
    </w:p>
    <w:p>
      <w:pPr>
        <w:spacing w:after="120"/>
      </w:pPr>
    </w:p>
    <w:p>
      <w:pPr>
        <w:spacing w:after="120"/>
      </w:pPr>
    </w:p>
    <w:p>
      <w:pPr>
        <w:bidi w:val="1"/>
        <w:spacing w:after="120"/>
        <w:jc w:val="right"/>
      </w:pPr>
      <w:r>
        <w:t>dالمراجع (50) + رابط + ماذا استخدمنا من كل مرجع</w:t>
      </w:r>
    </w:p>
    <w:p>
      <w:pPr>
        <w:spacing w:after="120"/>
      </w:pPr>
    </w:p>
    <w:p>
      <w:pPr>
        <w:spacing w:after="120"/>
      </w:pPr>
    </w:p>
    <w:p>
      <w:pPr>
        <w:bidi w:val="1"/>
        <w:spacing w:after="120"/>
        <w:jc w:val="right"/>
      </w:pPr>
      <w:r>
        <w:t>dملاحظة: تم اختيار مراجع حديثة قدر الإمكان (2022–2026) مع إدراج المرجع الأصلي للنموذج (UTAUT2) لأنه أساسي.</w:t>
      </w:r>
    </w:p>
    <w:p>
      <w:pPr>
        <w:spacing w:after="120"/>
      </w:pPr>
    </w:p>
    <w:p>
      <w:pPr>
        <w:spacing w:after="120"/>
      </w:pPr>
    </w:p>
    <w:p>
      <w:pPr>
        <w:bidi w:val="1"/>
        <w:spacing w:after="120"/>
        <w:jc w:val="right"/>
      </w:pPr>
      <w:r>
        <w:t>(1) Abdelrahman HH, et al. BMC Oral Health. 2025;25:79. https://doi.org/10.1186/s12903-024-05410-3 — الاستخدام: UTAUT في طب الأسنان (قريب من مجال الدراسة).</w:t>
      </w:r>
    </w:p>
    <w:p>
      <w:pPr>
        <w:spacing w:after="120"/>
      </w:pPr>
    </w:p>
    <w:p>
      <w:pPr>
        <w:bidi w:val="1"/>
        <w:spacing w:after="120"/>
        <w:jc w:val="right"/>
      </w:pPr>
      <w:r>
        <w:t>(2) Mokhtar MN, et al. BMC Medical Education. 2024;24:867. https://doi.org/10.1186/s12909-024-05859-4 — الاستخدام: مشاكل إدارة الـlogbook وتجربة المستخدم وتطويره.</w:t>
      </w:r>
    </w:p>
    <w:p>
      <w:pPr>
        <w:spacing w:after="120"/>
      </w:pPr>
    </w:p>
    <w:p>
      <w:pPr>
        <w:bidi w:val="1"/>
        <w:spacing w:after="120"/>
        <w:jc w:val="right"/>
      </w:pPr>
      <w:r>
        <w:t>(3) Najaffard N, et al. BMC Medical Education. 2024;24:114. https://doi.org/10.1186/s12909-024-05092-z — الاستخدام: قيمة e-portfolio في الكفاءة/التعلم (دعم PE/DSE).</w:t>
      </w:r>
    </w:p>
    <w:p>
      <w:pPr>
        <w:spacing w:after="120"/>
      </w:pPr>
    </w:p>
    <w:p>
      <w:pPr>
        <w:bidi w:val="1"/>
        <w:spacing w:after="120"/>
        <w:jc w:val="right"/>
      </w:pPr>
      <w:r>
        <w:t>(4) Battista S, et al. BMC Medical Education. 2023;23:584. https://doi.org/10.1186/s12909-023-04528-2 — الاستخدام: أهمية السجلات السريرية وتأثرها بالتعلم الرقمي.</w:t>
      </w:r>
    </w:p>
    <w:p>
      <w:pPr>
        <w:spacing w:after="120"/>
      </w:pPr>
    </w:p>
    <w:p>
      <w:pPr>
        <w:bidi w:val="1"/>
        <w:spacing w:after="120"/>
        <w:jc w:val="right"/>
      </w:pPr>
      <w:r>
        <w:t>(5) Venkatesh V, Thong JY, Xu X. MIS Quarterly. 2012;36(1):157–178. https://doi.org/10.2307/25110412 — الاستخدام: المرجع النظري الأصلي لـUTAUT2 وبناء الفرضيات.</w:t>
      </w:r>
    </w:p>
    <w:p>
      <w:pPr>
        <w:spacing w:after="120"/>
      </w:pPr>
    </w:p>
    <w:p>
      <w:pPr>
        <w:bidi w:val="1"/>
        <w:spacing w:after="120"/>
        <w:jc w:val="right"/>
      </w:pPr>
      <w:r>
        <w:t>(6) Palas JU, et al. BMC Med Inform Decis Mak. 2022;22:191. https://doi.org/10.1186/s12911-022-01917-3 — الاستخدام: مثال حديث لـUTAUT2 ممتد في الصحة (منهجياً).</w:t>
      </w:r>
    </w:p>
    <w:p>
      <w:pPr>
        <w:spacing w:after="120"/>
      </w:pPr>
    </w:p>
    <w:p>
      <w:pPr>
        <w:bidi w:val="1"/>
        <w:spacing w:after="120"/>
        <w:jc w:val="right"/>
      </w:pPr>
      <w:r>
        <w:t>(7) Paydar S, et al. Health Science Reports. 2023;6:e1776. https://doi.org/10.1002/hsr2.1776 — الاستخدام: مراجعة مزايا/عيوب الـE-Logbook (تصميم/عوائق).</w:t>
      </w:r>
    </w:p>
    <w:p>
      <w:pPr>
        <w:spacing w:after="120"/>
      </w:pPr>
    </w:p>
    <w:p>
      <w:pPr>
        <w:bidi w:val="1"/>
        <w:spacing w:after="120"/>
        <w:jc w:val="right"/>
      </w:pPr>
      <w:r>
        <w:t>(8) Hosseini A, et al. BMC Med Inform Decis Mak. 2023;23:116. https://doi.org/10.1186/s12911-023-02225-0 — الاستخدام: بناء بعد SEC وتوصيات حماية البيانات.</w:t>
      </w:r>
    </w:p>
    <w:p>
      <w:pPr>
        <w:spacing w:after="120"/>
      </w:pPr>
    </w:p>
    <w:p>
      <w:pPr>
        <w:bidi w:val="1"/>
        <w:spacing w:after="120"/>
        <w:jc w:val="right"/>
      </w:pPr>
      <w:r>
        <w:t>(9) Liu X, et al. Behav Sci. 2025;15(6):728. https://doi.org/10.3390/bs15060728 — الاستخدام: UTAUT2 في طلاب/تعليم رقمي (استلهام تحليلي).</w:t>
      </w:r>
    </w:p>
    <w:p>
      <w:pPr>
        <w:spacing w:after="120"/>
      </w:pPr>
    </w:p>
    <w:p>
      <w:pPr>
        <w:bidi w:val="1"/>
        <w:spacing w:after="120"/>
        <w:jc w:val="right"/>
      </w:pPr>
      <w:r>
        <w:t>(10) Al-Abdulla O, et al. Health Research Policy and Systems. 2025;23:85. https://doi.org/10.1186/s12961-025-01352-6 — الاستخدام: سياق سوريا/التحديات النظامية وتأثيرها على FC.</w:t>
      </w:r>
    </w:p>
    <w:p>
      <w:pPr>
        <w:spacing w:after="120"/>
      </w:pPr>
    </w:p>
    <w:p>
      <w:pPr>
        <w:bidi w:val="1"/>
        <w:spacing w:after="120"/>
        <w:jc w:val="right"/>
      </w:pPr>
      <w:r>
        <w:t>(11) Swed S, et al. Digital Health. 2023;9:20552076231211662. https://doi.org/10.1177/20552076231211662 — الاستخدام: مؤشر محلي عن الوعي/المهارات الرقمية في سوريا.</w:t>
      </w:r>
    </w:p>
    <w:p>
      <w:pPr>
        <w:spacing w:after="120"/>
      </w:pPr>
    </w:p>
    <w:p>
      <w:pPr>
        <w:bidi w:val="1"/>
        <w:spacing w:after="120"/>
        <w:jc w:val="right"/>
      </w:pPr>
      <w:r>
        <w:t>(12) Olayiwola QB, et al. Discover Public Health. 2026;23:499. https://doi.org/10.1186/s12982-026-01875-5 — الاستخدام: عوائق الصحة الرقمية في بيئات محدودة الموارد.</w:t>
      </w:r>
    </w:p>
    <w:p>
      <w:pPr>
        <w:spacing w:after="120"/>
      </w:pPr>
    </w:p>
    <w:p>
      <w:pPr>
        <w:bidi w:val="1"/>
        <w:spacing w:after="120"/>
        <w:jc w:val="right"/>
      </w:pPr>
      <w:r>
        <w:t>(13) Ngusie HS, et al. BMC Health Services Research. 2024;24:889. https://doi.org/10.1186/s12913-024-11378-1 — الاستخدام: دعم صلاحية أطر UTAUT الموسعة وعواملها.</w:t>
      </w:r>
    </w:p>
    <w:p>
      <w:pPr>
        <w:spacing w:after="120"/>
      </w:pPr>
    </w:p>
    <w:p>
      <w:pPr>
        <w:bidi w:val="1"/>
        <w:spacing w:after="120"/>
        <w:jc w:val="right"/>
      </w:pPr>
      <w:r>
        <w:t>(14) Shayganmehr A, et al. Journal of Health Management. 2025. https://doi.org/10.1177/09720634251341100 — الاستخدام: مثال على تمديد UTAUT2 لعوامل سياقية.</w:t>
      </w:r>
    </w:p>
    <w:p>
      <w:pPr>
        <w:spacing w:after="120"/>
      </w:pPr>
    </w:p>
    <w:p>
      <w:pPr>
        <w:bidi w:val="1"/>
        <w:spacing w:after="120"/>
        <w:jc w:val="right"/>
      </w:pPr>
      <w:r>
        <w:t>(15) Al-Natour B, et al. BMC Medical Education. 2024;24:1452. https://doi.org/10.1186/s12909-024-06497-6 — الاستخدام: تجارب طلاب الأسنان مع التعلم الرقمي (جاهزية/تقبل).</w:t>
      </w:r>
    </w:p>
    <w:p>
      <w:pPr>
        <w:spacing w:after="120"/>
      </w:pPr>
    </w:p>
    <w:p>
      <w:pPr>
        <w:bidi w:val="1"/>
        <w:spacing w:after="120"/>
        <w:jc w:val="right"/>
      </w:pPr>
      <w:r>
        <w:t>(16) Fu Y, et al. BMC Medical Education. 2024;24:191. https://doi.org/10.1186/s12909-024-05171-1 — الاستخدام: تقويم تقنيات رقمية في تعليم الأسنان (قابلية/اتجاهات).</w:t>
      </w:r>
    </w:p>
    <w:p>
      <w:pPr>
        <w:spacing w:after="120"/>
      </w:pPr>
    </w:p>
    <w:p>
      <w:pPr>
        <w:bidi w:val="1"/>
        <w:spacing w:after="120"/>
        <w:jc w:val="right"/>
      </w:pPr>
      <w:r>
        <w:t>(17) Gavgali YB, Kavaz T. BMC Medical Education. 2026;26:40. https://doi.org/10.1186/s12909-025-08467-y — الاستخدام: منظور حديث عن رقمنة تعليم الأسنان.</w:t>
      </w:r>
    </w:p>
    <w:p>
      <w:pPr>
        <w:spacing w:after="120"/>
      </w:pPr>
    </w:p>
    <w:p>
      <w:pPr>
        <w:bidi w:val="1"/>
        <w:spacing w:after="120"/>
        <w:jc w:val="right"/>
      </w:pPr>
      <w:r>
        <w:t>(18) dos Santos LRA, et al. JMIR Med Educ. 2024;10:e56568. https://doi.org/10.2196/56568 — الاستخدام: تطوير e-portfolio وتطبيقه في تقييم الطلبة.</w:t>
      </w:r>
    </w:p>
    <w:p>
      <w:pPr>
        <w:spacing w:after="120"/>
      </w:pPr>
    </w:p>
    <w:p>
      <w:pPr>
        <w:bidi w:val="1"/>
        <w:spacing w:after="120"/>
        <w:jc w:val="right"/>
      </w:pPr>
      <w:r>
        <w:t>(19) Schmude M, et al. Frontiers in Medicine. 2025;11:1505378. https://doi.org/10.3389/fmed.2024.1505378 — الاستخدام: تقييم طولي لـ ePortfolio (منهج/قيمة تعليمية).</w:t>
      </w:r>
    </w:p>
    <w:p>
      <w:pPr>
        <w:spacing w:after="120"/>
      </w:pPr>
    </w:p>
    <w:p>
      <w:pPr>
        <w:bidi w:val="1"/>
        <w:spacing w:after="120"/>
        <w:jc w:val="right"/>
      </w:pPr>
      <w:r>
        <w:t>(20) Mathur M, et al. Int J Appl Basic Med Res. 2024;14(4):266-272. https://doi.org/10.4103/ijabmr.ijabmr_334_24 — الاستخدام: مثال تطبيقي لـe-portfolio في تقييم طلبة بكالوريوس.</w:t>
      </w:r>
    </w:p>
    <w:p>
      <w:pPr>
        <w:spacing w:after="120"/>
      </w:pPr>
    </w:p>
    <w:p>
      <w:pPr>
        <w:bidi w:val="1"/>
        <w:spacing w:after="120"/>
        <w:jc w:val="right"/>
      </w:pPr>
      <w:r>
        <w:t>(21) Alotaibi N, Brown Wilson C, Traynor M. BMC Health Services Research. 2025;25:500. https://doi.org/10.1186/s12913-025-12663-3 — الاستخدام: readiness/training/infrastructure كعوامل حاسمة.</w:t>
      </w:r>
    </w:p>
    <w:p>
      <w:pPr>
        <w:spacing w:after="120"/>
      </w:pPr>
    </w:p>
    <w:p>
      <w:pPr>
        <w:bidi w:val="1"/>
        <w:spacing w:after="120"/>
        <w:jc w:val="right"/>
      </w:pPr>
      <w:r>
        <w:t>(22) Abbas U, et al. BMC Medical Education. 2024;24:162. https://doi.org/10.1186/s12909-024-05158-y — الاستخدام: خبرات طلاب ما قبل سريري في بيئات موارد أقل.</w:t>
      </w:r>
    </w:p>
    <w:p>
      <w:pPr>
        <w:spacing w:after="120"/>
      </w:pPr>
    </w:p>
    <w:p>
      <w:pPr>
        <w:bidi w:val="1"/>
        <w:spacing w:after="120"/>
        <w:jc w:val="right"/>
      </w:pPr>
      <w:r>
        <w:t>(23) Busch F, et al. BMC Medical Education. 2024;24:1066. https://doi.org/10.1186/s12909-024-06035-4 — الاستخدام: مثال على مسوح طلابية عالمية ومقارنات بين فئات/سنوات.</w:t>
      </w:r>
    </w:p>
    <w:p>
      <w:pPr>
        <w:spacing w:after="120"/>
      </w:pPr>
    </w:p>
    <w:p>
      <w:pPr>
        <w:bidi w:val="1"/>
        <w:spacing w:after="120"/>
        <w:jc w:val="right"/>
      </w:pPr>
      <w:r>
        <w:t>(24) McGee RG, et al. BMC Medical Education. 2024;24:1477. https://doi.org/10.1186/s12909-024-06471-2 — الاستخدام: دليل على أثر التعلم الرقمي للمهارات السريرية.</w:t>
      </w:r>
    </w:p>
    <w:p>
      <w:pPr>
        <w:spacing w:after="120"/>
      </w:pPr>
    </w:p>
    <w:p>
      <w:pPr>
        <w:bidi w:val="1"/>
        <w:spacing w:after="120"/>
        <w:jc w:val="right"/>
      </w:pPr>
      <w:r>
        <w:t>(25) Rathleff CR, et al. BMC Medical Education. 2025;25:1401. https://doi.org/10.1186/s12909-025-07823-2 — الاستخدام: تقييم تعلم رقمي (مفيد كخلفية للتقبل).</w:t>
      </w:r>
    </w:p>
    <w:p>
      <w:pPr>
        <w:spacing w:after="120"/>
      </w:pPr>
    </w:p>
    <w:p>
      <w:pPr>
        <w:bidi w:val="1"/>
        <w:spacing w:after="120"/>
        <w:jc w:val="right"/>
      </w:pPr>
      <w:r>
        <w:t>(26) Bagheri S, et al. BMC Medical Education. 2025;25:972. https://doi.org/10.1186/s12909-025-07560-6 — الاستخدام: مقارنة أدوات تقييم مع logbook (قيمة التقييم).</w:t>
      </w:r>
    </w:p>
    <w:p>
      <w:pPr>
        <w:spacing w:after="120"/>
      </w:pPr>
    </w:p>
    <w:p>
      <w:pPr>
        <w:bidi w:val="1"/>
        <w:spacing w:after="120"/>
        <w:jc w:val="right"/>
      </w:pPr>
      <w:r>
        <w:t>(27) Abedi A, et al. BMC Medical Education. 2025;25:453. https://doi.org/10.1186/s12909-025-07024-x — الاستخدام: تصميم نظام ويب تعليمي وتقييمه (منهج تصميم).</w:t>
      </w:r>
    </w:p>
    <w:p>
      <w:pPr>
        <w:spacing w:after="120"/>
      </w:pPr>
    </w:p>
    <w:p>
      <w:pPr>
        <w:bidi w:val="1"/>
        <w:spacing w:after="120"/>
        <w:jc w:val="right"/>
      </w:pPr>
      <w:r>
        <w:t>(28) Wei FC, et al. BMC Medical Education. 2025;25:1132. https://doi.org/10.1186/s12909-025-07497-w — الاستخدام: e-portfolio وتأثيره على self-efficacy (يدعم DSE).</w:t>
      </w:r>
    </w:p>
    <w:p>
      <w:pPr>
        <w:spacing w:after="120"/>
      </w:pPr>
    </w:p>
    <w:p>
      <w:pPr>
        <w:bidi w:val="1"/>
        <w:spacing w:after="120"/>
        <w:jc w:val="right"/>
      </w:pPr>
      <w:r>
        <w:t>(29) Omer AA, et al. BMC Medical Education. 2025;25:1204. https://doi.org/10.1186/s12909-025-07583-z — الاستخدام: تصورات الطلاب للـportfolio في مناهج قائمة على المخرجات.</w:t>
      </w:r>
    </w:p>
    <w:p>
      <w:pPr>
        <w:spacing w:after="120"/>
      </w:pPr>
    </w:p>
    <w:p>
      <w:pPr>
        <w:bidi w:val="1"/>
        <w:spacing w:after="120"/>
        <w:jc w:val="right"/>
      </w:pPr>
      <w:r>
        <w:t>(30) Jaleel A, et al. BMC Medical Education. 2024;24:895. https://doi.org/10.1186/s12909-024-05865-6 — الاستخدام: خبرة التعليم الهجين/الرقمي (قابلية التبني).</w:t>
      </w:r>
    </w:p>
    <w:p>
      <w:pPr>
        <w:spacing w:after="120"/>
      </w:pPr>
    </w:p>
    <w:p>
      <w:pPr>
        <w:bidi w:val="1"/>
        <w:spacing w:after="120"/>
        <w:jc w:val="right"/>
      </w:pPr>
      <w:r>
        <w:t>(31) Mandic RN, et al. BMC Medical Education. 2024;24:1359. https://doi.org/10.1186/s12909-024-06374-2 — الاستخدام: عوامل تفضيلات التعلم المستمر (تدعيم دور الدافعية).</w:t>
      </w:r>
    </w:p>
    <w:p>
      <w:pPr>
        <w:spacing w:after="120"/>
      </w:pPr>
    </w:p>
    <w:p>
      <w:pPr>
        <w:bidi w:val="1"/>
        <w:spacing w:after="120"/>
        <w:jc w:val="right"/>
      </w:pPr>
      <w:r>
        <w:t>(32) Albertson F, et al. BMC Medical Education. 2025;25:23. https://doi.org/10.1186/s12909-024-06362-6 — الاستخدام: منهجية تقييم خبرات المتعلمين.</w:t>
      </w:r>
    </w:p>
    <w:p>
      <w:pPr>
        <w:spacing w:after="120"/>
      </w:pPr>
    </w:p>
    <w:p>
      <w:pPr>
        <w:bidi w:val="1"/>
        <w:spacing w:after="120"/>
        <w:jc w:val="right"/>
      </w:pPr>
      <w:r>
        <w:t>(33) Junaid SM, et al. BMC Medical Education. 2025;25:73. https://doi.org/10.1186/s12909-025-06696-9 — الاستخدام: دور الهاتف الذكي كأداة تعليمية (يدعم منطق dual-platform).</w:t>
      </w:r>
    </w:p>
    <w:p>
      <w:pPr>
        <w:spacing w:after="120"/>
      </w:pPr>
    </w:p>
    <w:p>
      <w:pPr>
        <w:bidi w:val="1"/>
        <w:spacing w:after="120"/>
        <w:jc w:val="right"/>
      </w:pPr>
      <w:r>
        <w:t>(34) Gökyar M, et al. BMC Medical Education. 2025;25:1494. https://doi.org/10.1186/s12909-025-08089-4 — الاستخدام: أمثلة مسوح طلاب أسنان وتقسيمات سنوات.</w:t>
      </w:r>
    </w:p>
    <w:p>
      <w:pPr>
        <w:spacing w:after="120"/>
      </w:pPr>
    </w:p>
    <w:p>
      <w:pPr>
        <w:bidi w:val="1"/>
        <w:spacing w:after="120"/>
        <w:jc w:val="right"/>
      </w:pPr>
      <w:r>
        <w:t>(35) Luo F, et al. BMC Medical Education. 2024;24:1079. https://doi.org/10.1186/s12909-024-06070-1 — الاستخدام: دمج التعلم الرقمي في تعليم الأسنان.</w:t>
      </w:r>
    </w:p>
    <w:p>
      <w:pPr>
        <w:spacing w:after="120"/>
      </w:pPr>
    </w:p>
    <w:p>
      <w:pPr>
        <w:bidi w:val="1"/>
        <w:spacing w:after="120"/>
        <w:jc w:val="right"/>
      </w:pPr>
      <w:r>
        <w:t>(36) Lin GSS, et al. BMC Oral Health. 2024;24:762. https://doi.org/10.1186/s12903-024-04532-y — الاستخدام: مثال دراسات مسحية لطلاب أسنان متعدد المؤسسات.</w:t>
      </w:r>
    </w:p>
    <w:p>
      <w:pPr>
        <w:spacing w:after="120"/>
      </w:pPr>
    </w:p>
    <w:p>
      <w:pPr>
        <w:bidi w:val="1"/>
        <w:spacing w:after="120"/>
        <w:jc w:val="right"/>
      </w:pPr>
      <w:r>
        <w:t>(37) Heliyon review: UTAUT2 in university contexts. 2024. https://doi.org/10.1016/j.heliyon.2024.e38315 — الاستخدام: دعم استخدام UTAUT2 في الجامعات.</w:t>
      </w:r>
    </w:p>
    <w:p>
      <w:pPr>
        <w:spacing w:after="120"/>
      </w:pPr>
    </w:p>
    <w:p>
      <w:pPr>
        <w:bidi w:val="1"/>
        <w:spacing w:after="120"/>
        <w:jc w:val="right"/>
      </w:pPr>
      <w:r>
        <w:t>(38) Int J HCI systematic review UTAUT/UTAUT2 in AI education. 2025. https://doi.org/10.1080/10447318.2025.2552867 — الاستخدام: إطار منهجي لدراسات قبول التقنية في التعليم العالي.</w:t>
      </w:r>
    </w:p>
    <w:p>
      <w:pPr>
        <w:spacing w:after="120"/>
      </w:pPr>
    </w:p>
    <w:p>
      <w:pPr>
        <w:bidi w:val="1"/>
        <w:spacing w:after="120"/>
        <w:jc w:val="right"/>
      </w:pPr>
      <w:r>
        <w:t>(39) Steenkamp I, et al. BMC Health Services Research. 2025;25:240. https://doi.org/10.1186/s12913-024-12129-y — الاستخدام: readiness عبر قياس جاهزية بيئات تنفيذ رقمية.</w:t>
      </w:r>
    </w:p>
    <w:p>
      <w:pPr>
        <w:spacing w:after="120"/>
      </w:pPr>
    </w:p>
    <w:p>
      <w:pPr>
        <w:bidi w:val="1"/>
        <w:spacing w:after="120"/>
        <w:jc w:val="right"/>
      </w:pPr>
      <w:r>
        <w:t>(40) Swed S, et al. PubMed record. https://pubmed.ncbi.nlm.nih.gov/37936959/ — الاستخدام: رابط فهرسة ودعم قابلية الوصول للمرجع السوري.</w:t>
      </w:r>
    </w:p>
    <w:p>
      <w:pPr>
        <w:spacing w:after="120"/>
      </w:pPr>
    </w:p>
    <w:p>
      <w:pPr>
        <w:bidi w:val="1"/>
        <w:spacing w:after="120"/>
        <w:jc w:val="right"/>
      </w:pPr>
      <w:r>
        <w:t>(41) Paydar S, et al. ResearchGate PDF. https://www.researchgate.net/publication/376755007 — الاستخدام: وصول للنص الكامل للمراجعة المنهجية.</w:t>
      </w:r>
    </w:p>
    <w:p>
      <w:pPr>
        <w:spacing w:after="120"/>
      </w:pPr>
    </w:p>
    <w:p>
      <w:pPr>
        <w:bidi w:val="1"/>
        <w:spacing w:after="120"/>
        <w:jc w:val="right"/>
      </w:pPr>
      <w:r>
        <w:t>(42) BMC Medical Education journal scope/metrics. https://bmcmededuc.biomedcentral.com/ — الاستخدام: تبرير اختيار المجلة واستهدافها.</w:t>
      </w:r>
    </w:p>
    <w:p>
      <w:pPr>
        <w:spacing w:after="120"/>
      </w:pPr>
    </w:p>
    <w:p>
      <w:pPr>
        <w:bidi w:val="1"/>
        <w:spacing w:after="120"/>
        <w:jc w:val="right"/>
      </w:pPr>
      <w:r>
        <w:t>(43) BMC Health Services Research article (readiness review). https://bmchealthservres.biomedcentral.com/articles/10.1186/s12913-025-12663-3 — الاستخدام: مصدر readiness للتدخلات.</w:t>
      </w:r>
    </w:p>
    <w:p>
      <w:pPr>
        <w:spacing w:after="120"/>
      </w:pPr>
    </w:p>
    <w:p>
      <w:pPr>
        <w:bidi w:val="1"/>
        <w:spacing w:after="120"/>
        <w:jc w:val="right"/>
      </w:pPr>
      <w:r>
        <w:t>(44) BMC Medical Education (e-learning LMIC). https://bmcmededuc.biomedcentral.com/articles/10.1186/s12909-024-05158-y — الاستخدام: دعم سياق موارد أقل.</w:t>
      </w:r>
    </w:p>
    <w:p>
      <w:pPr>
        <w:spacing w:after="120"/>
      </w:pPr>
    </w:p>
    <w:p>
      <w:pPr>
        <w:bidi w:val="1"/>
        <w:spacing w:after="120"/>
        <w:jc w:val="right"/>
      </w:pPr>
      <w:r>
        <w:t>(45) BMC Medical Education (virtual simulation in dental education). https://bmcmededuc.biomedcentral.com/articles/10.1186/s12909-024-05171-1 — الاستخدام: تعليم أسنان رقمي.</w:t>
      </w:r>
    </w:p>
    <w:p>
      <w:pPr>
        <w:spacing w:after="120"/>
      </w:pPr>
    </w:p>
    <w:p>
      <w:pPr>
        <w:bidi w:val="1"/>
        <w:spacing w:after="120"/>
        <w:jc w:val="right"/>
      </w:pPr>
      <w:r>
        <w:t>(46) BMC Medical Education (dental online learning perceptions). https://bmcmededuc.biomedcentral.com/articles/10.1186/s12909-024-06497-6 — الاستخدام: خبرات طلاب أسنان.</w:t>
      </w:r>
    </w:p>
    <w:p>
      <w:pPr>
        <w:spacing w:after="120"/>
      </w:pPr>
    </w:p>
    <w:p>
      <w:pPr>
        <w:bidi w:val="1"/>
        <w:spacing w:after="120"/>
        <w:jc w:val="right"/>
      </w:pPr>
      <w:r>
        <w:t>(47) BMC Medical Education (digital problem-based learning). https://link.springer.com/article/10.1186/s12909-025-07823-2 — الاستخدام: قبول وتعليم رقمي.</w:t>
      </w:r>
    </w:p>
    <w:p>
      <w:pPr>
        <w:spacing w:after="120"/>
      </w:pPr>
    </w:p>
    <w:p>
      <w:pPr>
        <w:bidi w:val="1"/>
        <w:spacing w:after="120"/>
        <w:jc w:val="right"/>
      </w:pPr>
      <w:r>
        <w:t>(48) BMC Medical Education (mini-CEX vs logbook). https://link.springer.com/article/10.1186/s12909-025-07560-6 — الاستخدام: قيمة logbook كأداة تقييم.</w:t>
      </w:r>
    </w:p>
    <w:p>
      <w:pPr>
        <w:spacing w:after="120"/>
      </w:pPr>
    </w:p>
    <w:p>
      <w:pPr>
        <w:bidi w:val="1"/>
        <w:spacing w:after="120"/>
        <w:jc w:val="right"/>
      </w:pPr>
      <w:r>
        <w:t>(49) JMIR Med Educ metrics/citation page for e-portfolio. https://mededu.jmir.org/2024/1/e56568/citations — الاستخدام: توثيق DOI/PMID/PMCID للمرجع.</w:t>
      </w:r>
    </w:p>
    <w:p>
      <w:pPr>
        <w:spacing w:after="120"/>
      </w:pPr>
    </w:p>
    <w:p>
      <w:pPr>
        <w:bidi w:val="1"/>
        <w:spacing w:after="120"/>
        <w:jc w:val="right"/>
      </w:pPr>
      <w:r>
        <w:t>(50) BMC Oral Health multi-institutional dental student survey. https://bmcoralhealth.biomedcentral.com/articles/10.1186/s12903-024-04532-y — الاستخدام: مثال منهجي لمسح طلاب أسنان متعدد المؤسسات.</w:t>
      </w:r>
    </w:p>
    <w:p>
      <w:pPr>
        <w:spacing w:after="120"/>
      </w:pPr>
    </w:p>
    <w:p>
      <w:pPr>
        <w:spacing w:after="120"/>
      </w:pPr>
    </w:p>
    <w:p>
      <w:pPr>
        <w:bidi w:val="1"/>
        <w:spacing w:after="120"/>
        <w:jc w:val="right"/>
      </w:pPr>
      <w:r>
        <w:t>نهاية الملف.</w:t>
      </w:r>
    </w:p>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