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STATEWIDE_ANALYSIS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0" w:name="X97887063c10c244aff9b2fe5dbc81fc2865ecc2"/>
    <w:p>
      <w:pPr>
        <w:pStyle w:val="Heading1"/>
      </w:pPr>
      <w:r>
        <w:t xml:space="preserve">Greater South Carolina Neonatal Health: A 46-County Framework</w:t>
      </w:r>
    </w:p>
    <w:p>
      <w:pPr>
        <w:pStyle w:val="FirstParagraph"/>
      </w:pPr>
      <w:r>
        <w:t xml:space="preserve">Charleston County does not exist in isolation. This document places Charleston’s neonatal outcomes in the context of</w:t>
      </w:r>
      <w:r>
        <w:t xml:space="preserve"> </w:t>
      </w:r>
      <w:r>
        <w:rPr>
          <w:bCs/>
          <w:b/>
        </w:rPr>
        <w:t xml:space="preserve">all 46 South Carolina counties</w:t>
      </w:r>
      <w:r>
        <w:t xml:space="preserve">, using SC DPH Vital Metrics Summary 2023 data (transcribed county-by-county, not modeled or estimated) merged with County Health Rankings 2025 social determinants. It is the</w:t>
      </w:r>
      <w:r>
        <w:t xml:space="preserve"> </w:t>
      </w:r>
      <w:r>
        <w:t xml:space="preserve">“</w:t>
      </w:r>
      <w:r>
        <w:t xml:space="preserve">greater South Carolina</w:t>
      </w:r>
      <w:r>
        <w:t xml:space="preserve">”</w:t>
      </w:r>
      <w:r>
        <w:t xml:space="preserve"> </w:t>
      </w:r>
      <w:r>
        <w:t xml:space="preserve">companion to</w:t>
      </w:r>
      <w:r>
        <w:t xml:space="preserve"> </w:t>
      </w:r>
      <w:r>
        <w:rPr>
          <w:rStyle w:val="VerbatimChar"/>
        </w:rPr>
        <w:t xml:space="preserve">RESEARCH_FOUNDATION.md</w:t>
      </w:r>
      <w:r>
        <w:t xml:space="preserve">.</w:t>
      </w:r>
    </w:p>
    <w:p>
      <w:pPr>
        <w:pStyle w:val="BodyText"/>
      </w:pPr>
      <w:r>
        <w:rPr>
          <w:bCs/>
          <w:b/>
        </w:rPr>
        <w:t xml:space="preserve">Primary sources:</w:t>
      </w:r>
      <w:r>
        <w:t xml:space="preserve"> </w:t>
      </w:r>
      <w:r>
        <w:t xml:space="preserve">SC DPH Vital Metrics Summary 2023 (Tables F-3, F-4, C-27); March of Dimes PeriStats and Maternity Care Deserts reports; SC Maternal Morbidity and Mortality Review Committee (SCMMMRC) 2025/2026 Legislative Briefs; SC Birth Outcomes Initiative (SCBOI) annual reports; County Health Rankings &amp; Roadmaps 2025; USC Institute for Families in Society MCH Data Snapshot.</w:t>
      </w:r>
    </w:p>
    <w:p>
      <w:r>
        <w:pict>
          <v:rect style="width:0;height:1.5pt" o:hralign="center" o:hrstd="t" o:hr="t"/>
        </w:pict>
      </w:r>
    </w:p>
    <w:bookmarkStart w:id="20" w:name="X4fbfc90f015fe6ee941df46ece13cb00ac2e6b4"/>
    <w:p>
      <w:pPr>
        <w:pStyle w:val="Heading2"/>
      </w:pPr>
      <w:r>
        <w:t xml:space="preserve">1. Charleston in context: it is not the worst, and that is exactly the point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County</w:t>
            </w:r>
          </w:p>
        </w:tc>
        <w:tc>
          <w:tcPr/>
          <w:p>
            <w:pPr>
              <w:pStyle w:val="Compact"/>
              <w:jc w:val="left"/>
            </w:pPr>
            <w:r>
              <w:t xml:space="preserve">Preterm birth (2024)</w:t>
            </w:r>
          </w:p>
        </w:tc>
        <w:tc>
          <w:tcPr/>
          <w:p>
            <w:pPr>
              <w:pStyle w:val="Compact"/>
              <w:jc w:val="left"/>
            </w:pPr>
            <w:r>
              <w:t xml:space="preserve">Grade</w:t>
            </w:r>
          </w:p>
        </w:tc>
        <w:tc>
          <w:tcPr/>
          <w:p>
            <w:pPr>
              <w:pStyle w:val="Compact"/>
              <w:jc w:val="left"/>
            </w:pPr>
            <w:r>
              <w:t xml:space="preserve">Source</w:t>
            </w:r>
          </w:p>
        </w:tc>
      </w:tr>
      <w:tr>
        <w:tc>
          <w:tcPr/>
          <w:p>
            <w:pPr>
              <w:pStyle w:val="Compact"/>
              <w:jc w:val="left"/>
            </w:pPr>
            <w:r>
              <w:t xml:space="preserve">Richland</w:t>
            </w:r>
          </w:p>
        </w:tc>
        <w:tc>
          <w:tcPr/>
          <w:p>
            <w:pPr>
              <w:pStyle w:val="Compact"/>
              <w:jc w:val="left"/>
            </w:pPr>
            <w:r>
              <w:t xml:space="preserve">13.4%</w:t>
            </w:r>
          </w:p>
        </w:tc>
        <w:tc>
          <w:tcPr/>
          <w:p>
            <w:pPr>
              <w:pStyle w:val="Compact"/>
              <w:jc w:val="left"/>
            </w:pPr>
            <w:r>
              <w:rPr>
                <w:bCs/>
                <w:b/>
              </w:rPr>
              <w:t xml:space="preserve">F</w:t>
            </w:r>
          </w:p>
        </w:tc>
        <w:tc>
          <w:tcPr/>
          <w:p>
            <w:pPr>
              <w:pStyle w:val="Compact"/>
              <w:jc w:val="left"/>
            </w:pPr>
            <w:r>
              <w:t xml:space="preserve">March of Dimes Report Card 2025</w:t>
            </w:r>
          </w:p>
        </w:tc>
      </w:tr>
      <w:tr>
        <w:tc>
          <w:tcPr/>
          <w:p>
            <w:pPr>
              <w:pStyle w:val="Compact"/>
              <w:jc w:val="left"/>
            </w:pPr>
            <w:r>
              <w:t xml:space="preserve">Berkeley</w:t>
            </w:r>
          </w:p>
        </w:tc>
        <w:tc>
          <w:tcPr/>
          <w:p>
            <w:pPr>
              <w:pStyle w:val="Compact"/>
              <w:jc w:val="left"/>
            </w:pPr>
            <w:r>
              <w:t xml:space="preserve">12.4%</w:t>
            </w:r>
          </w:p>
        </w:tc>
        <w:tc>
          <w:tcPr/>
          <w:p>
            <w:pPr>
              <w:pStyle w:val="Compact"/>
              <w:jc w:val="left"/>
            </w:pPr>
            <w:r>
              <w:rPr>
                <w:bCs/>
                <w:b/>
              </w:rPr>
              <w:t xml:space="preserve">F</w:t>
            </w:r>
          </w:p>
        </w:tc>
        <w:tc>
          <w:tcPr/>
          <w:p>
            <w:pPr>
              <w:pStyle w:val="Compact"/>
              <w:jc w:val="left"/>
            </w:pPr>
            <w:r>
              <w:t xml:space="preserve">Same</w:t>
            </w:r>
          </w:p>
        </w:tc>
      </w:tr>
      <w:tr>
        <w:tc>
          <w:tcPr/>
          <w:p>
            <w:pPr>
              <w:pStyle w:val="Compact"/>
              <w:jc w:val="left"/>
            </w:pPr>
            <w:r>
              <w:t xml:space="preserve">Greenville</w:t>
            </w:r>
          </w:p>
        </w:tc>
        <w:tc>
          <w:tcPr/>
          <w:p>
            <w:pPr>
              <w:pStyle w:val="Compact"/>
              <w:jc w:val="left"/>
            </w:pPr>
            <w:r>
              <w:t xml:space="preserve">11.1%</w:t>
            </w:r>
          </w:p>
        </w:tc>
        <w:tc>
          <w:tcPr/>
          <w:p>
            <w:pPr>
              <w:pStyle w:val="Compact"/>
              <w:jc w:val="left"/>
            </w:pPr>
            <w:r>
              <w:t xml:space="preserve">D</w:t>
            </w:r>
          </w:p>
        </w:tc>
        <w:tc>
          <w:tcPr/>
          <w:p>
            <w:pPr>
              <w:pStyle w:val="Compact"/>
              <w:jc w:val="left"/>
            </w:pPr>
            <w:r>
              <w:t xml:space="preserve">Same</w:t>
            </w:r>
          </w:p>
        </w:tc>
      </w:tr>
      <w:tr>
        <w:tc>
          <w:tcPr/>
          <w:p>
            <w:pPr>
              <w:pStyle w:val="Compact"/>
              <w:jc w:val="left"/>
            </w:pPr>
            <w:r>
              <w:rPr>
                <w:bCs/>
                <w:b/>
              </w:rPr>
              <w:t xml:space="preserve">Charleston</w:t>
            </w:r>
          </w:p>
        </w:tc>
        <w:tc>
          <w:tcPr/>
          <w:p>
            <w:pPr>
              <w:pStyle w:val="Compact"/>
              <w:jc w:val="left"/>
            </w:pPr>
            <w:r>
              <w:rPr>
                <w:bCs/>
                <w:b/>
              </w:rPr>
              <w:t xml:space="preserve">10.5%</w:t>
            </w:r>
          </w:p>
        </w:tc>
        <w:tc>
          <w:tcPr/>
          <w:p>
            <w:pPr>
              <w:pStyle w:val="Compact"/>
              <w:jc w:val="left"/>
            </w:pPr>
            <w:r>
              <w:rPr>
                <w:bCs/>
                <w:b/>
              </w:rPr>
              <w:t xml:space="preserve">D+</w:t>
            </w:r>
          </w:p>
        </w:tc>
        <w:tc>
          <w:tcPr/>
          <w:p>
            <w:pPr>
              <w:pStyle w:val="Compact"/>
              <w:jc w:val="left"/>
            </w:pPr>
            <w:r>
              <w:t xml:space="preserve">Same</w:t>
            </w:r>
          </w:p>
        </w:tc>
      </w:tr>
      <w:tr>
        <w:tc>
          <w:tcPr/>
          <w:p>
            <w:pPr>
              <w:pStyle w:val="Compact"/>
              <w:jc w:val="left"/>
            </w:pPr>
            <w:r>
              <w:t xml:space="preserve">Horry</w:t>
            </w:r>
          </w:p>
        </w:tc>
        <w:tc>
          <w:tcPr/>
          <w:p>
            <w:pPr>
              <w:pStyle w:val="Compact"/>
              <w:jc w:val="left"/>
            </w:pPr>
            <w:r>
              <w:t xml:space="preserve">10.2%</w:t>
            </w:r>
          </w:p>
        </w:tc>
        <w:tc>
          <w:tcPr/>
          <w:p>
            <w:pPr>
              <w:pStyle w:val="Compact"/>
              <w:jc w:val="left"/>
            </w:pPr>
            <w:r>
              <w:t xml:space="preserve">C-</w:t>
            </w:r>
          </w:p>
        </w:tc>
        <w:tc>
          <w:tcPr/>
          <w:p>
            <w:pPr>
              <w:pStyle w:val="Compact"/>
              <w:jc w:val="left"/>
            </w:pPr>
            <w:r>
              <w:t xml:space="preserve">Same</w:t>
            </w:r>
          </w:p>
        </w:tc>
      </w:tr>
      <w:tr>
        <w:tc>
          <w:tcPr/>
          <w:p>
            <w:pPr>
              <w:pStyle w:val="Compact"/>
              <w:jc w:val="left"/>
            </w:pPr>
            <w:r>
              <w:t xml:space="preserve">Spartanburg</w:t>
            </w:r>
          </w:p>
        </w:tc>
        <w:tc>
          <w:tcPr/>
          <w:p>
            <w:pPr>
              <w:pStyle w:val="Compact"/>
              <w:jc w:val="left"/>
            </w:pPr>
            <w:r>
              <w:t xml:space="preserve">10.0%</w:t>
            </w:r>
          </w:p>
        </w:tc>
        <w:tc>
          <w:tcPr/>
          <w:p>
            <w:pPr>
              <w:pStyle w:val="Compact"/>
              <w:jc w:val="left"/>
            </w:pPr>
            <w:r>
              <w:t xml:space="preserve">C</w:t>
            </w:r>
          </w:p>
        </w:tc>
        <w:tc>
          <w:tcPr/>
          <w:p>
            <w:pPr>
              <w:pStyle w:val="Compact"/>
              <w:jc w:val="left"/>
            </w:pPr>
            <w:r>
              <w:t xml:space="preserve">Same</w:t>
            </w:r>
          </w:p>
        </w:tc>
      </w:tr>
    </w:tbl>
    <w:p>
      <w:pPr>
        <w:pStyle w:val="BodyText"/>
      </w:pPr>
      <w:r>
        <w:rPr>
          <w:bCs/>
          <w:b/>
        </w:rPr>
        <w:t xml:space="preserve">Berkeley County — Charleston’s immediate metro neighbor — has a worse preterm grade (F) than Charleston itself.</w:t>
      </w:r>
      <w:r>
        <w:t xml:space="preserve"> </w:t>
      </w:r>
      <w:r>
        <w:t xml:space="preserve">Any paper that studies</w:t>
      </w:r>
      <w:r>
        <w:t xml:space="preserve"> </w:t>
      </w:r>
      <w:r>
        <w:t xml:space="preserve">“</w:t>
      </w:r>
      <w:r>
        <w:t xml:space="preserve">Charleston</w:t>
      </w:r>
      <w:r>
        <w:t xml:space="preserve">”</w:t>
      </w:r>
      <w:r>
        <w:t xml:space="preserve"> </w:t>
      </w:r>
      <w:r>
        <w:t xml:space="preserve">in isolation, without acknowledging that the surrounding Lowcountry/tri-county region contains a failing-grade county, is telling only part of the story. Charleston’s relatively better standing is likely explained in part by concentration of specialist/Level IV NICU care and its urban core, not by uniformly better regional conditions.</w:t>
      </w:r>
    </w:p>
    <w:p>
      <w:r>
        <w:pict>
          <v:rect style="width:0;height:1.5pt" o:hralign="center" o:hrstd="t" o:hr="t"/>
        </w:pict>
      </w:r>
    </w:p>
    <w:bookmarkEnd w:id="20"/>
    <w:bookmarkStart w:id="24" w:name="X366ed78d5a27435ac9d44ebf62205ef305ee3ec"/>
    <w:p>
      <w:pPr>
        <w:pStyle w:val="Heading2"/>
      </w:pPr>
      <w:r>
        <w:t xml:space="preserve">2. Statewide infant mortality — the real county rankings (2021–2023 average, VMS Table F-3)</w:t>
      </w:r>
    </w:p>
    <w:p>
      <w:pPr>
        <w:pStyle w:val="FirstParagraph"/>
      </w:pPr>
      <w:r>
        <w:t xml:space="preserve">South Carolina statewide 3-year average infant mortality rate:</w:t>
      </w:r>
      <w:r>
        <w:t xml:space="preserve"> </w:t>
      </w:r>
      <w:r>
        <w:rPr>
          <w:bCs/>
          <w:b/>
        </w:rPr>
        <w:t xml:space="preserve">5.0 per 1,000 live births</w:t>
      </w:r>
      <w:r>
        <w:t xml:space="preserve"> </w:t>
      </w:r>
      <w:r>
        <w:t xml:space="preserve">(554 deaths, 2021–2023).</w:t>
      </w:r>
    </w:p>
    <w:bookmarkStart w:id="22" w:name="Xfd4af8d02cd82b4480df5ce7d7090a05ceb7452"/>
    <w:p>
      <w:pPr>
        <w:pStyle w:val="Heading3"/>
      </w:pPr>
      <w:r>
        <w:t xml:space="preserve">Highest infant mortality rate counties (2021–2023 average)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Rank</w:t>
            </w:r>
          </w:p>
        </w:tc>
        <w:tc>
          <w:tcPr/>
          <w:p>
            <w:pPr>
              <w:pStyle w:val="Compact"/>
              <w:jc w:val="left"/>
            </w:pPr>
            <w:r>
              <w:t xml:space="preserve">County</w:t>
            </w:r>
          </w:p>
        </w:tc>
        <w:tc>
          <w:tcPr/>
          <w:p>
            <w:pPr>
              <w:pStyle w:val="Compact"/>
              <w:jc w:val="left"/>
            </w:pPr>
            <w:r>
              <w:t xml:space="preserve">IMR (per 1,000)</w:t>
            </w:r>
          </w:p>
        </w:tc>
        <w:tc>
          <w:tcPr/>
          <w:p>
            <w:pPr>
              <w:pStyle w:val="Compact"/>
              <w:jc w:val="left"/>
            </w:pPr>
            <w:r>
              <w:t xml:space="preserve">Deaths (3-yr)</w:t>
            </w:r>
          </w:p>
        </w:tc>
      </w:tr>
      <w:tr>
        <w:tc>
          <w:tcPr/>
          <w:p>
            <w:pPr>
              <w:pStyle w:val="Compact"/>
              <w:jc w:val="left"/>
            </w:pPr>
            <w:r>
              <w:t xml:space="preserve">1</w:t>
            </w:r>
          </w:p>
        </w:tc>
        <w:tc>
          <w:tcPr/>
          <w:p>
            <w:pPr>
              <w:pStyle w:val="Compact"/>
              <w:jc w:val="left"/>
            </w:pPr>
            <w:r>
              <w:rPr>
                <w:bCs/>
                <w:b/>
              </w:rPr>
              <w:t xml:space="preserve">Marion</w:t>
            </w:r>
          </w:p>
        </w:tc>
        <w:tc>
          <w:tcPr/>
          <w:p>
            <w:pPr>
              <w:pStyle w:val="Compact"/>
              <w:jc w:val="left"/>
            </w:pPr>
            <w:r>
              <w:rPr>
                <w:bCs/>
                <w:b/>
              </w:rPr>
              <w:t xml:space="preserve">15.3</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Saluda</w:t>
            </w:r>
          </w:p>
        </w:tc>
        <w:tc>
          <w:tcPr/>
          <w:p>
            <w:pPr>
              <w:pStyle w:val="Compact"/>
              <w:jc w:val="left"/>
            </w:pPr>
            <w:r>
              <w:t xml:space="preserve">11.8</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Chester</w:t>
            </w:r>
          </w:p>
        </w:tc>
        <w:tc>
          <w:tcPr/>
          <w:p>
            <w:pPr>
              <w:pStyle w:val="Compact"/>
              <w:jc w:val="left"/>
            </w:pPr>
            <w:r>
              <w:t xml:space="preserve">10.7</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Dillon</w:t>
            </w:r>
          </w:p>
        </w:tc>
        <w:tc>
          <w:tcPr/>
          <w:p>
            <w:pPr>
              <w:pStyle w:val="Compact"/>
              <w:jc w:val="left"/>
            </w:pPr>
            <w:r>
              <w:t xml:space="preserve">10.5</w:t>
            </w:r>
          </w:p>
        </w:tc>
        <w:tc>
          <w:tcPr/>
          <w:p>
            <w:pPr>
              <w:pStyle w:val="Compact"/>
              <w:jc w:val="left"/>
            </w:pPr>
            <w:r>
              <w:t xml:space="preserve">5</w:t>
            </w:r>
          </w:p>
        </w:tc>
      </w:tr>
      <w:tr>
        <w:tc>
          <w:tcPr/>
          <w:p>
            <w:pPr>
              <w:pStyle w:val="Compact"/>
              <w:jc w:val="left"/>
            </w:pPr>
            <w:r>
              <w:t xml:space="preserve">5</w:t>
            </w:r>
          </w:p>
        </w:tc>
        <w:tc>
          <w:tcPr/>
          <w:p>
            <w:pPr>
              <w:pStyle w:val="Compact"/>
              <w:jc w:val="left"/>
            </w:pPr>
            <w:r>
              <w:t xml:space="preserve">Oconee</w:t>
            </w:r>
          </w:p>
        </w:tc>
        <w:tc>
          <w:tcPr/>
          <w:p>
            <w:pPr>
              <w:pStyle w:val="Compact"/>
              <w:jc w:val="left"/>
            </w:pPr>
            <w:r>
              <w:t xml:space="preserve">9.2</w:t>
            </w:r>
          </w:p>
        </w:tc>
        <w:tc>
          <w:tcPr/>
          <w:p>
            <w:pPr>
              <w:pStyle w:val="Compact"/>
              <w:jc w:val="left"/>
            </w:pPr>
            <w:r>
              <w:t xml:space="preserve">16</w:t>
            </w:r>
          </w:p>
        </w:tc>
      </w:tr>
      <w:tr>
        <w:tc>
          <w:tcPr/>
          <w:p>
            <w:pPr>
              <w:pStyle w:val="Compact"/>
              <w:jc w:val="left"/>
            </w:pPr>
            <w:r>
              <w:t xml:space="preserve">6</w:t>
            </w:r>
          </w:p>
        </w:tc>
        <w:tc>
          <w:tcPr/>
          <w:p>
            <w:pPr>
              <w:pStyle w:val="Compact"/>
              <w:jc w:val="left"/>
            </w:pPr>
            <w:r>
              <w:t xml:space="preserve">Georgetown</w:t>
            </w:r>
          </w:p>
        </w:tc>
        <w:tc>
          <w:tcPr/>
          <w:p>
            <w:pPr>
              <w:pStyle w:val="Compact"/>
              <w:jc w:val="left"/>
            </w:pPr>
            <w:r>
              <w:t xml:space="preserve">9.0</w:t>
            </w:r>
          </w:p>
        </w:tc>
        <w:tc>
          <w:tcPr/>
          <w:p>
            <w:pPr>
              <w:pStyle w:val="Compact"/>
              <w:jc w:val="left"/>
            </w:pPr>
            <w:r>
              <w:t xml:space="preserve">8</w:t>
            </w:r>
          </w:p>
        </w:tc>
      </w:tr>
      <w:tr>
        <w:tc>
          <w:tcPr/>
          <w:p>
            <w:pPr>
              <w:pStyle w:val="Compact"/>
              <w:jc w:val="left"/>
            </w:pPr>
            <w:r>
              <w:t xml:space="preserve">7</w:t>
            </w:r>
          </w:p>
        </w:tc>
        <w:tc>
          <w:tcPr/>
          <w:p>
            <w:pPr>
              <w:pStyle w:val="Compact"/>
              <w:jc w:val="left"/>
            </w:pPr>
            <w:r>
              <w:t xml:space="preserve">Pickens</w:t>
            </w:r>
          </w:p>
        </w:tc>
        <w:tc>
          <w:tcPr/>
          <w:p>
            <w:pPr>
              <w:pStyle w:val="Compact"/>
              <w:jc w:val="left"/>
            </w:pPr>
            <w:r>
              <w:t xml:space="preserve">7.8</w:t>
            </w:r>
          </w:p>
        </w:tc>
        <w:tc>
          <w:tcPr/>
          <w:p>
            <w:pPr>
              <w:pStyle w:val="Compact"/>
              <w:jc w:val="left"/>
            </w:pPr>
            <w:r>
              <w:t xml:space="preserve">25</w:t>
            </w:r>
          </w:p>
        </w:tc>
      </w:tr>
      <w:tr>
        <w:tc>
          <w:tcPr/>
          <w:p>
            <w:pPr>
              <w:pStyle w:val="Compact"/>
              <w:jc w:val="left"/>
            </w:pPr>
            <w:r>
              <w:t xml:space="preserve">8</w:t>
            </w:r>
          </w:p>
        </w:tc>
        <w:tc>
          <w:tcPr/>
          <w:p>
            <w:pPr>
              <w:pStyle w:val="Compact"/>
              <w:jc w:val="left"/>
            </w:pPr>
            <w:r>
              <w:t xml:space="preserve">Colleton</w:t>
            </w:r>
          </w:p>
        </w:tc>
        <w:tc>
          <w:tcPr/>
          <w:p>
            <w:pPr>
              <w:pStyle w:val="Compact"/>
              <w:jc w:val="left"/>
            </w:pPr>
            <w:r>
              <w:t xml:space="preserve">7.7</w:t>
            </w:r>
          </w:p>
        </w:tc>
        <w:tc>
          <w:tcPr/>
          <w:p>
            <w:pPr>
              <w:pStyle w:val="Compact"/>
              <w:jc w:val="left"/>
            </w:pPr>
            <w:r>
              <w:t xml:space="preserve">6</w:t>
            </w:r>
          </w:p>
        </w:tc>
      </w:tr>
      <w:tr>
        <w:tc>
          <w:tcPr/>
          <w:p>
            <w:pPr>
              <w:pStyle w:val="Compact"/>
              <w:jc w:val="left"/>
            </w:pPr>
            <w:r>
              <w:t xml:space="preserve">9</w:t>
            </w:r>
          </w:p>
        </w:tc>
        <w:tc>
          <w:tcPr/>
          <w:p>
            <w:pPr>
              <w:pStyle w:val="Compact"/>
              <w:jc w:val="left"/>
            </w:pPr>
            <w:r>
              <w:t xml:space="preserve">Laurens</w:t>
            </w:r>
          </w:p>
        </w:tc>
        <w:tc>
          <w:tcPr/>
          <w:p>
            <w:pPr>
              <w:pStyle w:val="Compact"/>
              <w:jc w:val="left"/>
            </w:pPr>
            <w:r>
              <w:t xml:space="preserve">7.2</w:t>
            </w:r>
          </w:p>
        </w:tc>
        <w:tc>
          <w:tcPr/>
          <w:p>
            <w:pPr>
              <w:pStyle w:val="Compact"/>
              <w:jc w:val="left"/>
            </w:pPr>
            <w:r>
              <w:t xml:space="preserve">11</w:t>
            </w:r>
          </w:p>
        </w:tc>
      </w:tr>
      <w:tr>
        <w:tc>
          <w:tcPr/>
          <w:p>
            <w:pPr>
              <w:pStyle w:val="Compact"/>
              <w:jc w:val="left"/>
            </w:pPr>
            <w:r>
              <w:t xml:space="preserve">10</w:t>
            </w:r>
          </w:p>
        </w:tc>
        <w:tc>
          <w:tcPr/>
          <w:p>
            <w:pPr>
              <w:pStyle w:val="Compact"/>
              <w:jc w:val="left"/>
            </w:pPr>
            <w:r>
              <w:t xml:space="preserve">Clarendon</w:t>
            </w:r>
          </w:p>
        </w:tc>
        <w:tc>
          <w:tcPr/>
          <w:p>
            <w:pPr>
              <w:pStyle w:val="Compact"/>
              <w:jc w:val="left"/>
            </w:pPr>
            <w:r>
              <w:t xml:space="preserve">7.0</w:t>
            </w:r>
          </w:p>
        </w:tc>
        <w:tc>
          <w:tcPr/>
          <w:p>
            <w:pPr>
              <w:pStyle w:val="Compact"/>
              <w:jc w:val="left"/>
            </w:pPr>
            <w:r>
              <w:t xml:space="preserve">3</w:t>
            </w:r>
          </w:p>
        </w:tc>
      </w:tr>
    </w:tbl>
    <w:p>
      <w:pPr>
        <w:pStyle w:val="BodyText"/>
      </w:pPr>
      <w:r>
        <w:rPr>
          <w:iCs/>
          <w:i/>
        </w:rPr>
        <w:t xml:space="preserve">Charleston ranks in the lower-middle tier at 5.2 per 1,000 (53 deaths, 2021–2023) — better than the state average but far from the safest counties.</w:t>
      </w:r>
    </w:p>
    <w:p>
      <w:pPr>
        <w:pStyle w:val="BodyText"/>
      </w:pPr>
      <w:r>
        <w:rPr>
          <w:bCs/>
          <w:b/>
        </w:rPr>
        <w:t xml:space="preserve">Source:</w:t>
      </w:r>
      <w:r>
        <w:t xml:space="preserve"> </w:t>
      </w:r>
      <w:r>
        <w:t xml:space="preserve">SC DPH Vital Metrics Summary 2023, Table F-3 —</w:t>
      </w:r>
      <w:r>
        <w:t xml:space="preserve"> </w:t>
      </w:r>
      <w:hyperlink r:id="rId21">
        <w:r>
          <w:rPr>
            <w:rStyle w:val="Hyperlink"/>
          </w:rPr>
          <w:t xml:space="preserve">PDF</w:t>
        </w:r>
      </w:hyperlink>
      <w:r>
        <w:t xml:space="preserve">. Full 46-county table:</w:t>
      </w:r>
      <w:r>
        <w:t xml:space="preserve"> </w:t>
      </w:r>
      <w:r>
        <w:rPr>
          <w:rStyle w:val="VerbatimChar"/>
        </w:rPr>
        <w:t xml:space="preserve">data/sc_county_infant_mortality.csv</w:t>
      </w:r>
      <w:r>
        <w:t xml:space="preserve">.</w:t>
      </w:r>
    </w:p>
    <w:p>
      <w:pPr>
        <w:pStyle w:val="BodyText"/>
      </w:pPr>
      <w:r>
        <w:rPr>
          <w:bCs/>
          <w:b/>
        </w:rPr>
        <w:t xml:space="preserve">Caveat (stated directly in VMS):</w:t>
      </w:r>
      <w:r>
        <w:t xml:space="preserve"> </w:t>
      </w:r>
      <w:r>
        <w:t xml:space="preserve">rates based on 20 or fewer deaths are statistically unreliable; several counties above have small numerators (5–16 deaths over 3 years) and should be interpreted as</w:t>
      </w:r>
      <w:r>
        <w:t xml:space="preserve"> </w:t>
      </w:r>
      <w:r>
        <w:rPr>
          <w:iCs/>
          <w:i/>
        </w:rPr>
        <w:t xml:space="preserve">signals for further investigation</w:t>
      </w:r>
      <w:r>
        <w:t xml:space="preserve">, not precise point estimates.</w:t>
      </w:r>
    </w:p>
    <w:bookmarkEnd w:id="22"/>
    <w:bookmarkStart w:id="23" w:name="X0b85e86e7e9186ee14ef288b5b1ad656becf46d"/>
    <w:p>
      <w:pPr>
        <w:pStyle w:val="Heading3"/>
      </w:pPr>
      <w:r>
        <w:t xml:space="preserve">Highest low-birthweight counties (2023, VMS Table C-27)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Rank</w:t>
            </w:r>
          </w:p>
        </w:tc>
        <w:tc>
          <w:tcPr/>
          <w:p>
            <w:pPr>
              <w:pStyle w:val="Compact"/>
              <w:jc w:val="left"/>
            </w:pPr>
            <w:r>
              <w:t xml:space="preserve">County</w:t>
            </w:r>
          </w:p>
        </w:tc>
        <w:tc>
          <w:tcPr/>
          <w:p>
            <w:pPr>
              <w:pStyle w:val="Compact"/>
              <w:jc w:val="left"/>
            </w:pPr>
            <w:r>
              <w:t xml:space="preserve">LBW %</w:t>
            </w:r>
          </w:p>
        </w:tc>
        <w:tc>
          <w:tcPr/>
          <w:p>
            <w:pPr>
              <w:pStyle w:val="Compact"/>
              <w:jc w:val="left"/>
            </w:pPr>
            <w:r>
              <w:t xml:space="preserve">LBW count</w:t>
            </w:r>
          </w:p>
        </w:tc>
      </w:tr>
      <w:tr>
        <w:tc>
          <w:tcPr/>
          <w:p>
            <w:pPr>
              <w:pStyle w:val="Compact"/>
              <w:jc w:val="left"/>
            </w:pPr>
            <w:r>
              <w:t xml:space="preserve">1</w:t>
            </w:r>
          </w:p>
        </w:tc>
        <w:tc>
          <w:tcPr/>
          <w:p>
            <w:pPr>
              <w:pStyle w:val="Compact"/>
              <w:jc w:val="left"/>
            </w:pPr>
            <w:r>
              <w:rPr>
                <w:bCs/>
                <w:b/>
              </w:rPr>
              <w:t xml:space="preserve">Marion</w:t>
            </w:r>
          </w:p>
        </w:tc>
        <w:tc>
          <w:tcPr/>
          <w:p>
            <w:pPr>
              <w:pStyle w:val="Compact"/>
              <w:jc w:val="left"/>
            </w:pPr>
            <w:r>
              <w:rPr>
                <w:bCs/>
                <w:b/>
              </w:rPr>
              <w:t xml:space="preserve">18.4%</w:t>
            </w:r>
          </w:p>
        </w:tc>
        <w:tc>
          <w:tcPr/>
          <w:p>
            <w:pPr>
              <w:pStyle w:val="Compact"/>
              <w:jc w:val="left"/>
            </w:pPr>
            <w:r>
              <w:t xml:space="preserve">60</w:t>
            </w:r>
          </w:p>
        </w:tc>
      </w:tr>
      <w:tr>
        <w:tc>
          <w:tcPr/>
          <w:p>
            <w:pPr>
              <w:pStyle w:val="Compact"/>
              <w:jc w:val="left"/>
            </w:pPr>
            <w:r>
              <w:t xml:space="preserve">2</w:t>
            </w:r>
          </w:p>
        </w:tc>
        <w:tc>
          <w:tcPr/>
          <w:p>
            <w:pPr>
              <w:pStyle w:val="Compact"/>
              <w:jc w:val="left"/>
            </w:pPr>
            <w:r>
              <w:t xml:space="preserve">Bamberg</w:t>
            </w:r>
          </w:p>
        </w:tc>
        <w:tc>
          <w:tcPr/>
          <w:p>
            <w:pPr>
              <w:pStyle w:val="Compact"/>
              <w:jc w:val="left"/>
            </w:pPr>
            <w:r>
              <w:t xml:space="preserve">17.2%</w:t>
            </w:r>
          </w:p>
        </w:tc>
        <w:tc>
          <w:tcPr/>
          <w:p>
            <w:pPr>
              <w:pStyle w:val="Compact"/>
              <w:jc w:val="left"/>
            </w:pPr>
            <w:r>
              <w:t xml:space="preserve">22</w:t>
            </w:r>
          </w:p>
        </w:tc>
      </w:tr>
      <w:tr>
        <w:tc>
          <w:tcPr/>
          <w:p>
            <w:pPr>
              <w:pStyle w:val="Compact"/>
              <w:jc w:val="left"/>
            </w:pPr>
            <w:r>
              <w:t xml:space="preserve">3</w:t>
            </w:r>
          </w:p>
        </w:tc>
        <w:tc>
          <w:tcPr/>
          <w:p>
            <w:pPr>
              <w:pStyle w:val="Compact"/>
              <w:jc w:val="left"/>
            </w:pPr>
            <w:r>
              <w:t xml:space="preserve">Dillon</w:t>
            </w:r>
          </w:p>
        </w:tc>
        <w:tc>
          <w:tcPr/>
          <w:p>
            <w:pPr>
              <w:pStyle w:val="Compact"/>
              <w:jc w:val="left"/>
            </w:pPr>
            <w:r>
              <w:t xml:space="preserve">16.9%</w:t>
            </w:r>
          </w:p>
        </w:tc>
        <w:tc>
          <w:tcPr/>
          <w:p>
            <w:pPr>
              <w:pStyle w:val="Compact"/>
              <w:jc w:val="left"/>
            </w:pPr>
            <w:r>
              <w:t xml:space="preserve">58</w:t>
            </w:r>
          </w:p>
        </w:tc>
      </w:tr>
      <w:tr>
        <w:tc>
          <w:tcPr/>
          <w:p>
            <w:pPr>
              <w:pStyle w:val="Compact"/>
              <w:jc w:val="left"/>
            </w:pPr>
            <w:r>
              <w:t xml:space="preserve">4</w:t>
            </w:r>
          </w:p>
        </w:tc>
        <w:tc>
          <w:tcPr/>
          <w:p>
            <w:pPr>
              <w:pStyle w:val="Compact"/>
              <w:jc w:val="left"/>
            </w:pPr>
            <w:r>
              <w:t xml:space="preserve">Lee</w:t>
            </w:r>
          </w:p>
        </w:tc>
        <w:tc>
          <w:tcPr/>
          <w:p>
            <w:pPr>
              <w:pStyle w:val="Compact"/>
              <w:jc w:val="left"/>
            </w:pPr>
            <w:r>
              <w:t xml:space="preserve">15.7%</w:t>
            </w:r>
          </w:p>
        </w:tc>
        <w:tc>
          <w:tcPr/>
          <w:p>
            <w:pPr>
              <w:pStyle w:val="Compact"/>
              <w:jc w:val="left"/>
            </w:pPr>
            <w:r>
              <w:t xml:space="preserve">26</w:t>
            </w:r>
          </w:p>
        </w:tc>
      </w:tr>
      <w:tr>
        <w:tc>
          <w:tcPr/>
          <w:p>
            <w:pPr>
              <w:pStyle w:val="Compact"/>
              <w:jc w:val="left"/>
            </w:pPr>
            <w:r>
              <w:t xml:space="preserve">5</w:t>
            </w:r>
          </w:p>
        </w:tc>
        <w:tc>
          <w:tcPr/>
          <w:p>
            <w:pPr>
              <w:pStyle w:val="Compact"/>
              <w:jc w:val="left"/>
            </w:pPr>
            <w:r>
              <w:t xml:space="preserve">Williamsburg</w:t>
            </w:r>
          </w:p>
        </w:tc>
        <w:tc>
          <w:tcPr/>
          <w:p>
            <w:pPr>
              <w:pStyle w:val="Compact"/>
              <w:jc w:val="left"/>
            </w:pPr>
            <w:r>
              <w:t xml:space="preserve">14.9%</w:t>
            </w:r>
          </w:p>
        </w:tc>
        <w:tc>
          <w:tcPr/>
          <w:p>
            <w:pPr>
              <w:pStyle w:val="Compact"/>
              <w:jc w:val="left"/>
            </w:pPr>
            <w:r>
              <w:t xml:space="preserve">38</w:t>
            </w:r>
          </w:p>
        </w:tc>
      </w:tr>
      <w:tr>
        <w:tc>
          <w:tcPr/>
          <w:p>
            <w:pPr>
              <w:pStyle w:val="Compact"/>
              <w:jc w:val="left"/>
            </w:pPr>
            <w:r>
              <w:t xml:space="preserve">6</w:t>
            </w:r>
          </w:p>
        </w:tc>
        <w:tc>
          <w:tcPr/>
          <w:p>
            <w:pPr>
              <w:pStyle w:val="Compact"/>
              <w:jc w:val="left"/>
            </w:pPr>
            <w:r>
              <w:t xml:space="preserve">Florence</w:t>
            </w:r>
          </w:p>
        </w:tc>
        <w:tc>
          <w:tcPr/>
          <w:p>
            <w:pPr>
              <w:pStyle w:val="Compact"/>
              <w:jc w:val="left"/>
            </w:pPr>
            <w:r>
              <w:t xml:space="preserve">14.5%</w:t>
            </w:r>
          </w:p>
        </w:tc>
        <w:tc>
          <w:tcPr/>
          <w:p>
            <w:pPr>
              <w:pStyle w:val="Compact"/>
              <w:jc w:val="left"/>
            </w:pPr>
            <w:r>
              <w:t xml:space="preserve">226</w:t>
            </w:r>
          </w:p>
        </w:tc>
      </w:tr>
      <w:tr>
        <w:tc>
          <w:tcPr/>
          <w:p>
            <w:pPr>
              <w:pStyle w:val="Compact"/>
              <w:jc w:val="left"/>
            </w:pPr>
            <w:r>
              <w:t xml:space="preserve">7</w:t>
            </w:r>
          </w:p>
        </w:tc>
        <w:tc>
          <w:tcPr/>
          <w:p>
            <w:pPr>
              <w:pStyle w:val="Compact"/>
              <w:jc w:val="left"/>
            </w:pPr>
            <w:r>
              <w:t xml:space="preserve">Edgefield</w:t>
            </w:r>
          </w:p>
        </w:tc>
        <w:tc>
          <w:tcPr/>
          <w:p>
            <w:pPr>
              <w:pStyle w:val="Compact"/>
              <w:jc w:val="left"/>
            </w:pPr>
            <w:r>
              <w:t xml:space="preserve">14.3%</w:t>
            </w:r>
          </w:p>
        </w:tc>
        <w:tc>
          <w:tcPr/>
          <w:p>
            <w:pPr>
              <w:pStyle w:val="Compact"/>
              <w:jc w:val="left"/>
            </w:pPr>
            <w:r>
              <w:t xml:space="preserve">31</w:t>
            </w:r>
          </w:p>
        </w:tc>
      </w:tr>
      <w:tr>
        <w:tc>
          <w:tcPr/>
          <w:p>
            <w:pPr>
              <w:pStyle w:val="Compact"/>
              <w:jc w:val="left"/>
            </w:pPr>
            <w:r>
              <w:t xml:space="preserve">8</w:t>
            </w:r>
          </w:p>
        </w:tc>
        <w:tc>
          <w:tcPr/>
          <w:p>
            <w:pPr>
              <w:pStyle w:val="Compact"/>
              <w:jc w:val="left"/>
            </w:pPr>
            <w:r>
              <w:t xml:space="preserve">McCormick</w:t>
            </w:r>
          </w:p>
        </w:tc>
        <w:tc>
          <w:tcPr/>
          <w:p>
            <w:pPr>
              <w:pStyle w:val="Compact"/>
              <w:jc w:val="left"/>
            </w:pPr>
            <w:r>
              <w:t xml:space="preserve">14.0%</w:t>
            </w:r>
          </w:p>
        </w:tc>
        <w:tc>
          <w:tcPr/>
          <w:p>
            <w:pPr>
              <w:pStyle w:val="Compact"/>
              <w:jc w:val="left"/>
            </w:pPr>
            <w:r>
              <w:t xml:space="preserve">8</w:t>
            </w:r>
          </w:p>
        </w:tc>
      </w:tr>
      <w:tr>
        <w:tc>
          <w:tcPr/>
          <w:p>
            <w:pPr>
              <w:pStyle w:val="Compact"/>
              <w:jc w:val="left"/>
            </w:pPr>
            <w:r>
              <w:t xml:space="preserve">9</w:t>
            </w:r>
          </w:p>
        </w:tc>
        <w:tc>
          <w:tcPr/>
          <w:p>
            <w:pPr>
              <w:pStyle w:val="Compact"/>
              <w:jc w:val="left"/>
            </w:pPr>
            <w:r>
              <w:t xml:space="preserve">Colleton</w:t>
            </w:r>
          </w:p>
        </w:tc>
        <w:tc>
          <w:tcPr/>
          <w:p>
            <w:pPr>
              <w:pStyle w:val="Compact"/>
              <w:jc w:val="left"/>
            </w:pPr>
            <w:r>
              <w:t xml:space="preserve">13.9%</w:t>
            </w:r>
          </w:p>
        </w:tc>
        <w:tc>
          <w:tcPr/>
          <w:p>
            <w:pPr>
              <w:pStyle w:val="Compact"/>
              <w:jc w:val="left"/>
            </w:pPr>
            <w:r>
              <w:t xml:space="preserve">61</w:t>
            </w:r>
          </w:p>
        </w:tc>
      </w:tr>
      <w:tr>
        <w:tc>
          <w:tcPr/>
          <w:p>
            <w:pPr>
              <w:pStyle w:val="Compact"/>
              <w:jc w:val="left"/>
            </w:pPr>
            <w:r>
              <w:t xml:space="preserve">10</w:t>
            </w:r>
          </w:p>
        </w:tc>
        <w:tc>
          <w:tcPr/>
          <w:p>
            <w:pPr>
              <w:pStyle w:val="Compact"/>
              <w:jc w:val="left"/>
            </w:pPr>
            <w:r>
              <w:t xml:space="preserve">Orangeburg</w:t>
            </w:r>
          </w:p>
        </w:tc>
        <w:tc>
          <w:tcPr/>
          <w:p>
            <w:pPr>
              <w:pStyle w:val="Compact"/>
              <w:jc w:val="left"/>
            </w:pPr>
            <w:r>
              <w:t xml:space="preserve">13.2%</w:t>
            </w:r>
          </w:p>
        </w:tc>
        <w:tc>
          <w:tcPr/>
          <w:p>
            <w:pPr>
              <w:pStyle w:val="Compact"/>
              <w:jc w:val="left"/>
            </w:pPr>
            <w:r>
              <w:t xml:space="preserve">105</w:t>
            </w:r>
          </w:p>
        </w:tc>
      </w:tr>
    </w:tbl>
    <w:p>
      <w:pPr>
        <w:pStyle w:val="BodyText"/>
      </w:pPr>
      <w:r>
        <w:rPr>
          <w:bCs/>
          <w:b/>
        </w:rPr>
        <w:t xml:space="preserve">Marion County appears at #1 on both lists</w:t>
      </w:r>
      <w:r>
        <w:t xml:space="preserve"> </w:t>
      </w:r>
      <w:r>
        <w:t xml:space="preserve">— the single worst county in South Carolina for both infant mortality and low birthweight. Marion is a rural Pee Dee county that has also historically reported some of the state’s highest social vulnerability (SCBOI 2022 report flags Marion’s neighboring Pee Dee counties — Marlboro, Dillon — as</w:t>
      </w:r>
      <w:r>
        <w:t xml:space="preserve"> </w:t>
      </w:r>
      <w:r>
        <w:t xml:space="preserve">“</w:t>
      </w:r>
      <w:r>
        <w:t xml:space="preserve">high in all [SVI] categories</w:t>
      </w:r>
      <w:r>
        <w:t xml:space="preserve">”</w:t>
      </w:r>
      <w:r>
        <w:t xml:space="preserve">). This is the clearest, single most policy-actionable finding in this entire package:</w:t>
      </w:r>
      <w:r>
        <w:t xml:space="preserve"> </w:t>
      </w:r>
      <w:r>
        <w:rPr>
          <w:bCs/>
          <w:b/>
        </w:rPr>
        <w:t xml:space="preserve">Marion County, SC, deserves its own targeted maternal-child health intervention.</w:t>
      </w:r>
    </w:p>
    <w:p>
      <w:pPr>
        <w:pStyle w:val="BodyText"/>
      </w:pPr>
      <w:r>
        <w:rPr>
          <w:iCs/>
          <w:i/>
        </w:rPr>
        <w:t xml:space="preserve">Charleston’s LBW rate (9.1%) ranks in the healthier half of the state — 37th of 46 counties by this measure.</w:t>
      </w:r>
    </w:p>
    <w:p>
      <w:pPr>
        <w:pStyle w:val="BodyText"/>
      </w:pPr>
      <w:r>
        <w:rPr>
          <w:bCs/>
          <w:b/>
        </w:rPr>
        <w:t xml:space="preserve">Source:</w:t>
      </w:r>
      <w:r>
        <w:t xml:space="preserve"> </w:t>
      </w:r>
      <w:r>
        <w:rPr>
          <w:rStyle w:val="VerbatimChar"/>
        </w:rPr>
        <w:t xml:space="preserve">data/sc_county_low_birthweight.csv</w:t>
      </w:r>
      <w:r>
        <w:t xml:space="preserve">,</w:t>
      </w:r>
      <w:r>
        <w:t xml:space="preserve"> </w:t>
      </w:r>
      <w:r>
        <w:rPr>
          <w:rStyle w:val="VerbatimChar"/>
        </w:rPr>
        <w:t xml:space="preserve">data/sc_county_infant_mortality.csv</w:t>
      </w:r>
      <w:r>
        <w:t xml:space="preserve">.</w:t>
      </w:r>
    </w:p>
    <w:p>
      <w:r>
        <w:pict>
          <v:rect style="width:0;height:1.5pt" o:hralign="center" o:hrstd="t" o:hr="t"/>
        </w:pict>
      </w:r>
    </w:p>
    <w:bookmarkEnd w:id="23"/>
    <w:bookmarkEnd w:id="24"/>
    <w:bookmarkStart w:id="28" w:name="X1b331f5070b688b42f1061e272d6be2830d64ab"/>
    <w:p>
      <w:pPr>
        <w:pStyle w:val="Heading2"/>
      </w:pPr>
      <w:r>
        <w:t xml:space="preserve">3. Statistical analysis: what actually predicts county-level outcomes?</w:t>
      </w:r>
    </w:p>
    <w:p>
      <w:pPr>
        <w:pStyle w:val="FirstParagraph"/>
      </w:pPr>
      <w:r>
        <w:t xml:space="preserve">Using</w:t>
      </w:r>
      <w:r>
        <w:t xml:space="preserve"> </w:t>
      </w:r>
      <w:r>
        <w:rPr>
          <w:rStyle w:val="VerbatimChar"/>
        </w:rPr>
        <w:t xml:space="preserve">scripts/05_statewide_regression.py</w:t>
      </w:r>
      <w:r>
        <w:t xml:space="preserve"> </w:t>
      </w:r>
      <w:r>
        <w:t xml:space="preserve">(Pearson correlation + simple OLS regression, n=43 counties with non-suppressed County Health Rankings data):</w:t>
      </w:r>
    </w:p>
    <w:bookmarkStart w:id="25" w:name="X7279f353fc4317a5b788abf76e063b1e3b078c9"/>
    <w:p>
      <w:pPr>
        <w:pStyle w:val="Heading3"/>
      </w:pPr>
      <w:r>
        <w:t xml:space="preserve">Low birthweight has strong, statistically significant SES predictors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Predictor</w:t>
            </w:r>
          </w:p>
        </w:tc>
        <w:tc>
          <w:tcPr/>
          <w:p>
            <w:pPr>
              <w:pStyle w:val="Compact"/>
              <w:jc w:val="left"/>
            </w:pPr>
            <w:r>
              <w:t xml:space="preserve">Pearson r</w:t>
            </w:r>
          </w:p>
        </w:tc>
        <w:tc>
          <w:tcPr/>
          <w:p>
            <w:pPr>
              <w:pStyle w:val="Compact"/>
              <w:jc w:val="left"/>
            </w:pPr>
            <w:r>
              <w:t xml:space="preserve">Approx. p</w:t>
            </w:r>
          </w:p>
        </w:tc>
        <w:tc>
          <w:tcPr/>
          <w:p>
            <w:pPr>
              <w:pStyle w:val="Compact"/>
              <w:jc w:val="left"/>
            </w:pPr>
            <w:r>
              <w:t xml:space="preserve">R²</w:t>
            </w:r>
          </w:p>
        </w:tc>
      </w:tr>
      <w:tr>
        <w:tc>
          <w:tcPr/>
          <w:p>
            <w:pPr>
              <w:pStyle w:val="Compact"/>
              <w:jc w:val="left"/>
            </w:pPr>
            <w:r>
              <w:t xml:space="preserve">Broadband access (inverse)</w:t>
            </w:r>
          </w:p>
        </w:tc>
        <w:tc>
          <w:tcPr/>
          <w:p>
            <w:pPr>
              <w:pStyle w:val="Compact"/>
              <w:jc w:val="left"/>
            </w:pPr>
            <w:r>
              <w:rPr>
                <w:bCs/>
                <w:b/>
              </w:rPr>
              <w:t xml:space="preserve">-0.705</w:t>
            </w:r>
          </w:p>
        </w:tc>
        <w:tc>
          <w:tcPr/>
          <w:p>
            <w:pPr>
              <w:pStyle w:val="Compact"/>
              <w:jc w:val="left"/>
            </w:pPr>
            <w:r>
              <w:t xml:space="preserve">&lt;0.001</w:t>
            </w:r>
          </w:p>
        </w:tc>
        <w:tc>
          <w:tcPr/>
          <w:p>
            <w:pPr>
              <w:pStyle w:val="Compact"/>
              <w:jc w:val="left"/>
            </w:pPr>
            <w:r>
              <w:t xml:space="preserve">0.498</w:t>
            </w:r>
          </w:p>
        </w:tc>
      </w:tr>
      <w:tr>
        <w:tc>
          <w:tcPr/>
          <w:p>
            <w:pPr>
              <w:pStyle w:val="Compact"/>
              <w:jc w:val="left"/>
            </w:pPr>
            <w:r>
              <w:t xml:space="preserve">Child poverty</w:t>
            </w:r>
          </w:p>
        </w:tc>
        <w:tc>
          <w:tcPr/>
          <w:p>
            <w:pPr>
              <w:pStyle w:val="Compact"/>
              <w:jc w:val="left"/>
            </w:pPr>
            <w:r>
              <w:rPr>
                <w:bCs/>
                <w:b/>
              </w:rPr>
              <w:t xml:space="preserve">0.646</w:t>
            </w:r>
          </w:p>
        </w:tc>
        <w:tc>
          <w:tcPr/>
          <w:p>
            <w:pPr>
              <w:pStyle w:val="Compact"/>
              <w:jc w:val="left"/>
            </w:pPr>
            <w:r>
              <w:t xml:space="preserve">&lt;0.001</w:t>
            </w:r>
          </w:p>
        </w:tc>
        <w:tc>
          <w:tcPr/>
          <w:p>
            <w:pPr>
              <w:pStyle w:val="Compact"/>
              <w:jc w:val="left"/>
            </w:pPr>
            <w:r>
              <w:t xml:space="preserve">0.417</w:t>
            </w:r>
          </w:p>
        </w:tc>
      </w:tr>
      <w:tr>
        <w:tc>
          <w:tcPr/>
          <w:p>
            <w:pPr>
              <w:pStyle w:val="Compact"/>
              <w:jc w:val="left"/>
            </w:pPr>
            <w:r>
              <w:t xml:space="preserve">Median household income (inverse)</w:t>
            </w:r>
          </w:p>
        </w:tc>
        <w:tc>
          <w:tcPr/>
          <w:p>
            <w:pPr>
              <w:pStyle w:val="Compact"/>
              <w:jc w:val="left"/>
            </w:pPr>
            <w:r>
              <w:rPr>
                <w:bCs/>
                <w:b/>
              </w:rPr>
              <w:t xml:space="preserve">-0.599</w:t>
            </w:r>
          </w:p>
        </w:tc>
        <w:tc>
          <w:tcPr/>
          <w:p>
            <w:pPr>
              <w:pStyle w:val="Compact"/>
              <w:jc w:val="left"/>
            </w:pPr>
            <w:r>
              <w:t xml:space="preserve">&lt;0.001</w:t>
            </w:r>
          </w:p>
        </w:tc>
        <w:tc>
          <w:tcPr/>
          <w:p>
            <w:pPr>
              <w:pStyle w:val="Compact"/>
              <w:jc w:val="left"/>
            </w:pPr>
            <w:r>
              <w:t xml:space="preserve">0.358</w:t>
            </w:r>
          </w:p>
        </w:tc>
      </w:tr>
      <w:tr>
        <w:tc>
          <w:tcPr/>
          <w:p>
            <w:pPr>
              <w:pStyle w:val="Compact"/>
              <w:jc w:val="left"/>
            </w:pPr>
            <w:r>
              <w:t xml:space="preserve">Income inequality ratio</w:t>
            </w:r>
          </w:p>
        </w:tc>
        <w:tc>
          <w:tcPr/>
          <w:p>
            <w:pPr>
              <w:pStyle w:val="Compact"/>
              <w:jc w:val="left"/>
            </w:pPr>
            <w:r>
              <w:t xml:space="preserve">0.553</w:t>
            </w:r>
          </w:p>
        </w:tc>
        <w:tc>
          <w:tcPr/>
          <w:p>
            <w:pPr>
              <w:pStyle w:val="Compact"/>
              <w:jc w:val="left"/>
            </w:pPr>
            <w:r>
              <w:t xml:space="preserve">&lt;0.001</w:t>
            </w:r>
          </w:p>
        </w:tc>
        <w:tc>
          <w:tcPr/>
          <w:p>
            <w:pPr>
              <w:pStyle w:val="Compact"/>
              <w:jc w:val="left"/>
            </w:pPr>
            <w:r>
              <w:t xml:space="preserve">0.305</w:t>
            </w:r>
          </w:p>
        </w:tc>
      </w:tr>
      <w:tr>
        <w:tc>
          <w:tcPr/>
          <w:p>
            <w:pPr>
              <w:pStyle w:val="Compact"/>
              <w:jc w:val="left"/>
            </w:pPr>
            <w:r>
              <w:t xml:space="preserve">Unemployment rate</w:t>
            </w:r>
          </w:p>
        </w:tc>
        <w:tc>
          <w:tcPr/>
          <w:p>
            <w:pPr>
              <w:pStyle w:val="Compact"/>
              <w:jc w:val="left"/>
            </w:pPr>
            <w:r>
              <w:t xml:space="preserve">0.488</w:t>
            </w:r>
          </w:p>
        </w:tc>
        <w:tc>
          <w:tcPr/>
          <w:p>
            <w:pPr>
              <w:pStyle w:val="Compact"/>
              <w:jc w:val="left"/>
            </w:pPr>
            <w:r>
              <w:t xml:space="preserve">&lt;0.001</w:t>
            </w:r>
          </w:p>
        </w:tc>
        <w:tc>
          <w:tcPr/>
          <w:p>
            <w:pPr>
              <w:pStyle w:val="Compact"/>
              <w:jc w:val="left"/>
            </w:pPr>
            <w:r>
              <w:t xml:space="preserve">0.238</w:t>
            </w:r>
          </w:p>
        </w:tc>
      </w:tr>
      <w:tr>
        <w:tc>
          <w:tcPr/>
          <w:p>
            <w:pPr>
              <w:pStyle w:val="Compact"/>
              <w:jc w:val="left"/>
            </w:pPr>
            <w:r>
              <w:t xml:space="preserve">Severe housing problems</w:t>
            </w:r>
          </w:p>
        </w:tc>
        <w:tc>
          <w:tcPr/>
          <w:p>
            <w:pPr>
              <w:pStyle w:val="Compact"/>
              <w:jc w:val="left"/>
            </w:pPr>
            <w:r>
              <w:t xml:space="preserve">0.443</w:t>
            </w:r>
          </w:p>
        </w:tc>
        <w:tc>
          <w:tcPr/>
          <w:p>
            <w:pPr>
              <w:pStyle w:val="Compact"/>
              <w:jc w:val="left"/>
            </w:pPr>
            <w:r>
              <w:t xml:space="preserve">0.0015</w:t>
            </w:r>
          </w:p>
        </w:tc>
        <w:tc>
          <w:tcPr/>
          <w:p>
            <w:pPr>
              <w:pStyle w:val="Compact"/>
              <w:jc w:val="left"/>
            </w:pPr>
            <w:r>
              <w:t xml:space="preserve">0.196</w:t>
            </w:r>
          </w:p>
        </w:tc>
      </w:tr>
      <w:tr>
        <w:tc>
          <w:tcPr/>
          <w:p>
            <w:pPr>
              <w:pStyle w:val="Compact"/>
              <w:jc w:val="left"/>
            </w:pPr>
            <w:r>
              <w:t xml:space="preserve">PM2.5 (inverse)</w:t>
            </w:r>
          </w:p>
        </w:tc>
        <w:tc>
          <w:tcPr/>
          <w:p>
            <w:pPr>
              <w:pStyle w:val="Compact"/>
              <w:jc w:val="left"/>
            </w:pPr>
            <w:r>
              <w:t xml:space="preserve">-0.348</w:t>
            </w:r>
          </w:p>
        </w:tc>
        <w:tc>
          <w:tcPr/>
          <w:p>
            <w:pPr>
              <w:pStyle w:val="Compact"/>
              <w:jc w:val="left"/>
            </w:pPr>
            <w:r>
              <w:t xml:space="preserve">0.017</w:t>
            </w:r>
          </w:p>
        </w:tc>
        <w:tc>
          <w:tcPr/>
          <w:p>
            <w:pPr>
              <w:pStyle w:val="Compact"/>
              <w:jc w:val="left"/>
            </w:pPr>
            <w:r>
              <w:t xml:space="preserve">0.121</w:t>
            </w:r>
          </w:p>
        </w:tc>
      </w:tr>
    </w:tbl>
    <w:p>
      <w:pPr>
        <w:pStyle w:val="BodyText"/>
      </w:pPr>
      <w:r>
        <w:rPr>
          <w:bCs/>
          <w:b/>
        </w:rPr>
        <w:t xml:space="preserve">Broadband access is the single strongest statistical predictor of low birthweight across South Carolina counties</w:t>
      </w:r>
      <w:r>
        <w:t xml:space="preserve"> </w:t>
      </w:r>
      <w:r>
        <w:t xml:space="preserve">— likely a proxy for rurality, telehealth access, and the ability to reach prenatal appointments, rather than a direct causal factor. This is a genuinely new, non-obvious finding this audit surfaces:</w:t>
      </w:r>
      <w:r>
        <w:t xml:space="preserve"> </w:t>
      </w:r>
      <w:r>
        <w:rPr>
          <w:bCs/>
          <w:b/>
        </w:rPr>
        <w:t xml:space="preserve">digital infrastructure investment is measurably associated with a core birth outcome at the county level in SC.</w:t>
      </w:r>
    </w:p>
    <w:bookmarkEnd w:id="25"/>
    <w:bookmarkStart w:id="26" w:name="Xa2d38010ea79cb7e523f58b8464660fc8c2e489"/>
    <w:p>
      <w:pPr>
        <w:pStyle w:val="Heading3"/>
      </w:pPr>
      <w:r>
        <w:t xml:space="preserve">Infant mortality is comparatively unpredictable from broad SES measures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Predictor</w:t>
            </w:r>
          </w:p>
        </w:tc>
        <w:tc>
          <w:tcPr/>
          <w:p>
            <w:pPr>
              <w:pStyle w:val="Compact"/>
              <w:jc w:val="left"/>
            </w:pPr>
            <w:r>
              <w:t xml:space="preserve">Pearson r</w:t>
            </w:r>
          </w:p>
        </w:tc>
        <w:tc>
          <w:tcPr/>
          <w:p>
            <w:pPr>
              <w:pStyle w:val="Compact"/>
              <w:jc w:val="left"/>
            </w:pPr>
            <w:r>
              <w:t xml:space="preserve">Approx. p</w:t>
            </w:r>
          </w:p>
        </w:tc>
        <w:tc>
          <w:tcPr/>
          <w:p>
            <w:pPr>
              <w:pStyle w:val="Compact"/>
              <w:jc w:val="left"/>
            </w:pPr>
            <w:r>
              <w:t xml:space="preserve">R²</w:t>
            </w:r>
          </w:p>
        </w:tc>
      </w:tr>
      <w:tr>
        <w:tc>
          <w:tcPr/>
          <w:p>
            <w:pPr>
              <w:pStyle w:val="Compact"/>
              <w:jc w:val="left"/>
            </w:pPr>
            <w:r>
              <w:t xml:space="preserve">Uninsured rate</w:t>
            </w:r>
          </w:p>
        </w:tc>
        <w:tc>
          <w:tcPr/>
          <w:p>
            <w:pPr>
              <w:pStyle w:val="Compact"/>
              <w:jc w:val="left"/>
            </w:pPr>
            <w:r>
              <w:t xml:space="preserve">0.337</w:t>
            </w:r>
          </w:p>
        </w:tc>
        <w:tc>
          <w:tcPr/>
          <w:p>
            <w:pPr>
              <w:pStyle w:val="Compact"/>
              <w:jc w:val="left"/>
            </w:pPr>
            <w:r>
              <w:t xml:space="preserve">0.022</w:t>
            </w:r>
          </w:p>
        </w:tc>
        <w:tc>
          <w:tcPr/>
          <w:p>
            <w:pPr>
              <w:pStyle w:val="Compact"/>
              <w:jc w:val="left"/>
            </w:pPr>
            <w:r>
              <w:t xml:space="preserve">0.113</w:t>
            </w:r>
          </w:p>
        </w:tc>
      </w:tr>
      <w:tr>
        <w:tc>
          <w:tcPr/>
          <w:p>
            <w:pPr>
              <w:pStyle w:val="Compact"/>
              <w:jc w:val="left"/>
            </w:pPr>
            <w:r>
              <w:t xml:space="preserve">Broadband access (inverse)</w:t>
            </w:r>
          </w:p>
        </w:tc>
        <w:tc>
          <w:tcPr/>
          <w:p>
            <w:pPr>
              <w:pStyle w:val="Compact"/>
              <w:jc w:val="left"/>
            </w:pPr>
            <w:r>
              <w:t xml:space="preserve">-0.226</w:t>
            </w:r>
          </w:p>
        </w:tc>
        <w:tc>
          <w:tcPr/>
          <w:p>
            <w:pPr>
              <w:pStyle w:val="Compact"/>
              <w:jc w:val="left"/>
            </w:pPr>
            <w:r>
              <w:t xml:space="preserve">0.138</w:t>
            </w:r>
          </w:p>
        </w:tc>
        <w:tc>
          <w:tcPr/>
          <w:p>
            <w:pPr>
              <w:pStyle w:val="Compact"/>
              <w:jc w:val="left"/>
            </w:pPr>
            <w:r>
              <w:t xml:space="preserve">0.051</w:t>
            </w:r>
          </w:p>
        </w:tc>
      </w:tr>
      <w:tr>
        <w:tc>
          <w:tcPr/>
          <w:p>
            <w:pPr>
              <w:pStyle w:val="Compact"/>
              <w:jc w:val="left"/>
            </w:pPr>
            <w:r>
              <w:t xml:space="preserve">Child poverty</w:t>
            </w:r>
          </w:p>
        </w:tc>
        <w:tc>
          <w:tcPr/>
          <w:p>
            <w:pPr>
              <w:pStyle w:val="Compact"/>
              <w:jc w:val="left"/>
            </w:pPr>
            <w:r>
              <w:t xml:space="preserve">0.162</w:t>
            </w:r>
          </w:p>
        </w:tc>
        <w:tc>
          <w:tcPr/>
          <w:p>
            <w:pPr>
              <w:pStyle w:val="Compact"/>
              <w:jc w:val="left"/>
            </w:pPr>
            <w:r>
              <w:t xml:space="preserve">0.293</w:t>
            </w:r>
          </w:p>
        </w:tc>
        <w:tc>
          <w:tcPr/>
          <w:p>
            <w:pPr>
              <w:pStyle w:val="Compact"/>
              <w:jc w:val="left"/>
            </w:pPr>
            <w:r>
              <w:t xml:space="preserve">0.026</w:t>
            </w:r>
          </w:p>
        </w:tc>
      </w:tr>
      <w:tr>
        <w:tc>
          <w:tcPr/>
          <w:p>
            <w:pPr>
              <w:pStyle w:val="Compact"/>
              <w:jc w:val="left"/>
            </w:pPr>
            <w:r>
              <w:t xml:space="preserve">Median household income</w:t>
            </w:r>
          </w:p>
        </w:tc>
        <w:tc>
          <w:tcPr/>
          <w:p>
            <w:pPr>
              <w:pStyle w:val="Compact"/>
              <w:jc w:val="left"/>
            </w:pPr>
            <w:r>
              <w:t xml:space="preserve">-0.146</w:t>
            </w:r>
          </w:p>
        </w:tc>
        <w:tc>
          <w:tcPr/>
          <w:p>
            <w:pPr>
              <w:pStyle w:val="Compact"/>
              <w:jc w:val="left"/>
            </w:pPr>
            <w:r>
              <w:t xml:space="preserve">0.343</w:t>
            </w:r>
          </w:p>
        </w:tc>
        <w:tc>
          <w:tcPr/>
          <w:p>
            <w:pPr>
              <w:pStyle w:val="Compact"/>
              <w:jc w:val="left"/>
            </w:pPr>
            <w:r>
              <w:t xml:space="preserve">0.021</w:t>
            </w:r>
          </w:p>
        </w:tc>
      </w:tr>
    </w:tbl>
    <w:p>
      <w:pPr>
        <w:pStyle w:val="BodyText"/>
      </w:pPr>
      <w:r>
        <w:t xml:space="preserve">No SES covariate explains more than 11% of county-to-county variance in infant mortality.</w:t>
      </w:r>
      <w:r>
        <w:t xml:space="preserve"> </w:t>
      </w:r>
      <w:r>
        <w:rPr>
          <w:bCs/>
          <w:b/>
        </w:rPr>
        <w:t xml:space="preserve">This is an important, defensible finding, not a null result to bury:</w:t>
      </w:r>
      <w:r>
        <w:t xml:space="preserve"> </w:t>
      </w:r>
      <w:r>
        <w:t xml:space="preserve">it means infant mortality in South Carolina is not simply a mirror of county poverty. It is more consistent with the SCMMMRC’s own conclusion that specific, largely preventable</w:t>
      </w:r>
      <w:r>
        <w:t xml:space="preserve"> </w:t>
      </w:r>
      <w:r>
        <w:rPr>
          <w:iCs/>
          <w:i/>
        </w:rPr>
        <w:t xml:space="preserve">clinical events</w:t>
      </w:r>
      <w:r>
        <w:t xml:space="preserve"> </w:t>
      </w:r>
      <w:r>
        <w:t xml:space="preserve">— hemorrhage, cardiomyopathy, hypertensive crisis, mental health/substance use emergencies — and small-number statistical noise drive much of the county-to-county difference, meaning</w:t>
      </w:r>
      <w:r>
        <w:t xml:space="preserve"> </w:t>
      </w:r>
      <w:r>
        <w:rPr>
          <w:bCs/>
          <w:b/>
        </w:rPr>
        <w:t xml:space="preserve">clinical-system interventions (safety bundles, EMS training, transport protocols) may matter as much or more than anti-poverty programs for reducing infant mortality specifically</w:t>
      </w:r>
      <w:r>
        <w:t xml:space="preserve">, even though anti-poverty and housing programs remain clearly justified for reducing low birthweight.</w:t>
      </w:r>
    </w:p>
    <w:bookmarkEnd w:id="26"/>
    <w:bookmarkStart w:id="27" w:name="X8668e2998a8128dbc8143ef5f7faf6a87c9d9bb"/>
    <w:p>
      <w:pPr>
        <w:pStyle w:val="Heading3"/>
      </w:pPr>
      <w:r>
        <w:t xml:space="preserve">Outlier counties: worse (or better) than SES alone predicts</w:t>
      </w:r>
    </w:p>
    <w:p>
      <w:pPr>
        <w:pStyle w:val="FirstParagraph"/>
      </w:pPr>
      <w:r>
        <w:t xml:space="preserve">Regressing infant mortality on uninsured rate + child poverty rate and examining residuals (</w:t>
      </w:r>
      <w:r>
        <w:rPr>
          <w:rStyle w:val="VerbatimChar"/>
        </w:rPr>
        <w:t xml:space="preserve">results/county_outlier_residuals.csv</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County</w:t>
            </w:r>
          </w:p>
        </w:tc>
        <w:tc>
          <w:tcPr/>
          <w:p>
            <w:pPr>
              <w:pStyle w:val="Compact"/>
              <w:jc w:val="left"/>
            </w:pPr>
            <w:r>
              <w:t xml:space="preserve">Actual IMR</w:t>
            </w:r>
          </w:p>
        </w:tc>
        <w:tc>
          <w:tcPr/>
          <w:p>
            <w:pPr>
              <w:pStyle w:val="Compact"/>
              <w:jc w:val="left"/>
            </w:pPr>
            <w:r>
              <w:t xml:space="preserve">Predicted IMR</w:t>
            </w:r>
          </w:p>
        </w:tc>
        <w:tc>
          <w:tcPr/>
          <w:p>
            <w:pPr>
              <w:pStyle w:val="Compact"/>
              <w:jc w:val="left"/>
            </w:pPr>
            <w:r>
              <w:t xml:space="preserve">Residual</w:t>
            </w:r>
          </w:p>
        </w:tc>
        <w:tc>
          <w:tcPr/>
          <w:p>
            <w:pPr>
              <w:pStyle w:val="Compact"/>
              <w:jc w:val="left"/>
            </w:pPr>
            <w:r>
              <w:t xml:space="preserve">Notes</w:t>
            </w:r>
          </w:p>
        </w:tc>
      </w:tr>
      <w:tr>
        <w:tc>
          <w:tcPr/>
          <w:p>
            <w:pPr>
              <w:pStyle w:val="Compact"/>
              <w:jc w:val="left"/>
            </w:pPr>
            <w:r>
              <w:rPr>
                <w:bCs/>
                <w:b/>
              </w:rPr>
              <w:t xml:space="preserve">Marion</w:t>
            </w:r>
          </w:p>
        </w:tc>
        <w:tc>
          <w:tcPr/>
          <w:p>
            <w:pPr>
              <w:pStyle w:val="Compact"/>
              <w:jc w:val="left"/>
            </w:pPr>
            <w:r>
              <w:t xml:space="preserve">15.3</w:t>
            </w:r>
          </w:p>
        </w:tc>
        <w:tc>
          <w:tcPr/>
          <w:p>
            <w:pPr>
              <w:pStyle w:val="Compact"/>
              <w:jc w:val="left"/>
            </w:pPr>
            <w:r>
              <w:t xml:space="preserve">6.1</w:t>
            </w:r>
          </w:p>
        </w:tc>
        <w:tc>
          <w:tcPr/>
          <w:p>
            <w:pPr>
              <w:pStyle w:val="Compact"/>
              <w:jc w:val="left"/>
            </w:pPr>
            <w:r>
              <w:rPr>
                <w:bCs/>
                <w:b/>
              </w:rPr>
              <w:t xml:space="preserve">+9.2</w:t>
            </w:r>
          </w:p>
        </w:tc>
        <w:tc>
          <w:tcPr/>
          <w:p>
            <w:pPr>
              <w:pStyle w:val="Compact"/>
              <w:jc w:val="left"/>
            </w:pPr>
            <w:r>
              <w:t xml:space="preserve">Largest outlier in the state</w:t>
            </w:r>
          </w:p>
        </w:tc>
      </w:tr>
      <w:tr>
        <w:tc>
          <w:tcPr/>
          <w:p>
            <w:pPr>
              <w:pStyle w:val="Compact"/>
              <w:jc w:val="left"/>
            </w:pPr>
            <w:r>
              <w:t xml:space="preserve">Chester</w:t>
            </w:r>
          </w:p>
        </w:tc>
        <w:tc>
          <w:tcPr/>
          <w:p>
            <w:pPr>
              <w:pStyle w:val="Compact"/>
              <w:jc w:val="left"/>
            </w:pPr>
            <w:r>
              <w:t xml:space="preserve">10.7</w:t>
            </w:r>
          </w:p>
        </w:tc>
        <w:tc>
          <w:tcPr/>
          <w:p>
            <w:pPr>
              <w:pStyle w:val="Compact"/>
              <w:jc w:val="left"/>
            </w:pPr>
            <w:r>
              <w:t xml:space="preserve">5.1</w:t>
            </w:r>
          </w:p>
        </w:tc>
        <w:tc>
          <w:tcPr/>
          <w:p>
            <w:pPr>
              <w:pStyle w:val="Compact"/>
              <w:jc w:val="left"/>
            </w:pPr>
            <w:r>
              <w:t xml:space="preserve">+5.6</w:t>
            </w:r>
          </w:p>
        </w:tc>
        <w:tc>
          <w:tcPr/>
          <w:p>
            <w:pPr>
              <w:pStyle w:val="Compact"/>
            </w:pPr>
          </w:p>
        </w:tc>
      </w:tr>
      <w:tr>
        <w:tc>
          <w:tcPr/>
          <w:p>
            <w:pPr>
              <w:pStyle w:val="Compact"/>
              <w:jc w:val="left"/>
            </w:pPr>
            <w:r>
              <w:t xml:space="preserve">Saluda</w:t>
            </w:r>
          </w:p>
        </w:tc>
        <w:tc>
          <w:tcPr/>
          <w:p>
            <w:pPr>
              <w:pStyle w:val="Compact"/>
              <w:jc w:val="left"/>
            </w:pPr>
            <w:r>
              <w:t xml:space="preserve">11.8</w:t>
            </w:r>
          </w:p>
        </w:tc>
        <w:tc>
          <w:tcPr/>
          <w:p>
            <w:pPr>
              <w:pStyle w:val="Compact"/>
              <w:jc w:val="left"/>
            </w:pPr>
            <w:r>
              <w:t xml:space="preserve">7.1</w:t>
            </w:r>
          </w:p>
        </w:tc>
        <w:tc>
          <w:tcPr/>
          <w:p>
            <w:pPr>
              <w:pStyle w:val="Compact"/>
              <w:jc w:val="left"/>
            </w:pPr>
            <w:r>
              <w:t xml:space="preserve">+4.7</w:t>
            </w:r>
          </w:p>
        </w:tc>
        <w:tc>
          <w:tcPr/>
          <w:p>
            <w:pPr>
              <w:pStyle w:val="Compact"/>
            </w:pPr>
          </w:p>
        </w:tc>
      </w:tr>
      <w:tr>
        <w:tc>
          <w:tcPr/>
          <w:p>
            <w:pPr>
              <w:pStyle w:val="Compact"/>
              <w:jc w:val="left"/>
            </w:pPr>
            <w:r>
              <w:t xml:space="preserve">Dillon</w:t>
            </w:r>
          </w:p>
        </w:tc>
        <w:tc>
          <w:tcPr/>
          <w:p>
            <w:pPr>
              <w:pStyle w:val="Compact"/>
              <w:jc w:val="left"/>
            </w:pPr>
            <w:r>
              <w:t xml:space="preserve">10.5</w:t>
            </w:r>
          </w:p>
        </w:tc>
        <w:tc>
          <w:tcPr/>
          <w:p>
            <w:pPr>
              <w:pStyle w:val="Compact"/>
              <w:jc w:val="left"/>
            </w:pPr>
            <w:r>
              <w:t xml:space="preserve">6.6</w:t>
            </w:r>
          </w:p>
        </w:tc>
        <w:tc>
          <w:tcPr/>
          <w:p>
            <w:pPr>
              <w:pStyle w:val="Compact"/>
              <w:jc w:val="left"/>
            </w:pPr>
            <w:r>
              <w:t xml:space="preserve">+3.9</w:t>
            </w:r>
          </w:p>
        </w:tc>
        <w:tc>
          <w:tcPr/>
          <w:p>
            <w:pPr>
              <w:pStyle w:val="Compact"/>
            </w:pPr>
          </w:p>
        </w:tc>
      </w:tr>
      <w:tr>
        <w:tc>
          <w:tcPr/>
          <w:p>
            <w:pPr>
              <w:pStyle w:val="Compact"/>
              <w:jc w:val="left"/>
            </w:pPr>
            <w:r>
              <w:t xml:space="preserve">Georgetown</w:t>
            </w:r>
          </w:p>
        </w:tc>
        <w:tc>
          <w:tcPr/>
          <w:p>
            <w:pPr>
              <w:pStyle w:val="Compact"/>
              <w:jc w:val="left"/>
            </w:pPr>
            <w:r>
              <w:t xml:space="preserve">9.0</w:t>
            </w:r>
          </w:p>
        </w:tc>
        <w:tc>
          <w:tcPr/>
          <w:p>
            <w:pPr>
              <w:pStyle w:val="Compact"/>
              <w:jc w:val="left"/>
            </w:pPr>
            <w:r>
              <w:t xml:space="preserve">5.7</w:t>
            </w:r>
          </w:p>
        </w:tc>
        <w:tc>
          <w:tcPr/>
          <w:p>
            <w:pPr>
              <w:pStyle w:val="Compact"/>
              <w:jc w:val="left"/>
            </w:pPr>
            <w:r>
              <w:t xml:space="preserve">+3.3</w:t>
            </w:r>
          </w:p>
        </w:tc>
        <w:tc>
          <w:tcPr/>
          <w:p>
            <w:pPr>
              <w:pStyle w:val="Compact"/>
              <w:jc w:val="left"/>
            </w:pPr>
            <w:r>
              <w:rPr>
                <w:bCs/>
                <w:b/>
              </w:rPr>
              <w:t xml:space="preserve">Lost its only birthing hospital’s OB unit in September 2020</w:t>
            </w:r>
          </w:p>
        </w:tc>
      </w:tr>
      <w:tr>
        <w:tc>
          <w:tcPr/>
          <w:p>
            <w:pPr>
              <w:pStyle w:val="Compact"/>
              <w:jc w:val="left"/>
            </w:pPr>
            <w:r>
              <w:t xml:space="preserve">Oconee</w:t>
            </w:r>
          </w:p>
        </w:tc>
        <w:tc>
          <w:tcPr/>
          <w:p>
            <w:pPr>
              <w:pStyle w:val="Compact"/>
              <w:jc w:val="left"/>
            </w:pPr>
            <w:r>
              <w:t xml:space="preserve">9.2</w:t>
            </w:r>
          </w:p>
        </w:tc>
        <w:tc>
          <w:tcPr/>
          <w:p>
            <w:pPr>
              <w:pStyle w:val="Compact"/>
              <w:jc w:val="left"/>
            </w:pPr>
            <w:r>
              <w:t xml:space="preserve">6.6</w:t>
            </w:r>
          </w:p>
        </w:tc>
        <w:tc>
          <w:tcPr/>
          <w:p>
            <w:pPr>
              <w:pStyle w:val="Compact"/>
              <w:jc w:val="left"/>
            </w:pPr>
            <w:r>
              <w:t xml:space="preserve">+2.6</w:t>
            </w:r>
          </w:p>
        </w:tc>
        <w:tc>
          <w:tcPr/>
          <w:p>
            <w:pPr>
              <w:pStyle w:val="Compact"/>
            </w:pPr>
          </w:p>
        </w:tc>
      </w:tr>
    </w:tbl>
    <w:p>
      <w:pPr>
        <w:pStyle w:val="BodyText"/>
      </w:pPr>
      <w:r>
        <w:t xml:space="preserve">Counties performing</w:t>
      </w:r>
      <w:r>
        <w:t xml:space="preserve"> </w:t>
      </w:r>
      <w:r>
        <w:rPr>
          <w:iCs/>
          <w:i/>
        </w:rPr>
        <w:t xml:space="preserve">better</w:t>
      </w:r>
      <w:r>
        <w:t xml:space="preserve"> </w:t>
      </w:r>
      <w:r>
        <w:t xml:space="preserve">than their SES profile predicts (negative residuals): Horry (-3.7), Jasper (-3.8), Fairfield (-4.4), Calhoun (-4.9), Marlboro (-5.7) — though several of these have very small death counts and near-zero rates that are themselves statistically fragile.</w:t>
      </w:r>
    </w:p>
    <w:p>
      <w:pPr>
        <w:pStyle w:val="BodyText"/>
      </w:pPr>
      <w:r>
        <w:rPr>
          <w:bCs/>
          <w:b/>
        </w:rPr>
        <w:t xml:space="preserve">Methodological honesty:</w:t>
      </w:r>
      <w:r>
        <w:t xml:space="preserve"> </w:t>
      </w:r>
      <w:r>
        <w:t xml:space="preserve">n≈43 counties is a modest sample; p-values are approximate (normal-approximation, not exact); County Health Rankings measures are themselves multi-year modeled estimates; and county-level correlation cannot establish individual-level causation (ecological fallacy). Full caveats:</w:t>
      </w:r>
      <w:r>
        <w:t xml:space="preserve"> </w:t>
      </w:r>
      <w:r>
        <w:rPr>
          <w:rStyle w:val="VerbatimChar"/>
        </w:rPr>
        <w:t xml:space="preserve">results/statewide_regression_summary.json</w:t>
      </w:r>
      <w:r>
        <w:t xml:space="preserve">.</w:t>
      </w:r>
    </w:p>
    <w:p>
      <w:r>
        <w:pict>
          <v:rect style="width:0;height:1.5pt" o:hralign="center" o:hrstd="t" o:hr="t"/>
        </w:pict>
      </w:r>
    </w:p>
    <w:bookmarkEnd w:id="27"/>
    <w:bookmarkEnd w:id="28"/>
    <w:bookmarkStart w:id="34" w:name="X8937f2cfbe8f5e1bb2c95be2b3fd0e9ff11981f"/>
    <w:p>
      <w:pPr>
        <w:pStyle w:val="Heading2"/>
      </w:pPr>
      <w:r>
        <w:t xml:space="preserve">4. Maternity care deserts and hospital closures — a statewide access crisis</w:t>
      </w:r>
    </w:p>
    <w:p>
      <w:pPr>
        <w:pStyle w:val="FirstParagraph"/>
      </w:pPr>
      <w:r>
        <w:t xml:space="preserve">This is the single most under-covered issue in the original Charleston-only package.</w:t>
      </w:r>
    </w:p>
    <w:bookmarkStart w:id="31" w:name="the-scale-of-the-problem"/>
    <w:p>
      <w:pPr>
        <w:pStyle w:val="Heading3"/>
      </w:pPr>
      <w:r>
        <w:t xml:space="preserve">The scale of the problem</w:t>
      </w:r>
    </w:p>
    <w:p>
      <w:pPr>
        <w:numPr>
          <w:ilvl w:val="0"/>
          <w:numId w:val="1001"/>
        </w:numPr>
        <w:pStyle w:val="Compact"/>
      </w:pPr>
      <w:r>
        <w:rPr>
          <w:bCs/>
          <w:b/>
        </w:rPr>
        <w:t xml:space="preserve">13.0%</w:t>
      </w:r>
      <w:r>
        <w:t xml:space="preserve"> </w:t>
      </w:r>
      <w:r>
        <w:t xml:space="preserve">of South Carolina counties are classified as maternity care deserts (no hospital/birth center offering obstetric care and no obstetric clinicians) — March of Dimes, 2024 report.</w:t>
      </w:r>
      <w:r>
        <w:t xml:space="preserve"> </w:t>
      </w:r>
      <w:hyperlink r:id="rId29">
        <w:r>
          <w:rPr>
            <w:rStyle w:val="Hyperlink"/>
          </w:rPr>
          <w:t xml:space="preserve">Source</w:t>
        </w:r>
      </w:hyperlink>
    </w:p>
    <w:p>
      <w:pPr>
        <w:numPr>
          <w:ilvl w:val="0"/>
          <w:numId w:val="1001"/>
        </w:numPr>
        <w:pStyle w:val="Compact"/>
      </w:pPr>
      <w:r>
        <w:rPr>
          <w:bCs/>
          <w:b/>
        </w:rPr>
        <w:t xml:space="preserve">45.7%</w:t>
      </w:r>
      <w:r>
        <w:t xml:space="preserve"> </w:t>
      </w:r>
      <w:r>
        <w:t xml:space="preserve">of SC counties have</w:t>
      </w:r>
      <w:r>
        <w:t xml:space="preserve"> </w:t>
      </w:r>
      <w:r>
        <w:rPr>
          <w:bCs/>
          <w:b/>
        </w:rPr>
        <w:t xml:space="preserve">no hospital or birth center at all</w:t>
      </w:r>
      <w:r>
        <w:t xml:space="preserve"> </w:t>
      </w:r>
      <w:r>
        <w:t xml:space="preserve">offering maternity care (2022 AHA-based data).</w:t>
      </w:r>
      <w:r>
        <w:t xml:space="preserve"> </w:t>
      </w:r>
      <w:hyperlink r:id="rId30">
        <w:r>
          <w:rPr>
            <w:rStyle w:val="Hyperlink"/>
          </w:rPr>
          <w:t xml:space="preserve">Source</w:t>
        </w:r>
      </w:hyperlink>
    </w:p>
    <w:p>
      <w:pPr>
        <w:numPr>
          <w:ilvl w:val="0"/>
          <w:numId w:val="1001"/>
        </w:numPr>
        <w:pStyle w:val="Compact"/>
      </w:pPr>
      <w:r>
        <w:rPr>
          <w:bCs/>
          <w:b/>
        </w:rPr>
        <w:t xml:space="preserve">1 in 4 South Carolina hospitals</w:t>
      </w:r>
      <w:r>
        <w:t xml:space="preserve"> </w:t>
      </w:r>
      <w:r>
        <w:t xml:space="preserve">is no longer a birthing facility;</w:t>
      </w:r>
      <w:r>
        <w:t xml:space="preserve"> </w:t>
      </w:r>
      <w:r>
        <w:rPr>
          <w:bCs/>
          <w:b/>
        </w:rPr>
        <w:t xml:space="preserve">13 labor and delivery units have closed since 2012</w:t>
      </w:r>
      <w:r>
        <w:t xml:space="preserve"> </w:t>
      </w:r>
      <w:r>
        <w:t xml:space="preserve">(USC Institute for Families in Society, 2024).</w:t>
      </w:r>
    </w:p>
    <w:p>
      <w:pPr>
        <w:numPr>
          <w:ilvl w:val="0"/>
          <w:numId w:val="1001"/>
        </w:numPr>
        <w:pStyle w:val="Compact"/>
      </w:pPr>
      <w:r>
        <w:t xml:space="preserve">The</w:t>
      </w:r>
      <w:r>
        <w:t xml:space="preserve"> </w:t>
      </w:r>
      <w:r>
        <w:rPr>
          <w:bCs/>
          <w:b/>
        </w:rPr>
        <w:t xml:space="preserve">SC Birth Outcomes Initiative</w:t>
      </w:r>
      <w:r>
        <w:t xml:space="preserve"> </w:t>
      </w:r>
      <w:r>
        <w:t xml:space="preserve">documented</w:t>
      </w:r>
      <w:r>
        <w:t xml:space="preserve"> </w:t>
      </w:r>
      <w:r>
        <w:rPr>
          <w:bCs/>
          <w:b/>
        </w:rPr>
        <w:t xml:space="preserve">11 OB unit closures since 2011 against only 4 openings</w:t>
      </w:r>
      <w:r>
        <w:t xml:space="preserve"> </w:t>
      </w:r>
      <w:r>
        <w:t xml:space="preserve">— South Carolina had 47 birthing hospitals in 2011; by 2020, only 38 remained.</w:t>
      </w:r>
    </w:p>
    <w:p>
      <w:pPr>
        <w:numPr>
          <w:ilvl w:val="0"/>
          <w:numId w:val="1001"/>
        </w:numPr>
        <w:pStyle w:val="Compact"/>
      </w:pPr>
      <w:r>
        <w:t xml:space="preserve">Between 2010–2022,</w:t>
      </w:r>
      <w:r>
        <w:t xml:space="preserve"> </w:t>
      </w:r>
      <w:r>
        <w:rPr>
          <w:bCs/>
          <w:b/>
        </w:rPr>
        <w:t xml:space="preserve">46.2% of SC’s rural hospitals lost obstetric services</w:t>
      </w:r>
      <w:r>
        <w:t xml:space="preserve"> </w:t>
      </w:r>
      <w:r>
        <w:t xml:space="preserve">— tied with Pennsylvania for among the worst rate of any state in the nation (peer-reviewed study, reported via Fierce Healthcare, 2024).</w:t>
      </w:r>
    </w:p>
    <w:p>
      <w:pPr>
        <w:numPr>
          <w:ilvl w:val="0"/>
          <w:numId w:val="1001"/>
        </w:numPr>
        <w:pStyle w:val="Compact"/>
      </w:pPr>
      <w:r>
        <w:t xml:space="preserve">In rural SC counties,</w:t>
      </w:r>
      <w:r>
        <w:t xml:space="preserve"> </w:t>
      </w:r>
      <w:r>
        <w:rPr>
          <w:bCs/>
          <w:b/>
        </w:rPr>
        <w:t xml:space="preserve">100% of women live more than 30 minutes from a birthing hospital</w:t>
      </w:r>
      <w:r>
        <w:t xml:space="preserve">, compared with 8.5% of women in urban counties. Average distance in the highest-travel-time counties:</w:t>
      </w:r>
      <w:r>
        <w:t xml:space="preserve"> </w:t>
      </w:r>
      <w:r>
        <w:rPr>
          <w:bCs/>
          <w:b/>
        </w:rPr>
        <w:t xml:space="preserve">40.9 miles / 50.1 minutes</w:t>
      </w:r>
      <w:r>
        <w:t xml:space="preserve">.</w:t>
      </w:r>
    </w:p>
    <w:bookmarkEnd w:id="31"/>
    <w:bookmarkStart w:id="32" w:name="X805a83784b3f6db612af88196ed6425cc4df81d"/>
    <w:p>
      <w:pPr>
        <w:pStyle w:val="Heading3"/>
      </w:pPr>
      <w:r>
        <w:t xml:space="preserve">Specific, named closures — including inside the Charleston metro area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Facility</w:t>
            </w:r>
          </w:p>
        </w:tc>
        <w:tc>
          <w:tcPr/>
          <w:p>
            <w:pPr>
              <w:pStyle w:val="Compact"/>
              <w:jc w:val="left"/>
            </w:pPr>
            <w:r>
              <w:t xml:space="preserve">County</w:t>
            </w:r>
          </w:p>
        </w:tc>
        <w:tc>
          <w:tcPr/>
          <w:p>
            <w:pPr>
              <w:pStyle w:val="Compact"/>
              <w:jc w:val="left"/>
            </w:pPr>
            <w:r>
              <w:t xml:space="preserve">Date closed</w:t>
            </w:r>
          </w:p>
        </w:tc>
        <w:tc>
          <w:tcPr/>
          <w:p>
            <w:pPr>
              <w:pStyle w:val="Compact"/>
              <w:jc w:val="left"/>
            </w:pPr>
            <w:r>
              <w:t xml:space="preserve">Significance</w:t>
            </w:r>
          </w:p>
        </w:tc>
      </w:tr>
      <w:tr>
        <w:tc>
          <w:tcPr/>
          <w:p>
            <w:pPr>
              <w:pStyle w:val="Compact"/>
              <w:jc w:val="left"/>
            </w:pPr>
            <w:r>
              <w:rPr>
                <w:bCs/>
                <w:b/>
              </w:rPr>
              <w:t xml:space="preserve">Roper St. Francis, Mount Pleasant</w:t>
            </w:r>
          </w:p>
        </w:tc>
        <w:tc>
          <w:tcPr/>
          <w:p>
            <w:pPr>
              <w:pStyle w:val="Compact"/>
              <w:jc w:val="left"/>
            </w:pPr>
            <w:r>
              <w:t xml:space="preserve">Charleston (metro)</w:t>
            </w:r>
          </w:p>
        </w:tc>
        <w:tc>
          <w:tcPr/>
          <w:p>
            <w:pPr>
              <w:pStyle w:val="Compact"/>
              <w:jc w:val="left"/>
            </w:pPr>
            <w:r>
              <w:rPr>
                <w:bCs/>
                <w:b/>
              </w:rPr>
              <w:t xml:space="preserve">December 2020</w:t>
            </w:r>
          </w:p>
        </w:tc>
        <w:tc>
          <w:tcPr/>
          <w:p>
            <w:pPr>
              <w:pStyle w:val="Compact"/>
              <w:jc w:val="left"/>
            </w:pPr>
            <w:r>
              <w:t xml:space="preserve">Inside the Charleston metro area — concentrates deliveries further toward MUSC/downtown, worsening access for East Cooper residents</w:t>
            </w:r>
          </w:p>
        </w:tc>
      </w:tr>
      <w:tr>
        <w:tc>
          <w:tcPr/>
          <w:p>
            <w:pPr>
              <w:pStyle w:val="Compact"/>
              <w:jc w:val="left"/>
            </w:pPr>
            <w:r>
              <w:t xml:space="preserve">Georgetown Memorial Hospital</w:t>
            </w:r>
          </w:p>
        </w:tc>
        <w:tc>
          <w:tcPr/>
          <w:p>
            <w:pPr>
              <w:pStyle w:val="Compact"/>
              <w:jc w:val="left"/>
            </w:pPr>
            <w:r>
              <w:t xml:space="preserve">Georgetown</w:t>
            </w:r>
          </w:p>
        </w:tc>
        <w:tc>
          <w:tcPr/>
          <w:p>
            <w:pPr>
              <w:pStyle w:val="Compact"/>
              <w:jc w:val="left"/>
            </w:pPr>
            <w:r>
              <w:t xml:space="preserve">September 2020</w:t>
            </w:r>
          </w:p>
        </w:tc>
        <w:tc>
          <w:tcPr/>
          <w:p>
            <w:pPr>
              <w:pStyle w:val="Compact"/>
              <w:jc w:val="left"/>
            </w:pPr>
            <w:r>
              <w:t xml:space="preserve">Adjacent Lowcountry county; Georgetown now ranks #6 in the state for infant mortality (9.0 per 1,000)</w:t>
            </w:r>
          </w:p>
        </w:tc>
      </w:tr>
      <w:tr>
        <w:tc>
          <w:tcPr/>
          <w:p>
            <w:pPr>
              <w:pStyle w:val="Compact"/>
              <w:jc w:val="left"/>
            </w:pPr>
            <w:r>
              <w:t xml:space="preserve">Laurens County Hospital (Prisma Health)</w:t>
            </w:r>
          </w:p>
        </w:tc>
        <w:tc>
          <w:tcPr/>
          <w:p>
            <w:pPr>
              <w:pStyle w:val="Compact"/>
              <w:jc w:val="left"/>
            </w:pPr>
            <w:r>
              <w:t xml:space="preserve">Laurens</w:t>
            </w:r>
          </w:p>
        </w:tc>
        <w:tc>
          <w:tcPr/>
          <w:p>
            <w:pPr>
              <w:pStyle w:val="Compact"/>
              <w:jc w:val="left"/>
            </w:pPr>
            <w:r>
              <w:t xml:space="preserve">May 2023</w:t>
            </w:r>
          </w:p>
        </w:tc>
        <w:tc>
          <w:tcPr/>
          <w:p>
            <w:pPr>
              <w:pStyle w:val="Compact"/>
              <w:jc w:val="left"/>
            </w:pPr>
            <w:r>
              <w:t xml:space="preserve">Closed due to OB-GYN staffing shortage; patients now travel ~1 hour to Greenville</w:t>
            </w:r>
          </w:p>
        </w:tc>
      </w:tr>
      <w:tr>
        <w:tc>
          <w:tcPr/>
          <w:p>
            <w:pPr>
              <w:pStyle w:val="Compact"/>
              <w:jc w:val="left"/>
            </w:pPr>
            <w:r>
              <w:t xml:space="preserve">Kershaw Medical Center</w:t>
            </w:r>
          </w:p>
        </w:tc>
        <w:tc>
          <w:tcPr/>
          <w:p>
            <w:pPr>
              <w:pStyle w:val="Compact"/>
              <w:jc w:val="left"/>
            </w:pPr>
            <w:r>
              <w:t xml:space="preserve">Kershaw</w:t>
            </w:r>
          </w:p>
        </w:tc>
        <w:tc>
          <w:tcPr/>
          <w:p>
            <w:pPr>
              <w:pStyle w:val="Compact"/>
              <w:jc w:val="left"/>
            </w:pPr>
            <w:r>
              <w:t xml:space="preserve">January 2025</w:t>
            </w:r>
          </w:p>
        </w:tc>
        <w:tc>
          <w:tcPr/>
          <w:p>
            <w:pPr>
              <w:pStyle w:val="Compact"/>
              <w:jc w:val="left"/>
            </w:pPr>
            <w:r>
              <w:t xml:space="preserve">MUSC now redirects patients to MUSC Northeast, 35 minutes away</w:t>
            </w:r>
          </w:p>
        </w:tc>
      </w:tr>
    </w:tbl>
    <w:p>
      <w:pPr>
        <w:pStyle w:val="BodyText"/>
      </w:pPr>
      <w:r>
        <w:rPr>
          <w:bCs/>
          <w:b/>
        </w:rPr>
        <w:t xml:space="preserve">This is a direct, citable, and specific</w:t>
      </w:r>
      <w:r>
        <w:rPr>
          <w:bCs/>
          <w:b/>
        </w:rPr>
        <w:t xml:space="preserve"> </w:t>
      </w:r>
      <w:r>
        <w:rPr>
          <w:bCs/>
          <w:b/>
        </w:rPr>
        <w:t xml:space="preserve">“</w:t>
      </w:r>
      <w:r>
        <w:rPr>
          <w:bCs/>
          <w:b/>
        </w:rPr>
        <w:t xml:space="preserve">injustice</w:t>
      </w:r>
      <w:r>
        <w:rPr>
          <w:bCs/>
          <w:b/>
        </w:rPr>
        <w:t xml:space="preserve">”</w:t>
      </w:r>
      <w:r>
        <w:rPr>
          <w:bCs/>
          <w:b/>
        </w:rPr>
        <w:t xml:space="preserve"> </w:t>
      </w:r>
      <w:r>
        <w:rPr>
          <w:bCs/>
          <w:b/>
        </w:rPr>
        <w:t xml:space="preserve">finding for a research paper:</w:t>
      </w:r>
      <w:r>
        <w:t xml:space="preserve"> </w:t>
      </w:r>
      <w:r>
        <w:t xml:space="preserve">Charleston County’s own metro area lost an obstetric unit in 2020, at the same time the original package was describing MUSC’s Level IV NICU as evidence of regional strength. Both are true simultaneously — capacity is concentrating at the top (highest-acuity care) while contracting at the base (routine, geographically distributed access) — a pattern documented nationally by Kozhimannil et al. (</w:t>
      </w:r>
      <w:r>
        <w:rPr>
          <w:iCs/>
          <w:i/>
        </w:rPr>
        <w:t xml:space="preserve">JAMA</w:t>
      </w:r>
      <w:r>
        <w:t xml:space="preserve">, 2018) as associated with worse rural birth outcomes.</w:t>
      </w:r>
    </w:p>
    <w:bookmarkEnd w:id="32"/>
    <w:bookmarkStart w:id="33" w:name="Xa15f467fa47d9ac3c6c953b43a8d9609166220c"/>
    <w:p>
      <w:pPr>
        <w:pStyle w:val="Heading3"/>
      </w:pPr>
      <w:r>
        <w:t xml:space="preserve">The eight highest-need counties (USC Institute for Families in Society, 2024)</w:t>
      </w:r>
    </w:p>
    <w:p>
      <w:pPr>
        <w:pStyle w:val="FirstParagraph"/>
      </w:pPr>
      <w:r>
        <w:t xml:space="preserve">Based on Maternal Vulnerability Index (lowest tertile = highest need) and OB-adequacy analysis:</w:t>
      </w:r>
    </w:p>
    <w:p>
      <w:pPr>
        <w:pStyle w:val="BlockText"/>
      </w:pPr>
      <w:r>
        <w:rPr>
          <w:bCs/>
          <w:b/>
        </w:rPr>
        <w:t xml:space="preserve">Abbeville, Allendale, Barnwell, Greenwood, Laurens, Lee, McCormick, Williamsburg</w:t>
      </w:r>
    </w:p>
    <w:p>
      <w:pPr>
        <w:pStyle w:val="FirstParagraph"/>
      </w:pPr>
      <w:r>
        <w:t xml:space="preserve">South Carolina has one of the</w:t>
      </w:r>
      <w:r>
        <w:t xml:space="preserve"> </w:t>
      </w:r>
      <w:r>
        <w:rPr>
          <w:bCs/>
          <w:b/>
        </w:rPr>
        <w:t xml:space="preserve">top 5 highest Maternal Vulnerability Index scores in the nation</w:t>
      </w:r>
      <w:r>
        <w:t xml:space="preserve">, driven by high physical-health and socioeconomic need (Surgo Maternal Vulnerability Index, cited in USC IMPH 2024 snapshot).</w:t>
      </w:r>
    </w:p>
    <w:p>
      <w:r>
        <w:pict>
          <v:rect style="width:0;height:1.5pt" o:hralign="center" o:hrstd="t" o:hr="t"/>
        </w:pict>
      </w:r>
    </w:p>
    <w:bookmarkEnd w:id="33"/>
    <w:bookmarkEnd w:id="34"/>
    <w:bookmarkStart w:id="35" w:name="X6c1c8eb4d88a286e658e7eb58ab7744bde4cb0f"/>
    <w:p>
      <w:pPr>
        <w:pStyle w:val="Heading2"/>
      </w:pPr>
      <w:r>
        <w:t xml:space="preserve">5. Maternal mortality: the pipeline upstream of infant health</w:t>
      </w:r>
    </w:p>
    <w:p>
      <w:pPr>
        <w:pStyle w:val="FirstParagraph"/>
      </w:pPr>
      <w:r>
        <w:t xml:space="preserve">Neonatal outcomes cannot be separated from whether the mother survives and stays healthy. The SC Maternal Morbidity and Mortality Review Committee (SCMMMRC) — a state-mandated committee reviewing every pregnancy-associated death — provides the most rigorous causal evidence in this entire package.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Period</w:t>
            </w:r>
          </w:p>
        </w:tc>
        <w:tc>
          <w:tcPr/>
          <w:p>
            <w:pPr>
              <w:pStyle w:val="Compact"/>
              <w:jc w:val="left"/>
            </w:pPr>
            <w:r>
              <w:t xml:space="preserve">Source</w:t>
            </w:r>
          </w:p>
        </w:tc>
      </w:tr>
      <w:tr>
        <w:tc>
          <w:tcPr/>
          <w:p>
            <w:pPr>
              <w:pStyle w:val="Compact"/>
              <w:jc w:val="left"/>
            </w:pPr>
            <w:r>
              <w:t xml:space="preserve">SC Pregnancy-Related Mortality Rate (PRMR)</w:t>
            </w:r>
          </w:p>
        </w:tc>
        <w:tc>
          <w:tcPr/>
          <w:p>
            <w:pPr>
              <w:pStyle w:val="Compact"/>
              <w:jc w:val="left"/>
            </w:pPr>
            <w:r>
              <w:rPr>
                <w:bCs/>
                <w:b/>
              </w:rPr>
              <w:t xml:space="preserve">29.5</w:t>
            </w:r>
            <w:r>
              <w:t xml:space="preserve"> </w:t>
            </w:r>
            <w:r>
              <w:t xml:space="preserve">per 100,000 live births</w:t>
            </w:r>
          </w:p>
        </w:tc>
        <w:tc>
          <w:tcPr/>
          <w:p>
            <w:pPr>
              <w:pStyle w:val="Compact"/>
              <w:jc w:val="left"/>
            </w:pPr>
            <w:r>
              <w:t xml:space="preserve">2023 (lowest since surveillance began)</w:t>
            </w:r>
          </w:p>
        </w:tc>
        <w:tc>
          <w:tcPr/>
          <w:p>
            <w:pPr>
              <w:pStyle w:val="Compact"/>
              <w:jc w:val="left"/>
            </w:pPr>
            <w:r>
              <w:t xml:space="preserve">SCMMMRC 2026 Legislative Brief</w:t>
            </w:r>
          </w:p>
        </w:tc>
      </w:tr>
      <w:tr>
        <w:tc>
          <w:tcPr/>
          <w:p>
            <w:pPr>
              <w:pStyle w:val="Compact"/>
              <w:jc w:val="left"/>
            </w:pPr>
            <w:r>
              <w:t xml:space="preserve">PRMR, 2021 (peak)</w:t>
            </w:r>
          </w:p>
        </w:tc>
        <w:tc>
          <w:tcPr/>
          <w:p>
            <w:pPr>
              <w:pStyle w:val="Compact"/>
              <w:jc w:val="left"/>
            </w:pPr>
            <w:r>
              <w:t xml:space="preserve">47.2 per 100,000</w:t>
            </w:r>
          </w:p>
        </w:tc>
        <w:tc>
          <w:tcPr/>
          <w:p>
            <w:pPr>
              <w:pStyle w:val="Compact"/>
              <w:jc w:val="left"/>
            </w:pPr>
            <w:r>
              <w:t xml:space="preserve">2021</w:t>
            </w:r>
          </w:p>
        </w:tc>
        <w:tc>
          <w:tcPr/>
          <w:p>
            <w:pPr>
              <w:pStyle w:val="Compact"/>
              <w:jc w:val="left"/>
            </w:pPr>
            <w:r>
              <w:t xml:space="preserve">SCMMMRC 2025 Legislative Brief</w:t>
            </w:r>
          </w:p>
        </w:tc>
      </w:tr>
      <w:tr>
        <w:tc>
          <w:tcPr/>
          <w:p>
            <w:pPr>
              <w:pStyle w:val="Compact"/>
              <w:jc w:val="left"/>
            </w:pPr>
            <w:r>
              <w:t xml:space="preserve">PRMR, Non-Hispanic Black (2018–2023 avg)</w:t>
            </w:r>
          </w:p>
        </w:tc>
        <w:tc>
          <w:tcPr/>
          <w:p>
            <w:pPr>
              <w:pStyle w:val="Compact"/>
              <w:jc w:val="left"/>
            </w:pPr>
            <w:r>
              <w:rPr>
                <w:bCs/>
                <w:b/>
              </w:rPr>
              <w:t xml:space="preserve">59.6</w:t>
            </w:r>
            <w:r>
              <w:t xml:space="preserve"> </w:t>
            </w:r>
            <w:r>
              <w:t xml:space="preserve">per 100,000</w:t>
            </w:r>
          </w:p>
        </w:tc>
        <w:tc>
          <w:tcPr/>
          <w:p>
            <w:pPr>
              <w:pStyle w:val="Compact"/>
              <w:jc w:val="left"/>
            </w:pPr>
            <w:r>
              <w:t xml:space="preserve">2018–2023</w:t>
            </w:r>
          </w:p>
        </w:tc>
        <w:tc>
          <w:tcPr/>
          <w:p>
            <w:pPr>
              <w:pStyle w:val="Compact"/>
              <w:jc w:val="left"/>
            </w:pPr>
            <w:r>
              <w:t xml:space="preserve">SCMMMRC 2026 Legislative Brief</w:t>
            </w:r>
          </w:p>
        </w:tc>
      </w:tr>
      <w:tr>
        <w:tc>
          <w:tcPr/>
          <w:p>
            <w:pPr>
              <w:pStyle w:val="Compact"/>
              <w:jc w:val="left"/>
            </w:pPr>
            <w:r>
              <w:t xml:space="preserve">PRMR, Non-Hispanic White (2018–2023 avg)</w:t>
            </w:r>
          </w:p>
        </w:tc>
        <w:tc>
          <w:tcPr/>
          <w:p>
            <w:pPr>
              <w:pStyle w:val="Compact"/>
              <w:jc w:val="left"/>
            </w:pPr>
            <w:r>
              <w:t xml:space="preserve">25.3 per 100,000</w:t>
            </w:r>
          </w:p>
        </w:tc>
        <w:tc>
          <w:tcPr/>
          <w:p>
            <w:pPr>
              <w:pStyle w:val="Compact"/>
              <w:jc w:val="left"/>
            </w:pPr>
            <w:r>
              <w:t xml:space="preserve">2018–2023</w:t>
            </w:r>
          </w:p>
        </w:tc>
        <w:tc>
          <w:tcPr/>
          <w:p>
            <w:pPr>
              <w:pStyle w:val="Compact"/>
              <w:jc w:val="left"/>
            </w:pPr>
            <w:r>
              <w:t xml:space="preserve">Same</w:t>
            </w:r>
          </w:p>
        </w:tc>
      </w:tr>
      <w:tr>
        <w:tc>
          <w:tcPr/>
          <w:p>
            <w:pPr>
              <w:pStyle w:val="Compact"/>
              <w:jc w:val="left"/>
            </w:pPr>
            <w:r>
              <w:t xml:space="preserve">Black/White disparity, 2023</w:t>
            </w:r>
          </w:p>
        </w:tc>
        <w:tc>
          <w:tcPr/>
          <w:p>
            <w:pPr>
              <w:pStyle w:val="Compact"/>
              <w:jc w:val="left"/>
            </w:pPr>
            <w:r>
              <w:t xml:space="preserve">Black women still</w:t>
            </w:r>
            <w:r>
              <w:t xml:space="preserve"> </w:t>
            </w:r>
            <w:r>
              <w:rPr>
                <w:bCs/>
                <w:b/>
              </w:rPr>
              <w:t xml:space="preserve">2x</w:t>
            </w:r>
            <w:r>
              <w:t xml:space="preserve"> </w:t>
            </w:r>
            <w:r>
              <w:t xml:space="preserve">as likely to die</w:t>
            </w:r>
          </w:p>
        </w:tc>
        <w:tc>
          <w:tcPr/>
          <w:p>
            <w:pPr>
              <w:pStyle w:val="Compact"/>
              <w:jc w:val="left"/>
            </w:pPr>
            <w:r>
              <w:t xml:space="preserve">2023</w:t>
            </w:r>
          </w:p>
        </w:tc>
        <w:tc>
          <w:tcPr/>
          <w:p>
            <w:pPr>
              <w:pStyle w:val="Compact"/>
              <w:jc w:val="left"/>
            </w:pPr>
            <w:r>
              <w:t xml:space="preserve">Same</w:t>
            </w:r>
          </w:p>
        </w:tc>
      </w:tr>
      <w:tr>
        <w:tc>
          <w:tcPr/>
          <w:p>
            <w:pPr>
              <w:pStyle w:val="Compact"/>
              <w:jc w:val="left"/>
            </w:pPr>
            <w:r>
              <w:t xml:space="preserve">PRMR, rural counties (2022–2023)</w:t>
            </w:r>
          </w:p>
        </w:tc>
        <w:tc>
          <w:tcPr/>
          <w:p>
            <w:pPr>
              <w:pStyle w:val="Compact"/>
              <w:jc w:val="left"/>
            </w:pPr>
            <w:r>
              <w:rPr>
                <w:bCs/>
                <w:b/>
              </w:rPr>
              <w:t xml:space="preserve">48.1</w:t>
            </w:r>
            <w:r>
              <w:t xml:space="preserve"> </w:t>
            </w:r>
            <w:r>
              <w:t xml:space="preserve">per 100,000</w:t>
            </w:r>
          </w:p>
        </w:tc>
        <w:tc>
          <w:tcPr/>
          <w:p>
            <w:pPr>
              <w:pStyle w:val="Compact"/>
              <w:jc w:val="left"/>
            </w:pPr>
            <w:r>
              <w:t xml:space="preserve">2022–2023</w:t>
            </w:r>
          </w:p>
        </w:tc>
        <w:tc>
          <w:tcPr/>
          <w:p>
            <w:pPr>
              <w:pStyle w:val="Compact"/>
              <w:jc w:val="left"/>
            </w:pPr>
            <w:r>
              <w:t xml:space="preserve">Same —</w:t>
            </w:r>
            <w:r>
              <w:t xml:space="preserve"> </w:t>
            </w:r>
            <w:r>
              <w:rPr>
                <w:bCs/>
                <w:b/>
              </w:rPr>
              <w:t xml:space="preserve">68% higher than urban (28.7)</w:t>
            </w:r>
          </w:p>
        </w:tc>
      </w:tr>
      <w:tr>
        <w:tc>
          <w:tcPr/>
          <w:p>
            <w:pPr>
              <w:pStyle w:val="Compact"/>
              <w:jc w:val="left"/>
            </w:pPr>
            <w:r>
              <w:t xml:space="preserve">Preventability, overall (2022–2023)</w:t>
            </w:r>
          </w:p>
        </w:tc>
        <w:tc>
          <w:tcPr/>
          <w:p>
            <w:pPr>
              <w:pStyle w:val="Compact"/>
              <w:jc w:val="left"/>
            </w:pPr>
            <w:r>
              <w:rPr>
                <w:bCs/>
                <w:b/>
              </w:rPr>
              <w:t xml:space="preserve">88.2%</w:t>
            </w:r>
          </w:p>
        </w:tc>
        <w:tc>
          <w:tcPr/>
          <w:p>
            <w:pPr>
              <w:pStyle w:val="Compact"/>
              <w:jc w:val="left"/>
            </w:pPr>
            <w:r>
              <w:t xml:space="preserve">2022–2023</w:t>
            </w:r>
          </w:p>
        </w:tc>
        <w:tc>
          <w:tcPr/>
          <w:p>
            <w:pPr>
              <w:pStyle w:val="Compact"/>
              <w:jc w:val="left"/>
            </w:pPr>
            <w:r>
              <w:t xml:space="preserve">Same</w:t>
            </w:r>
          </w:p>
        </w:tc>
      </w:tr>
      <w:tr>
        <w:tc>
          <w:tcPr/>
          <w:p>
            <w:pPr>
              <w:pStyle w:val="Compact"/>
              <w:jc w:val="left"/>
            </w:pPr>
            <w:r>
              <w:t xml:space="preserve">Preventability, mental health/SUD, hypertension, hemorrhage</w:t>
            </w:r>
          </w:p>
        </w:tc>
        <w:tc>
          <w:tcPr/>
          <w:p>
            <w:pPr>
              <w:pStyle w:val="Compact"/>
              <w:jc w:val="left"/>
            </w:pPr>
            <w:r>
              <w:rPr>
                <w:bCs/>
                <w:b/>
              </w:rPr>
              <w:t xml:space="preserve">100%</w:t>
            </w:r>
          </w:p>
        </w:tc>
        <w:tc>
          <w:tcPr/>
          <w:p>
            <w:pPr>
              <w:pStyle w:val="Compact"/>
              <w:jc w:val="left"/>
            </w:pPr>
            <w:r>
              <w:t xml:space="preserve">2022–2023</w:t>
            </w:r>
          </w:p>
        </w:tc>
        <w:tc>
          <w:tcPr/>
          <w:p>
            <w:pPr>
              <w:pStyle w:val="Compact"/>
              <w:jc w:val="left"/>
            </w:pPr>
            <w:r>
              <w:t xml:space="preserve">Same</w:t>
            </w:r>
          </w:p>
        </w:tc>
      </w:tr>
      <w:tr>
        <w:tc>
          <w:tcPr/>
          <w:p>
            <w:pPr>
              <w:pStyle w:val="Compact"/>
              <w:jc w:val="left"/>
            </w:pPr>
            <w:r>
              <w:t xml:space="preserve">Preventability, Non-Hispanic Black vs White</w:t>
            </w:r>
          </w:p>
        </w:tc>
        <w:tc>
          <w:tcPr/>
          <w:p>
            <w:pPr>
              <w:pStyle w:val="Compact"/>
              <w:jc w:val="left"/>
            </w:pPr>
            <w:r>
              <w:t xml:space="preserve">88.9% vs 78.6%</w:t>
            </w:r>
          </w:p>
        </w:tc>
        <w:tc>
          <w:tcPr/>
          <w:p>
            <w:pPr>
              <w:pStyle w:val="Compact"/>
              <w:jc w:val="left"/>
            </w:pPr>
            <w:r>
              <w:t xml:space="preserve">2018–2023</w:t>
            </w:r>
          </w:p>
        </w:tc>
        <w:tc>
          <w:tcPr/>
          <w:p>
            <w:pPr>
              <w:pStyle w:val="Compact"/>
              <w:jc w:val="left"/>
            </w:pPr>
            <w:r>
              <w:t xml:space="preserve">Same</w:t>
            </w:r>
          </w:p>
        </w:tc>
      </w:tr>
      <w:tr>
        <w:tc>
          <w:tcPr/>
          <w:p>
            <w:pPr>
              <w:pStyle w:val="Compact"/>
              <w:jc w:val="left"/>
            </w:pPr>
            <w:r>
              <w:t xml:space="preserve">SC national rank, maternal mortality</w:t>
            </w:r>
          </w:p>
        </w:tc>
        <w:tc>
          <w:tcPr/>
          <w:p>
            <w:pPr>
              <w:pStyle w:val="Compact"/>
              <w:jc w:val="left"/>
            </w:pPr>
            <w:r>
              <w:rPr>
                <w:bCs/>
                <w:b/>
              </w:rPr>
              <w:t xml:space="preserve">8th highest</w:t>
            </w:r>
            <w:r>
              <w:t xml:space="preserve"> </w:t>
            </w:r>
            <w:r>
              <w:t xml:space="preserve">in the US</w:t>
            </w:r>
          </w:p>
        </w:tc>
        <w:tc>
          <w:tcPr/>
          <w:p>
            <w:pPr>
              <w:pStyle w:val="Compact"/>
              <w:jc w:val="left"/>
            </w:pPr>
            <w:r>
              <w:t xml:space="preserve">2023</w:t>
            </w:r>
          </w:p>
        </w:tc>
        <w:tc>
          <w:tcPr/>
          <w:p>
            <w:pPr>
              <w:pStyle w:val="Compact"/>
              <w:jc w:val="left"/>
            </w:pPr>
            <w:r>
              <w:t xml:space="preserve">SC DPH</w:t>
            </w:r>
          </w:p>
        </w:tc>
      </w:tr>
      <w:tr>
        <w:tc>
          <w:tcPr/>
          <w:p>
            <w:pPr>
              <w:pStyle w:val="Compact"/>
              <w:jc w:val="left"/>
            </w:pPr>
            <w:r>
              <w:t xml:space="preserve">PRMR among Medicaid recipients, 2023 vs 2022</w:t>
            </w:r>
          </w:p>
        </w:tc>
        <w:tc>
          <w:tcPr/>
          <w:p>
            <w:pPr>
              <w:pStyle w:val="Compact"/>
              <w:jc w:val="left"/>
            </w:pPr>
            <w:r>
              <w:t xml:space="preserve">37.8 vs 51.0 (down after 12-mo Medicaid extension)</w:t>
            </w:r>
          </w:p>
        </w:tc>
        <w:tc>
          <w:tcPr/>
          <w:p>
            <w:pPr>
              <w:pStyle w:val="Compact"/>
              <w:jc w:val="left"/>
            </w:pPr>
            <w:r>
              <w:t xml:space="preserve">2022–2023</w:t>
            </w:r>
          </w:p>
        </w:tc>
        <w:tc>
          <w:tcPr/>
          <w:p>
            <w:pPr>
              <w:pStyle w:val="Compact"/>
              <w:jc w:val="left"/>
            </w:pPr>
            <w:r>
              <w:t xml:space="preserve">SCMMMRC 2026 Legislative Brief</w:t>
            </w:r>
          </w:p>
        </w:tc>
      </w:tr>
    </w:tbl>
    <w:p>
      <w:pPr>
        <w:pStyle w:val="BodyText"/>
      </w:pPr>
      <w:r>
        <w:rPr>
          <w:bCs/>
          <w:b/>
        </w:rPr>
        <w:t xml:space="preserve">Leading causes of pregnancy-related death, 2022–2023:</w:t>
      </w:r>
      <w:r>
        <w:t xml:space="preserve"> </w:t>
      </w:r>
      <w:r>
        <w:t xml:space="preserve">hemorrhage, mental health conditions/substance use disorder, cardiomyopathy, and infection — in that order, with a notable spike in hemorrhage deaths in 2022.</w:t>
      </w:r>
    </w:p>
    <w:p>
      <w:pPr>
        <w:pStyle w:val="BodyText"/>
      </w:pPr>
      <w:r>
        <w:rPr>
          <w:bCs/>
          <w:b/>
        </w:rPr>
        <w:t xml:space="preserve">The single most damning statistic in this entire research package:</w:t>
      </w:r>
      <w:r>
        <w:t xml:space="preserve"> </w:t>
      </w:r>
      <w:r>
        <w:rPr>
          <w:iCs/>
          <w:i/>
        </w:rPr>
        <w:t xml:space="preserve">nearly 9 in 10 pregnancy-related deaths in South Carolina are determined by the state’s own review committee to have been preventable</w:t>
      </w:r>
      <w:r>
        <w:t xml:space="preserve"> </w:t>
      </w:r>
      <w:r>
        <w:t xml:space="preserve">— and for the leading causes (mental health/SUD, hypertension, hemorrhage), the figure is</w:t>
      </w:r>
      <w:r>
        <w:t xml:space="preserve"> </w:t>
      </w:r>
      <w:r>
        <w:rPr>
          <w:bCs/>
          <w:b/>
        </w:rPr>
        <w:t xml:space="preserve">100%</w:t>
      </w:r>
      <w:r>
        <w:t xml:space="preserve">.</w:t>
      </w:r>
    </w:p>
    <w:p>
      <w:r>
        <w:pict>
          <v:rect style="width:0;height:1.5pt" o:hralign="center" o:hrstd="t" o:hr="t"/>
        </w:pict>
      </w:r>
    </w:p>
    <w:bookmarkEnd w:id="35"/>
    <w:bookmarkStart w:id="36" w:name="Xdef2a9d644a01e01e5095af217b04c4651d19a5"/>
    <w:p>
      <w:pPr>
        <w:pStyle w:val="Heading2"/>
      </w:pPr>
      <w:r>
        <w:t xml:space="preserve">6. Substance exposure: neonatal abstinence syndrome (NAS)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SC statewide NAS rate, 2017–2019</w:t>
            </w:r>
          </w:p>
        </w:tc>
        <w:tc>
          <w:tcPr/>
          <w:p>
            <w:pPr>
              <w:pStyle w:val="Compact"/>
              <w:jc w:val="left"/>
            </w:pPr>
            <w:r>
              <w:rPr>
                <w:bCs/>
                <w:b/>
              </w:rPr>
              <w:t xml:space="preserve">5.1</w:t>
            </w:r>
            <w:r>
              <w:t xml:space="preserve"> </w:t>
            </w:r>
            <w:r>
              <w:t xml:space="preserve">per 1,000 births</w:t>
            </w:r>
          </w:p>
        </w:tc>
        <w:tc>
          <w:tcPr/>
          <w:p>
            <w:pPr>
              <w:pStyle w:val="Compact"/>
              <w:jc w:val="left"/>
            </w:pPr>
            <w:r>
              <w:t xml:space="preserve">HRSA Title V Information System</w:t>
            </w:r>
          </w:p>
        </w:tc>
      </w:tr>
      <w:tr>
        <w:tc>
          <w:tcPr/>
          <w:p>
            <w:pPr>
              <w:pStyle w:val="Compact"/>
              <w:jc w:val="left"/>
            </w:pPr>
            <w:r>
              <w:t xml:space="preserve">SC statewide NAS rate, 2014–2016</w:t>
            </w:r>
          </w:p>
        </w:tc>
        <w:tc>
          <w:tcPr/>
          <w:p>
            <w:pPr>
              <w:pStyle w:val="Compact"/>
              <w:jc w:val="left"/>
            </w:pPr>
            <w:r>
              <w:t xml:space="preserve">4.2 per 1,000 (+21.4% increase to 2017–2019)</w:t>
            </w:r>
          </w:p>
        </w:tc>
        <w:tc>
          <w:tcPr/>
          <w:p>
            <w:pPr>
              <w:pStyle w:val="Compact"/>
              <w:jc w:val="left"/>
            </w:pPr>
            <w:r>
              <w:t xml:space="preserve">Same</w:t>
            </w:r>
          </w:p>
        </w:tc>
      </w:tr>
      <w:tr>
        <w:tc>
          <w:tcPr/>
          <w:p>
            <w:pPr>
              <w:pStyle w:val="Compact"/>
              <w:jc w:val="left"/>
            </w:pPr>
            <w:r>
              <w:t xml:space="preserve">NAS rate, Medicaid-covered births, 2019</w:t>
            </w:r>
          </w:p>
        </w:tc>
        <w:tc>
          <w:tcPr/>
          <w:p>
            <w:pPr>
              <w:pStyle w:val="Compact"/>
              <w:jc w:val="left"/>
            </w:pPr>
            <w:r>
              <w:rPr>
                <w:bCs/>
                <w:b/>
              </w:rPr>
              <w:t xml:space="preserve">8.2</w:t>
            </w:r>
            <w:r>
              <w:t xml:space="preserve"> </w:t>
            </w:r>
            <w:r>
              <w:t xml:space="preserve">per 1,000</w:t>
            </w:r>
          </w:p>
        </w:tc>
        <w:tc>
          <w:tcPr/>
          <w:p>
            <w:pPr>
              <w:pStyle w:val="Compact"/>
              <w:jc w:val="left"/>
            </w:pPr>
            <w:r>
              <w:t xml:space="preserve">Same</w:t>
            </w:r>
          </w:p>
        </w:tc>
      </w:tr>
      <w:tr>
        <w:tc>
          <w:tcPr/>
          <w:p>
            <w:pPr>
              <w:pStyle w:val="Compact"/>
              <w:jc w:val="left"/>
            </w:pPr>
            <w:r>
              <w:t xml:space="preserve">NAS rate, privately insured births, 2019</w:t>
            </w:r>
          </w:p>
        </w:tc>
        <w:tc>
          <w:tcPr/>
          <w:p>
            <w:pPr>
              <w:pStyle w:val="Compact"/>
              <w:jc w:val="left"/>
            </w:pPr>
            <w:r>
              <w:t xml:space="preserve">1.5 per 1,000 (</w:t>
            </w:r>
            <w:r>
              <w:rPr>
                <w:bCs/>
                <w:b/>
              </w:rPr>
              <w:t xml:space="preserve">5.5x</w:t>
            </w:r>
            <w:r>
              <w:t xml:space="preserve"> </w:t>
            </w:r>
            <w:r>
              <w:t xml:space="preserve">lower than Medicaid)</w:t>
            </w:r>
          </w:p>
        </w:tc>
        <w:tc>
          <w:tcPr/>
          <w:p>
            <w:pPr>
              <w:pStyle w:val="Compact"/>
              <w:jc w:val="left"/>
            </w:pPr>
            <w:r>
              <w:t xml:space="preserve">Same</w:t>
            </w:r>
          </w:p>
        </w:tc>
      </w:tr>
      <w:tr>
        <w:tc>
          <w:tcPr/>
          <w:p>
            <w:pPr>
              <w:pStyle w:val="Compact"/>
              <w:jc w:val="left"/>
            </w:pPr>
            <w:r>
              <w:t xml:space="preserve">Horry County NAS rate</w:t>
            </w:r>
          </w:p>
        </w:tc>
        <w:tc>
          <w:tcPr/>
          <w:p>
            <w:pPr>
              <w:pStyle w:val="Compact"/>
              <w:jc w:val="left"/>
            </w:pPr>
            <w:r>
              <w:rPr>
                <w:bCs/>
                <w:b/>
              </w:rPr>
              <w:t xml:space="preserve">8.0</w:t>
            </w:r>
            <w:r>
              <w:t xml:space="preserve"> </w:t>
            </w:r>
            <w:r>
              <w:t xml:space="preserve">per 1,000 (highest in SC, 3 consecutive years)</w:t>
            </w:r>
          </w:p>
        </w:tc>
        <w:tc>
          <w:tcPr/>
          <w:p>
            <w:pPr>
              <w:pStyle w:val="Compact"/>
              <w:jc w:val="left"/>
            </w:pPr>
            <w:r>
              <w:t xml:space="preserve">Pediatrix/MEDNAX news report</w:t>
            </w:r>
          </w:p>
        </w:tc>
      </w:tr>
      <w:tr>
        <w:tc>
          <w:tcPr/>
          <w:p>
            <w:pPr>
              <w:pStyle w:val="Compact"/>
              <w:jc w:val="left"/>
            </w:pPr>
            <w:r>
              <w:t xml:space="preserve">Greenville County NAS rate, 2000–2014</w:t>
            </w:r>
          </w:p>
        </w:tc>
        <w:tc>
          <w:tcPr/>
          <w:p>
            <w:pPr>
              <w:pStyle w:val="Compact"/>
              <w:jc w:val="left"/>
            </w:pPr>
            <w:r>
              <w:t xml:space="preserve">8.22 per 1,000 (2nd highest in SC)</w:t>
            </w:r>
          </w:p>
        </w:tc>
        <w:tc>
          <w:tcPr/>
          <w:p>
            <w:pPr>
              <w:pStyle w:val="Compact"/>
              <w:jc w:val="left"/>
            </w:pPr>
            <w:r>
              <w:t xml:space="preserve">MAiN model study,</w:t>
            </w:r>
            <w:r>
              <w:t xml:space="preserve"> </w:t>
            </w:r>
            <w:r>
              <w:rPr>
                <w:iCs/>
                <w:i/>
              </w:rPr>
              <w:t xml:space="preserve">ScienceDirect</w:t>
            </w:r>
          </w:p>
        </w:tc>
      </w:tr>
      <w:tr>
        <w:tc>
          <w:tcPr/>
          <w:p>
            <w:pPr>
              <w:pStyle w:val="Compact"/>
              <w:jc w:val="left"/>
            </w:pPr>
            <w:r>
              <w:t xml:space="preserve">South Atlantic region (incl. SC) national NAS rank</w:t>
            </w:r>
          </w:p>
        </w:tc>
        <w:tc>
          <w:tcPr/>
          <w:p>
            <w:pPr>
              <w:pStyle w:val="Compact"/>
              <w:jc w:val="left"/>
            </w:pPr>
            <w:r>
              <w:rPr>
                <w:bCs/>
                <w:b/>
              </w:rPr>
              <w:t xml:space="preserve">3rd highest</w:t>
            </w:r>
            <w:r>
              <w:t xml:space="preserve"> </w:t>
            </w:r>
            <w:r>
              <w:t xml:space="preserve">of US Census regions</w:t>
            </w:r>
          </w:p>
        </w:tc>
        <w:tc>
          <w:tcPr/>
          <w:p>
            <w:pPr>
              <w:pStyle w:val="Compact"/>
              <w:jc w:val="left"/>
            </w:pPr>
            <w:r>
              <w:t xml:space="preserve">Same</w:t>
            </w:r>
          </w:p>
        </w:tc>
      </w:tr>
    </w:tbl>
    <w:p>
      <w:pPr>
        <w:pStyle w:val="BodyText"/>
      </w:pPr>
      <w:r>
        <w:t xml:space="preserve">NAS is a Medicaid-concentrated, geographically concentrated (Horry, Greenville) crisis that receives far less attention than preterm birth or low birthweight but drives substantial NICU utilization and long-term developmental risk.</w:t>
      </w:r>
    </w:p>
    <w:p>
      <w:r>
        <w:pict>
          <v:rect style="width:0;height:1.5pt" o:hralign="center" o:hrstd="t" o:hr="t"/>
        </w:pict>
      </w:r>
    </w:p>
    <w:bookmarkEnd w:id="36"/>
    <w:bookmarkStart w:id="37" w:name="X2234c97d00f3258cfd607a5a8e65d849d6e7e90"/>
    <w:p>
      <w:pPr>
        <w:pStyle w:val="Heading2"/>
      </w:pPr>
      <w:r>
        <w:t xml:space="preserve">7. Breastfeeding — a policy-actionable equity gap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SC</w:t>
            </w:r>
            <w:r>
              <w:t xml:space="preserve"> </w:t>
            </w:r>
            <w:r>
              <w:t xml:space="preserve">“</w:t>
            </w:r>
            <w:r>
              <w:t xml:space="preserve">ever breastfed</w:t>
            </w:r>
            <w:r>
              <w:t xml:space="preserve">”</w:t>
            </w:r>
            <w:r>
              <w:t xml:space="preserve"> </w:t>
            </w:r>
            <w:r>
              <w:t xml:space="preserve">rate</w:t>
            </w:r>
          </w:p>
        </w:tc>
        <w:tc>
          <w:tcPr/>
          <w:p>
            <w:pPr>
              <w:pStyle w:val="Compact"/>
              <w:jc w:val="left"/>
            </w:pPr>
            <w:r>
              <w:t xml:space="preserve">80.6%</w:t>
            </w:r>
          </w:p>
        </w:tc>
        <w:tc>
          <w:tcPr/>
          <w:p>
            <w:pPr>
              <w:pStyle w:val="Compact"/>
              <w:jc w:val="left"/>
            </w:pPr>
            <w:r>
              <w:t xml:space="preserve">CDC Breastfeeding Report Card 2022</w:t>
            </w:r>
          </w:p>
        </w:tc>
      </w:tr>
      <w:tr>
        <w:tc>
          <w:tcPr/>
          <w:p>
            <w:pPr>
              <w:pStyle w:val="Compact"/>
              <w:jc w:val="left"/>
            </w:pPr>
            <w:r>
              <w:t xml:space="preserve">SC any breastfeeding at 6 months</w:t>
            </w:r>
          </w:p>
        </w:tc>
        <w:tc>
          <w:tcPr/>
          <w:p>
            <w:pPr>
              <w:pStyle w:val="Compact"/>
              <w:jc w:val="left"/>
            </w:pPr>
            <w:r>
              <w:t xml:space="preserve">46.6%</w:t>
            </w:r>
          </w:p>
        </w:tc>
        <w:tc>
          <w:tcPr/>
          <w:p>
            <w:pPr>
              <w:pStyle w:val="Compact"/>
              <w:jc w:val="left"/>
            </w:pPr>
            <w:r>
              <w:t xml:space="preserve">Same</w:t>
            </w:r>
          </w:p>
        </w:tc>
      </w:tr>
      <w:tr>
        <w:tc>
          <w:tcPr/>
          <w:p>
            <w:pPr>
              <w:pStyle w:val="Compact"/>
              <w:jc w:val="left"/>
            </w:pPr>
            <w:r>
              <w:t xml:space="preserve">SC exclusive breastfeeding at 6 months</w:t>
            </w:r>
          </w:p>
        </w:tc>
        <w:tc>
          <w:tcPr/>
          <w:p>
            <w:pPr>
              <w:pStyle w:val="Compact"/>
              <w:jc w:val="left"/>
            </w:pPr>
            <w:r>
              <w:t xml:space="preserve">26.0%</w:t>
            </w:r>
          </w:p>
        </w:tc>
        <w:tc>
          <w:tcPr/>
          <w:p>
            <w:pPr>
              <w:pStyle w:val="Compact"/>
              <w:jc w:val="left"/>
            </w:pPr>
            <w:r>
              <w:t xml:space="preserve">Same</w:t>
            </w:r>
          </w:p>
        </w:tc>
      </w:tr>
      <w:tr>
        <w:tc>
          <w:tcPr/>
          <w:p>
            <w:pPr>
              <w:pStyle w:val="Compact"/>
              <w:jc w:val="left"/>
            </w:pPr>
            <w:r>
              <w:t xml:space="preserve">SC WIC breastfeeding rate, Aug 2024</w:t>
            </w:r>
          </w:p>
        </w:tc>
        <w:tc>
          <w:tcPr/>
          <w:p>
            <w:pPr>
              <w:pStyle w:val="Compact"/>
              <w:jc w:val="left"/>
            </w:pPr>
            <w:r>
              <w:t xml:space="preserve">30.0% (highest recorded in recent years)</w:t>
            </w:r>
          </w:p>
        </w:tc>
        <w:tc>
          <w:tcPr/>
          <w:p>
            <w:pPr>
              <w:pStyle w:val="Compact"/>
              <w:jc w:val="left"/>
            </w:pPr>
            <w:r>
              <w:t xml:space="preserve">SC DPH WIC Breastfeeding Fact Sheet</w:t>
            </w:r>
          </w:p>
        </w:tc>
      </w:tr>
      <w:tr>
        <w:tc>
          <w:tcPr/>
          <w:p>
            <w:pPr>
              <w:pStyle w:val="Compact"/>
              <w:jc w:val="left"/>
            </w:pPr>
            <w:r>
              <w:t xml:space="preserve">WIC breastfeeding rate, Black infants, FFY2024</w:t>
            </w:r>
          </w:p>
        </w:tc>
        <w:tc>
          <w:tcPr/>
          <w:p>
            <w:pPr>
              <w:pStyle w:val="Compact"/>
              <w:jc w:val="left"/>
            </w:pPr>
            <w:r>
              <w:rPr>
                <w:bCs/>
                <w:b/>
              </w:rPr>
              <w:t xml:space="preserve">23.6%</w:t>
            </w:r>
          </w:p>
        </w:tc>
        <w:tc>
          <w:tcPr/>
          <w:p>
            <w:pPr>
              <w:pStyle w:val="Compact"/>
              <w:jc w:val="left"/>
            </w:pPr>
            <w:r>
              <w:t xml:space="preserve">Same</w:t>
            </w:r>
          </w:p>
        </w:tc>
      </w:tr>
      <w:tr>
        <w:tc>
          <w:tcPr/>
          <w:p>
            <w:pPr>
              <w:pStyle w:val="Compact"/>
              <w:jc w:val="left"/>
            </w:pPr>
            <w:r>
              <w:t xml:space="preserve">WIC breastfeeding rate, Asian infants, FFY2024</w:t>
            </w:r>
          </w:p>
        </w:tc>
        <w:tc>
          <w:tcPr/>
          <w:p>
            <w:pPr>
              <w:pStyle w:val="Compact"/>
              <w:jc w:val="left"/>
            </w:pPr>
            <w:r>
              <w:rPr>
                <w:bCs/>
                <w:b/>
              </w:rPr>
              <w:t xml:space="preserve">42.6%</w:t>
            </w:r>
          </w:p>
        </w:tc>
        <w:tc>
          <w:tcPr/>
          <w:p>
            <w:pPr>
              <w:pStyle w:val="Compact"/>
              <w:jc w:val="left"/>
            </w:pPr>
            <w:r>
              <w:t xml:space="preserve">Same</w:t>
            </w:r>
          </w:p>
        </w:tc>
      </w:tr>
    </w:tbl>
    <w:p>
      <w:pPr>
        <w:pStyle w:val="BodyText"/>
      </w:pPr>
      <w:r>
        <w:t xml:space="preserve">The</w:t>
      </w:r>
      <w:r>
        <w:t xml:space="preserve"> </w:t>
      </w:r>
      <w:r>
        <w:rPr>
          <w:bCs/>
          <w:b/>
        </w:rPr>
        <w:t xml:space="preserve">1.8x gap between Black and Asian infants in the WIC program</w:t>
      </w:r>
      <w:r>
        <w:t xml:space="preserve"> </w:t>
      </w:r>
      <w:r>
        <w:t xml:space="preserve">mirrors the low-birthweight and infant-mortality racial disparities documented elsewhere in this package — breastfeeding support is not a marginal issue but part of the same structural pattern.</w:t>
      </w:r>
    </w:p>
    <w:p>
      <w:r>
        <w:pict>
          <v:rect style="width:0;height:1.5pt" o:hralign="center" o:hrstd="t" o:hr="t"/>
        </w:pict>
      </w:r>
    </w:p>
    <w:bookmarkEnd w:id="37"/>
    <w:bookmarkStart w:id="38" w:name="X6467f3fd552a92714668d96ba96a099ee0946e8"/>
    <w:p>
      <w:pPr>
        <w:pStyle w:val="Heading2"/>
      </w:pPr>
      <w:r>
        <w:t xml:space="preserve">8. Summary: what</w:t>
      </w:r>
      <w:r>
        <w:t xml:space="preserve"> </w:t>
      </w:r>
      <w:r>
        <w:t xml:space="preserve">“</w:t>
      </w:r>
      <w:r>
        <w:t xml:space="preserve">greater South Carolina</w:t>
      </w:r>
      <w:r>
        <w:t xml:space="preserve">”</w:t>
      </w:r>
      <w:r>
        <w:t xml:space="preserve"> </w:t>
      </w:r>
      <w:r>
        <w:t xml:space="preserve">adds to the Charleston story</w:t>
      </w:r>
    </w:p>
    <w:p>
      <w:pPr>
        <w:numPr>
          <w:ilvl w:val="0"/>
          <w:numId w:val="1002"/>
        </w:numPr>
        <w:pStyle w:val="Compact"/>
      </w:pPr>
      <w:r>
        <w:t xml:space="preserve">Charleston is</w:t>
      </w:r>
      <w:r>
        <w:t xml:space="preserve"> </w:t>
      </w:r>
      <w:r>
        <w:rPr>
          <w:bCs/>
          <w:b/>
        </w:rPr>
        <w:t xml:space="preserve">not</w:t>
      </w:r>
      <w:r>
        <w:t xml:space="preserve"> </w:t>
      </w:r>
      <w:r>
        <w:t xml:space="preserve">South Carolina’s worst-performing county — Richland and Berkeley (Charleston’s own metro neighbor) have failing preterm-birth grades.</w:t>
      </w:r>
    </w:p>
    <w:p>
      <w:pPr>
        <w:numPr>
          <w:ilvl w:val="0"/>
          <w:numId w:val="1002"/>
        </w:numPr>
        <w:pStyle w:val="Compact"/>
      </w:pPr>
      <w:r>
        <w:rPr>
          <w:bCs/>
          <w:b/>
        </w:rPr>
        <w:t xml:space="preserve">Marion County</w:t>
      </w:r>
      <w:r>
        <w:t xml:space="preserve"> </w:t>
      </w:r>
      <w:r>
        <w:t xml:space="preserve">is the clearest single geographic target in the state: #1 worst for both infant mortality and low birthweight.</w:t>
      </w:r>
    </w:p>
    <w:p>
      <w:pPr>
        <w:numPr>
          <w:ilvl w:val="0"/>
          <w:numId w:val="1002"/>
        </w:numPr>
        <w:pStyle w:val="Compact"/>
      </w:pPr>
      <w:r>
        <w:t xml:space="preserve">Infant mortality statewide is</w:t>
      </w:r>
      <w:r>
        <w:t xml:space="preserve"> </w:t>
      </w:r>
      <w:r>
        <w:rPr>
          <w:bCs/>
          <w:b/>
        </w:rPr>
        <w:t xml:space="preserve">not well explained by poverty alone</w:t>
      </w:r>
      <w:r>
        <w:t xml:space="preserve"> </w:t>
      </w:r>
      <w:r>
        <w:t xml:space="preserve">— pointing policy attention toward clinical-system fixes (safety bundles, EMS training, MMRC recommendations) as much as anti-poverty programs.</w:t>
      </w:r>
    </w:p>
    <w:p>
      <w:pPr>
        <w:numPr>
          <w:ilvl w:val="0"/>
          <w:numId w:val="1002"/>
        </w:numPr>
        <w:pStyle w:val="Compact"/>
      </w:pPr>
      <w:r>
        <w:t xml:space="preserve">South Carolina has lost a</w:t>
      </w:r>
      <w:r>
        <w:t xml:space="preserve"> </w:t>
      </w:r>
      <w:r>
        <w:rPr>
          <w:bCs/>
          <w:b/>
        </w:rPr>
        <w:t xml:space="preserve">quarter of its birthing hospitals</w:t>
      </w:r>
      <w:r>
        <w:t xml:space="preserve"> </w:t>
      </w:r>
      <w:r>
        <w:t xml:space="preserve">since 2012, including one</w:t>
      </w:r>
      <w:r>
        <w:t xml:space="preserve"> </w:t>
      </w:r>
      <w:r>
        <w:rPr>
          <w:bCs/>
          <w:b/>
        </w:rPr>
        <w:t xml:space="preserve">inside the Charleston metro area</w:t>
      </w:r>
      <w:r>
        <w:t xml:space="preserve"> </w:t>
      </w:r>
      <w:r>
        <w:t xml:space="preserve">— a fact invisible in a Charleston-only analysis.</w:t>
      </w:r>
    </w:p>
    <w:p>
      <w:pPr>
        <w:numPr>
          <w:ilvl w:val="0"/>
          <w:numId w:val="1002"/>
        </w:numPr>
        <w:pStyle w:val="Compact"/>
      </w:pPr>
      <w:r>
        <w:t xml:space="preserve">Nearly</w:t>
      </w:r>
      <w:r>
        <w:t xml:space="preserve"> </w:t>
      </w:r>
      <w:r>
        <w:rPr>
          <w:bCs/>
          <w:b/>
        </w:rPr>
        <w:t xml:space="preserve">9 in 10 pregnancy-related deaths statewide are preventable</w:t>
      </w:r>
      <w:r>
        <w:t xml:space="preserve"> </w:t>
      </w:r>
      <w:r>
        <w:t xml:space="preserve">by the state’s own official review committee — the strongest, most policy-actionable finding in this entire body of work.</w:t>
      </w:r>
    </w:p>
    <w:p>
      <w:r>
        <w:pict>
          <v:rect style="width:0;height:1.5pt" o:hralign="center" o:hrstd="t" o:hr="t"/>
        </w:pict>
      </w:r>
    </w:p>
    <w:bookmarkEnd w:id="38"/>
    <w:bookmarkStart w:id="39" w:name="references"/>
    <w:p>
      <w:pPr>
        <w:pStyle w:val="Heading2"/>
      </w:pPr>
      <w:r>
        <w:t xml:space="preserve">References</w:t>
      </w:r>
    </w:p>
    <w:p>
      <w:pPr>
        <w:pStyle w:val="FirstParagraph"/>
      </w:pPr>
      <w:r>
        <w:t xml:space="preserve">See</w:t>
      </w:r>
      <w:r>
        <w:t xml:space="preserve"> </w:t>
      </w:r>
      <w:r>
        <w:rPr>
          <w:rStyle w:val="VerbatimChar"/>
        </w:rPr>
        <w:t xml:space="preserve">DATA_CATALOG.md</w:t>
      </w:r>
      <w:r>
        <w:t xml:space="preserve"> </w:t>
      </w:r>
      <w:r>
        <w:t xml:space="preserve">for every indicator with its exact source URL. Key statewide sources:</w:t>
      </w:r>
    </w:p>
    <w:p>
      <w:pPr>
        <w:numPr>
          <w:ilvl w:val="0"/>
          <w:numId w:val="1003"/>
        </w:numPr>
        <w:pStyle w:val="Compact"/>
      </w:pPr>
      <w:r>
        <w:t xml:space="preserve">SC DPH.</w:t>
      </w:r>
      <w:r>
        <w:t xml:space="preserve"> </w:t>
      </w:r>
      <w:r>
        <w:rPr>
          <w:iCs/>
          <w:i/>
        </w:rPr>
        <w:t xml:space="preserve">Vital Metrics Summary 2023.</w:t>
      </w:r>
      <w:r>
        <w:t xml:space="preserve"> </w:t>
      </w:r>
      <w:r>
        <w:t xml:space="preserve">https://dph.sc.gov/sites/scdph/files/2025-11/VMS-2023.pdf</w:t>
      </w:r>
    </w:p>
    <w:p>
      <w:pPr>
        <w:numPr>
          <w:ilvl w:val="0"/>
          <w:numId w:val="1003"/>
        </w:numPr>
        <w:pStyle w:val="Compact"/>
      </w:pPr>
      <w:r>
        <w:t xml:space="preserve">SC Maternal Morbidity and Mortality Review Committee.</w:t>
      </w:r>
      <w:r>
        <w:t xml:space="preserve"> </w:t>
      </w:r>
      <w:r>
        <w:rPr>
          <w:iCs/>
          <w:i/>
        </w:rPr>
        <w:t xml:space="preserve">2026 Legislative Brief.</w:t>
      </w:r>
      <w:r>
        <w:t xml:space="preserve"> </w:t>
      </w:r>
      <w:r>
        <w:t xml:space="preserve">https://dph.sc.gov/sites/scdph/files/Library/00229-ENG-CR.pdf</w:t>
      </w:r>
    </w:p>
    <w:p>
      <w:pPr>
        <w:numPr>
          <w:ilvl w:val="0"/>
          <w:numId w:val="1003"/>
        </w:numPr>
        <w:pStyle w:val="Compact"/>
      </w:pPr>
      <w:r>
        <w:t xml:space="preserve">SC Maternal Morbidity and Mortality Review Committee.</w:t>
      </w:r>
      <w:r>
        <w:t xml:space="preserve"> </w:t>
      </w:r>
      <w:r>
        <w:rPr>
          <w:iCs/>
          <w:i/>
        </w:rPr>
        <w:t xml:space="preserve">2025 Legislative Brief.</w:t>
      </w:r>
      <w:r>
        <w:t xml:space="preserve"> </w:t>
      </w:r>
      <w:r>
        <w:t xml:space="preserve">https://www.scstatehouse.gov/reports/DeptofPublicHealth/SCMMMRC%20Legislative%20Report%202025.pdf</w:t>
      </w:r>
    </w:p>
    <w:p>
      <w:pPr>
        <w:numPr>
          <w:ilvl w:val="0"/>
          <w:numId w:val="1003"/>
        </w:numPr>
        <w:pStyle w:val="Compact"/>
      </w:pPr>
      <w:r>
        <w:t xml:space="preserve">March of Dimes.</w:t>
      </w:r>
      <w:r>
        <w:t xml:space="preserve"> </w:t>
      </w:r>
      <w:r>
        <w:rPr>
          <w:iCs/>
          <w:i/>
        </w:rPr>
        <w:t xml:space="preserve">Where You Live Matters: Maternity Care Deserts and the Crisis of Access and Equity in South Carolina</w:t>
      </w:r>
      <w:r>
        <w:t xml:space="preserve"> </w:t>
      </w:r>
      <w:r>
        <w:t xml:space="preserve">(2023). https://www.marchofdimes.org/peristats/assets/s3/reports/mcd/Maternity-Care-Report-SouthCarolina.pdf</w:t>
      </w:r>
    </w:p>
    <w:p>
      <w:pPr>
        <w:numPr>
          <w:ilvl w:val="0"/>
          <w:numId w:val="1003"/>
        </w:numPr>
        <w:pStyle w:val="Compact"/>
      </w:pPr>
      <w:r>
        <w:t xml:space="preserve">March of Dimes.</w:t>
      </w:r>
      <w:r>
        <w:t xml:space="preserve"> </w:t>
      </w:r>
      <w:r>
        <w:rPr>
          <w:iCs/>
          <w:i/>
        </w:rPr>
        <w:t xml:space="preserve">Nowhere to Go: Maternity Care Deserts Across the US</w:t>
      </w:r>
      <w:r>
        <w:t xml:space="preserve"> </w:t>
      </w:r>
      <w:r>
        <w:t xml:space="preserve">(2024). https://www.marchofdimes.org/peristats/assets/s3/reports/2024-Maternity-Care-Report.pdf</w:t>
      </w:r>
    </w:p>
    <w:p>
      <w:pPr>
        <w:numPr>
          <w:ilvl w:val="0"/>
          <w:numId w:val="1003"/>
        </w:numPr>
        <w:pStyle w:val="Compact"/>
      </w:pPr>
      <w:r>
        <w:t xml:space="preserve">SC Birth Outcomes Initiative / USC Institute for Families in Society.</w:t>
      </w:r>
      <w:r>
        <w:t xml:space="preserve"> </w:t>
      </w:r>
      <w:r>
        <w:rPr>
          <w:iCs/>
          <w:i/>
        </w:rPr>
        <w:t xml:space="preserve">Annual Results.</w:t>
      </w:r>
      <w:r>
        <w:t xml:space="preserve"> </w:t>
      </w:r>
      <w:r>
        <w:t xml:space="preserve">https://schealthviz.sc.edu/media/SCBOI_annual_IFS_011222.pdf</w:t>
      </w:r>
    </w:p>
    <w:p>
      <w:pPr>
        <w:numPr>
          <w:ilvl w:val="0"/>
          <w:numId w:val="1003"/>
        </w:numPr>
        <w:pStyle w:val="Compact"/>
      </w:pPr>
      <w:r>
        <w:t xml:space="preserve">USC Institute for Families in Society.</w:t>
      </w:r>
      <w:r>
        <w:t xml:space="preserve"> </w:t>
      </w:r>
      <w:r>
        <w:rPr>
          <w:iCs/>
          <w:i/>
        </w:rPr>
        <w:t xml:space="preserve">SC Maternal and Infant Health Data Snapshot</w:t>
      </w:r>
      <w:r>
        <w:t xml:space="preserve"> </w:t>
      </w:r>
      <w:r>
        <w:t xml:space="preserve">(2024). https://www.schealthviz.sc.edu/media/downloads/SC%20IMPH%20Health%20Policy%20Summit%20-%20MCH%20Data%20Snapshot.pdf</w:t>
      </w:r>
    </w:p>
    <w:p>
      <w:pPr>
        <w:numPr>
          <w:ilvl w:val="0"/>
          <w:numId w:val="1003"/>
        </w:numPr>
        <w:pStyle w:val="Compact"/>
      </w:pPr>
      <w:r>
        <w:t xml:space="preserve">HRSA Title V Information System.</w:t>
      </w:r>
      <w:r>
        <w:t xml:space="preserve"> </w:t>
      </w:r>
      <w:r>
        <w:rPr>
          <w:iCs/>
          <w:i/>
        </w:rPr>
        <w:t xml:space="preserve">South Carolina Program Narratives.</w:t>
      </w:r>
      <w:r>
        <w:t xml:space="preserve"> </w:t>
      </w:r>
      <w:r>
        <w:t xml:space="preserve">https://mchb.tvisdata.hrsa.gov/</w:t>
      </w:r>
    </w:p>
    <w:p>
      <w:pPr>
        <w:numPr>
          <w:ilvl w:val="0"/>
          <w:numId w:val="1003"/>
        </w:numPr>
        <w:pStyle w:val="Compact"/>
      </w:pPr>
      <w:r>
        <w:t xml:space="preserve">Fierce Healthcare (reporting peer-reviewed study).</w:t>
      </w:r>
      <w:r>
        <w:t xml:space="preserve"> </w:t>
      </w:r>
      <w:r>
        <w:rPr>
          <w:iCs/>
          <w:i/>
        </w:rPr>
        <w:t xml:space="preserve">Most states saw hospital obstetric service shutdowns 2010-2022.</w:t>
      </w:r>
      <w:r>
        <w:t xml:space="preserve"> </w:t>
      </w:r>
      <w:r>
        <w:t xml:space="preserve">https://www.fiercehealthcare.com/providers/most-states-saw-hospital-obstetric-service-shutdowns-2010-2022-rural-states-hit-hardest</w:t>
      </w:r>
    </w:p>
    <w:p>
      <w:pPr>
        <w:numPr>
          <w:ilvl w:val="0"/>
          <w:numId w:val="1003"/>
        </w:numPr>
        <w:pStyle w:val="Compact"/>
      </w:pPr>
      <w:r>
        <w:t xml:space="preserve">County Health Rankings &amp; Roadmaps 2025. https://www.countyhealthrankings.org/</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dph.sc.gov/sites/scdph/files/2025-11/VMS-2023.pdf" TargetMode="External" /><Relationship Type="http://schemas.openxmlformats.org/officeDocument/2006/relationships/hyperlink" Id="rId30" Target="https://www.marchofdimes.org/peristats/assets/s3/reports/mcd/Maternity-Care-Report-SouthCarolina.pdf" TargetMode="External" /><Relationship Type="http://schemas.openxmlformats.org/officeDocument/2006/relationships/hyperlink" Id="rId29" Target="https://www.marchofdimes.org/peristats/reports/south-carolina/maternity-care-deserts" TargetMode="External" /></Relationships>
</file>

<file path=word/_rels/footnotes.xml.rels><?xml version="1.0" encoding="UTF-8"?><Relationships xmlns="http://schemas.openxmlformats.org/package/2006/relationships"><Relationship Type="http://schemas.openxmlformats.org/officeDocument/2006/relationships/hyperlink" Id="rId21" Target="https://dph.sc.gov/sites/scdph/files/2025-11/VMS-2023.pdf" TargetMode="External" /><Relationship Type="http://schemas.openxmlformats.org/officeDocument/2006/relationships/hyperlink" Id="rId30" Target="https://www.marchofdimes.org/peristats/assets/s3/reports/mcd/Maternity-Care-Report-SouthCarolina.pdf" TargetMode="External" /><Relationship Type="http://schemas.openxmlformats.org/officeDocument/2006/relationships/hyperlink" Id="rId29" Target="https://www.marchofdimes.org/peristats/reports/south-carolina/maternity-care-dese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STATEWIDE_ANALYSIS</dc:title>
  <dc:creator/>
  <cp:keywords/>
  <dcterms:created xsi:type="dcterms:W3CDTF">2026-08-10T01:42:10Z</dcterms:created>
  <dcterms:modified xsi:type="dcterms:W3CDTF">2026-08-10T01:42:10Z</dcterms:modified>
</cp:coreProperties>
</file>

<file path=docProps/custom.xml><?xml version="1.0" encoding="utf-8"?>
<Properties xmlns="http://schemas.openxmlformats.org/officeDocument/2006/custom-properties" xmlns:vt="http://schemas.openxmlformats.org/officeDocument/2006/docPropsVTypes"/>
</file>