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b4e348d00098369ea6ca5a30e9c10639823d858"/>
    <w:p>
      <w:pPr>
        <w:pStyle w:val="Heading1"/>
      </w:pPr>
      <w:r>
        <w:t xml:space="preserve">Audit Log: Charleston/South Carolina Neonatal Health Package (August 2026)</w:t>
      </w:r>
    </w:p>
    <w:p>
      <w:pPr>
        <w:pStyle w:val="FirstParagraph"/>
      </w:pPr>
      <w:r>
        <w:t xml:space="preserve">This document records a formal self-audit of the original Charleston neonatal health package, what was found, what was added, and what was corrected. It exists so a reader (or a future researcher) can see exactly how the evidence base evolved and why — the same transparency standard used in the companion</w:t>
      </w:r>
      <w:r>
        <w:t xml:space="preserve"> </w:t>
      </w:r>
      <w:r>
        <w:rPr>
          <w:rStyle w:val="VerbatimChar"/>
        </w:rPr>
        <w:t xml:space="preserve">project4_connection_economy_thesis/EVIDENCE_AUDIT.md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cope-of-this-audit"/>
    <w:p>
      <w:pPr>
        <w:pStyle w:val="Heading2"/>
      </w:pPr>
      <w:r>
        <w:t xml:space="preserve">1. Scope of this audit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request to (1) audit the entire prior analysis, (2) add new data sources, (3) build a deeper analytical framework, (4) surface real, specific findings — not generic statements — and (5) expand geographic scope from Charleston County alone to</w:t>
      </w:r>
      <w:r>
        <w:t xml:space="preserve"> </w:t>
      </w:r>
      <w:r>
        <w:rPr>
          <w:bCs/>
          <w:b/>
        </w:rPr>
        <w:t xml:space="preserve">greater South Carolina</w:t>
      </w:r>
      <w:r>
        <w:t xml:space="preserve">, with literature-backed solutions.</w:t>
      </w:r>
    </w:p>
    <w:p>
      <w:pPr>
        <w:pStyle w:val="BodyText"/>
      </w:pPr>
      <w:r>
        <w:rPr>
          <w:bCs/>
          <w:b/>
        </w:rPr>
        <w:t xml:space="preserve">What was audited:</w:t>
      </w:r>
      <w:r>
        <w:t xml:space="preserve"> </w:t>
      </w:r>
      <w:r>
        <w:t xml:space="preserve">- All 81 original indicators in</w:t>
      </w:r>
      <w:r>
        <w:t xml:space="preserve"> </w:t>
      </w:r>
      <w:r>
        <w:rPr>
          <w:rStyle w:val="VerbatimChar"/>
        </w:rPr>
        <w:t xml:space="preserve">data/county_neonatal_indicators.csv</w:t>
      </w:r>
      <w:r>
        <w:t xml:space="preserve"> </w:t>
      </w:r>
      <w:r>
        <w:t xml:space="preserve">- The single-county (Charleston-only) framing of the original package</w:t>
      </w:r>
      <w:r>
        <w:t xml:space="preserve"> </w:t>
      </w:r>
      <w:r>
        <w:t xml:space="preserve">- The evidence basis for proposed</w:t>
      </w:r>
      <w:r>
        <w:t xml:space="preserve"> </w:t>
      </w:r>
      <w:r>
        <w:t xml:space="preserve">“</w:t>
      </w:r>
      <w:r>
        <w:t xml:space="preserve">solutions</w:t>
      </w:r>
      <w:r>
        <w:t xml:space="preserve">”</w:t>
      </w:r>
      <w:r>
        <w:t xml:space="preserve"> </w:t>
      </w:r>
      <w:r>
        <w:t xml:space="preserve">(originally asserted, not sourced to specific trials)</w:t>
      </w:r>
      <w:r>
        <w:t xml:space="preserve"> </w:t>
      </w:r>
      <w:r>
        <w:t xml:space="preserve">- Geographic completeness (statewide disparities were previously invisible)</w:t>
      </w:r>
    </w:p>
    <w:p>
      <w:r>
        <w:pict>
          <v:rect style="width:0;height:1.5pt" o:hralign="center" o:hrstd="t" o:hr="t"/>
        </w:pict>
      </w:r>
    </w:p>
    <w:bookmarkEnd w:id="20"/>
    <w:bookmarkStart w:id="22" w:name="gaps-identified-in-the-original-package"/>
    <w:p>
      <w:pPr>
        <w:pStyle w:val="Heading2"/>
      </w:pPr>
      <w:r>
        <w:t xml:space="preserve">2. Gaps identified in the original package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in this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Charleston-only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own births data show Charleston (10.5% preterm, D+) is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South Carolina’s worst county — Berkeley (F, 12.4%) and Richland (F, 13.4%) are worse. A Charleston-only paper would miss the regional pattern and could look self-servingly optimistic.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sc_statewide_merged.csv</w:t>
            </w:r>
            <w:r>
              <w:t xml:space="preserve"> </w:t>
            </w:r>
            <w:r>
              <w:t xml:space="preserve">with real VMS Table F-3 (infant mortality) and Table C-27 (low birthweight) data for</w:t>
            </w:r>
            <w:r>
              <w:t xml:space="preserve"> </w:t>
            </w:r>
            <w:r>
              <w:rPr>
                <w:bCs/>
                <w:b/>
              </w:rPr>
              <w:t xml:space="preserve">all 46 SC counties</w:t>
            </w:r>
            <w:r>
              <w:t xml:space="preserve">, plus March of Dimes county grades and maternity-care-access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maternal mortality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Neonatal outcomes cannot be separated from maternal health; the original package had a single line (</w:t>
            </w:r>
            <w:r>
              <w:t xml:space="preserve">“</w:t>
            </w:r>
            <w:r>
              <w:t xml:space="preserve">Charleston maternal mortality is suppressed</w:t>
            </w:r>
            <w:r>
              <w:t xml:space="preserve">”</w:t>
            </w:r>
            <w:r>
              <w:t xml:space="preserve">) and stopped there.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13 new indicators from the</w:t>
            </w:r>
            <w:r>
              <w:t xml:space="preserve"> </w:t>
            </w:r>
            <w:r>
              <w:rPr>
                <w:bCs/>
                <w:b/>
              </w:rPr>
              <w:t xml:space="preserve">SC Maternal Morbidity and Mortality Review Committee (SCMMMRC) 2025/2026 Legislative Briefs</w:t>
            </w:r>
            <w:r>
              <w:t xml:space="preserve"> </w:t>
            </w:r>
            <w:r>
              <w:t xml:space="preserve">— cause-of-death breakdowns, preventability rates (88.2% overall, 100% for mental health/SUD, hypertension, hemorrhage), racial and rural/urban disparity trends.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healthcare-access/facility-closure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package described MUSC’s Level IV NICU as a strength but never examined whether</w:t>
            </w:r>
            <w:r>
              <w:t xml:space="preserve"> </w:t>
            </w:r>
            <w:r>
              <w:rPr>
                <w:iCs/>
                <w:i/>
              </w:rPr>
              <w:t xml:space="preserve">access to any</w:t>
            </w:r>
            <w:r>
              <w:t xml:space="preserve"> </w:t>
            </w:r>
            <w:r>
              <w:t xml:space="preserve">obstetric care was contracting.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March of Dimes</w:t>
            </w:r>
            <w:r>
              <w:t xml:space="preserve"> </w:t>
            </w:r>
            <w:r>
              <w:t xml:space="preserve">“</w:t>
            </w:r>
            <w:r>
              <w:t xml:space="preserve">Maternity Care Deserts</w:t>
            </w:r>
            <w:r>
              <w:t xml:space="preserve">”</w:t>
            </w:r>
            <w:r>
              <w:t xml:space="preserve"> </w:t>
            </w:r>
            <w:r>
              <w:t xml:space="preserve">state report (2023) and</w:t>
            </w:r>
            <w:r>
              <w:t xml:space="preserve"> </w:t>
            </w:r>
            <w:r>
              <w:t xml:space="preserve">“</w:t>
            </w:r>
            <w:r>
              <w:t xml:space="preserve">Nowhere to Go</w:t>
            </w:r>
            <w:r>
              <w:t xml:space="preserve">”</w:t>
            </w:r>
            <w:r>
              <w:t xml:space="preserve"> </w:t>
            </w:r>
            <w:r>
              <w:t xml:space="preserve">national report (2024), plus SC Birth Outcomes Initiative (SCBOI) annual reports documenting</w:t>
            </w:r>
            <w:r>
              <w:t xml:space="preserve"> </w:t>
            </w:r>
            <w:r>
              <w:rPr>
                <w:bCs/>
                <w:b/>
              </w:rPr>
              <w:t xml:space="preserve">11 OB unit closures since 2011</w:t>
            </w:r>
            <w:r>
              <w:t xml:space="preserve"> </w:t>
            </w:r>
            <w:r>
              <w:t xml:space="preserve">against only 4 openings — including</w:t>
            </w:r>
            <w:r>
              <w:t xml:space="preserve"> </w:t>
            </w:r>
            <w:r>
              <w:rPr>
                <w:bCs/>
                <w:b/>
              </w:rPr>
              <w:t xml:space="preserve">Roper St. Francis Mount Pleasant’s obstetric unit closure in December 2020, inside the Charleston metro area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substance-exposure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Neonatal abstinence syndrome (NAS) is a major, undercounted driver of NICU admissions and was entirely absent.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SC statewide NAS rate (5.1 per 1,000 births, 2017–2019, up from 4.2 in 2014–2016) and the striking Medicaid/private insurance gap (8.2 vs 1.5 per 1,000, 2019) from HRSA’s Title V Information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breastfeeding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Breastfeeding support is a standard MCH indicator and factor domain; it was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CDC Breastfeeding Report Card 2022 state rates and SC DPH WIC breastfeeding-by-race data (23.6% Black vs 42.6% Asian infants, FFY2024).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Solutions asserted without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</w:t>
            </w:r>
            <w:r>
              <w:t xml:space="preserve"> </w:t>
            </w:r>
            <w:r>
              <w:t xml:space="preserve">“</w:t>
            </w:r>
            <w:r>
              <w:t xml:space="preserve">Section 10: Factor-by-factor policy…agenda</w:t>
            </w:r>
            <w:r>
              <w:t xml:space="preserve">”</w:t>
            </w:r>
            <w:r>
              <w:t xml:space="preserve"> </w:t>
            </w:r>
            <w:r>
              <w:t xml:space="preserve">table listed interventions (</w:t>
            </w:r>
            <w:r>
              <w:t xml:space="preserve">“</w:t>
            </w:r>
            <w:r>
              <w:t xml:space="preserve">Group prenatal care,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doula reimbursement</w:t>
            </w:r>
            <w:r>
              <w:t xml:space="preserve">”</w:t>
            </w:r>
            <w:r>
              <w:t xml:space="preserve">) with a one-word</w:t>
            </w:r>
            <w:r>
              <w:t xml:space="preserve"> </w:t>
            </w:r>
            <w:r>
              <w:t xml:space="preserve">“</w:t>
            </w:r>
            <w:r>
              <w:t xml:space="preserve">Evidence</w:t>
            </w:r>
            <w:r>
              <w:t xml:space="preserve">”</w:t>
            </w:r>
            <w:r>
              <w:t xml:space="preserve"> </w:t>
            </w:r>
            <w:r>
              <w:t xml:space="preserve">column and no citation, effect size, or confidence interval.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Rewrote as</w:t>
            </w:r>
            <w:r>
              <w:t xml:space="preserve"> </w:t>
            </w:r>
            <w:hyperlink r:id="rId21">
              <w:r>
                <w:rPr>
                  <w:rStyle w:val="VerbatimChar"/>
                </w:rPr>
                <w:t xml:space="preserve">LITERATURE_BACKED_SOLUTIONS.md</w:t>
              </w:r>
            </w:hyperlink>
            <w:r>
              <w:t xml:space="preserve"> </w:t>
            </w:r>
            <w:r>
              <w:t xml:space="preserve">with actual trial/meta-analysis citations, effect sizes, and — critically —</w:t>
            </w:r>
            <w:r>
              <w:t xml:space="preserve"> </w:t>
            </w:r>
            <w:r>
              <w:rPr>
                <w:bCs/>
                <w:b/>
              </w:rPr>
              <w:t xml:space="preserve">the mixed/negative findings</w:t>
            </w:r>
            <w:r>
              <w:t xml:space="preserve">, not just the positive ones (see §4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statistical analysis, only descriptive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finding was a single-county point estimate; there was no test of</w:t>
            </w:r>
            <w:r>
              <w:t xml:space="preserve"> </w:t>
            </w:r>
            <w:r>
              <w:rPr>
                <w:iCs/>
                <w:i/>
              </w:rPr>
              <w:t xml:space="preserve">which</w:t>
            </w:r>
            <w:r>
              <w:t xml:space="preserve"> </w:t>
            </w:r>
            <w:r>
              <w:t xml:space="preserve">social/economic factors actually predict neonatal outcomes across the 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scripts/05_statewide_regression.py</w:t>
            </w:r>
            <w:r>
              <w:t xml:space="preserve">: Pearson correlations + OLS regression of infant mortality and low birthweight against 9 County Health Rankings covariates across 43 SC counties, plus a residual/outlier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doula-policy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SC’s Medicaid doula pilot (Sept 2024) and 2026 mandatory-coverage law were not mentioned, even though they are directly relevant to several proposed interventions.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4 new indicators with the exact pilot terms ($1,000/package pilot; $850 minimum mandate effective January 1, 2026).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rrections-to-prior-claims"/>
    <w:p>
      <w:pPr>
        <w:pStyle w:val="Heading2"/>
      </w:pPr>
      <w:r>
        <w:t xml:space="preserve">3. Corrections to prior claims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Charleston outperforms the state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true but incomplete.</w:t>
      </w:r>
      <w:r>
        <w:t xml:space="preserve"> </w:t>
      </w:r>
      <w:r>
        <w:t xml:space="preserve">It remains true for preterm birth (10.5% vs 11.6%) and 2023 VMS infant mortality (4.3 vs 5.4 per 1,000 statewide), but the</w:t>
      </w:r>
      <w:r>
        <w:t xml:space="preserve"> </w:t>
      </w:r>
      <w:r>
        <w:rPr>
          <w:iCs/>
          <w:i/>
        </w:rPr>
        <w:t xml:space="preserve">statewide</w:t>
      </w:r>
      <w:r>
        <w:t xml:space="preserve"> </w:t>
      </w:r>
      <w:r>
        <w:t xml:space="preserve">picture the original document omitted shows</w:t>
      </w:r>
      <w:r>
        <w:t xml:space="preserve"> </w:t>
      </w:r>
      <w:r>
        <w:rPr>
          <w:bCs/>
          <w:b/>
        </w:rPr>
        <w:t xml:space="preserve">Berkeley County (immediately adjacent to Charleston) has a preterm grade of F (12.4%)</w:t>
      </w:r>
      <w:r>
        <w:t xml:space="preserve"> </w:t>
      </w:r>
      <w:r>
        <w:t xml:space="preserve">— worse than Charleston — and is part of the same tri-county Charleston metro region. A paper that only discusses Charleston County proper would miss that the Charleston metro area is not uniformly</w:t>
      </w:r>
      <w:r>
        <w:t xml:space="preserve"> </w:t>
      </w:r>
      <w:r>
        <w:t xml:space="preserve">“</w:t>
      </w:r>
      <w:r>
        <w:t xml:space="preserve">average or better.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WIC estimate methodology was weak.</w:t>
      </w:r>
      <w:r>
        <w:t xml:space="preserve"> </w:t>
      </w:r>
      <w:r>
        <w:t xml:space="preserve">The original package used a rough PantryPath/USDA methodology estimate for</w:t>
      </w:r>
      <w:r>
        <w:t xml:space="preserve"> </w:t>
      </w:r>
      <w:r>
        <w:t xml:space="preserve">“</w:t>
      </w:r>
      <w:r>
        <w:t xml:space="preserve">WIC unserved.</w:t>
      </w:r>
      <w:r>
        <w:t xml:space="preserve">”</w:t>
      </w:r>
      <w:r>
        <w:t xml:space="preserve"> </w:t>
      </w:r>
      <w:r>
        <w:t xml:space="preserve">This audit replaces the soft estimate with the</w:t>
      </w:r>
      <w:r>
        <w:t xml:space="preserve"> </w:t>
      </w:r>
      <w:r>
        <w:rPr>
          <w:bCs/>
          <w:b/>
        </w:rPr>
        <w:t xml:space="preserve">directly measured VMS Table C-34 figure (34.6% of Charleston mothers received WIC during pregnancy)</w:t>
      </w:r>
      <w:r>
        <w:t xml:space="preserve">, which is authoritative and precisely sourced, and removes the unserved-estimate framing entirely rather than presenting an approximation as fact.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Group prenatal care (</w:t>
      </w:r>
      <w:r>
        <w:rPr>
          <w:bCs/>
          <w:b/>
        </w:rPr>
        <w:t xml:space="preserve">“</w:t>
      </w:r>
      <w:r>
        <w:rPr>
          <w:bCs/>
          <w:b/>
        </w:rPr>
        <w:t xml:space="preserve">CenteringPregnancy</w:t>
      </w:r>
      <w:r>
        <w:rPr>
          <w:bCs/>
          <w:b/>
        </w:rPr>
        <w:t xml:space="preserve">”</w:t>
      </w:r>
      <w:r>
        <w:rPr>
          <w:bCs/>
          <w:b/>
        </w:rPr>
        <w:t xml:space="preserve">) was implicitly treated as a proven solution.</w:t>
      </w:r>
      <w:r>
        <w:t xml:space="preserve"> </w:t>
      </w:r>
      <w:r>
        <w:t xml:space="preserve">This was the single most important correction. Two earlier South Carolina studies (Picklesimer et al. 2012, Gareau et al. 2016) reported large, statistically significant reductions in preterm birth (33–36%) among Medicaid patients in Greenville. However, the field’s</w:t>
      </w:r>
      <w:r>
        <w:t xml:space="preserve"> </w:t>
      </w:r>
      <w:r>
        <w:rPr>
          <w:bCs/>
          <w:b/>
        </w:rPr>
        <w:t xml:space="preserve">only randomized controlled trial</w:t>
      </w:r>
      <w:r>
        <w:t xml:space="preserve"> </w:t>
      </w:r>
      <w:r>
        <w:t xml:space="preserve">conducted in South Carolina — the CRADLE trial (Clemson University/Prisma Health-Upstate, n=2,350, 2016–2021) — found</w:t>
      </w:r>
      <w:r>
        <w:t xml:space="preserve"> </w:t>
      </w:r>
      <w:r>
        <w:rPr>
          <w:bCs/>
          <w:b/>
        </w:rPr>
        <w:t xml:space="preserve">no significant difference</w:t>
      </w:r>
      <w:r>
        <w:t xml:space="preserve"> </w:t>
      </w:r>
      <w:r>
        <w:t xml:space="preserve">in preterm birth (10.4% vs 8.7%, p=0.17) or low birthweight (9.6% vs 8.9%, p=0.62) between group and individual prenatal care overall. A benefit emerged only in a</w:t>
      </w:r>
      <w:r>
        <w:t xml:space="preserve"> </w:t>
      </w:r>
      <w:r>
        <w:rPr>
          <w:iCs/>
          <w:i/>
        </w:rPr>
        <w:t xml:space="preserve">subgroup</w:t>
      </w:r>
      <w:r>
        <w:t xml:space="preserve"> </w:t>
      </w:r>
      <w:r>
        <w:t xml:space="preserve">— Black participants with high attendance.</w:t>
      </w:r>
      <w:r>
        <w:t xml:space="preserve"> </w:t>
      </w:r>
      <w:r>
        <w:rPr>
          <w:bCs/>
          <w:b/>
        </w:rPr>
        <w:t xml:space="preserve">This audit presents both the earlier positive retrospective cohorts and the null RCT result side by side</w:t>
      </w:r>
      <w:r>
        <w:t xml:space="preserve">, because the true state of the evidence is mixed and evolving, and a paper claiming certainty either way would misrepresent the literature. See</w:t>
      </w:r>
      <w:r>
        <w:t xml:space="preserve"> </w:t>
      </w:r>
      <w:hyperlink r:id="rId21">
        <w:r>
          <w:rPr>
            <w:rStyle w:val="VerbatimChar"/>
          </w:rPr>
          <w:t xml:space="preserve">LITERATURE_BACKED_SOLUTIONS.md</w:t>
        </w:r>
      </w:hyperlink>
      <w:r>
        <w:t xml:space="preserve"> </w:t>
      </w:r>
      <w:r>
        <w:t xml:space="preserve">§2 for the full treatment.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Nurse-Family Partnership infant-mortality effect sizes needed a confidence range, not a headline number.</w:t>
      </w:r>
      <w:r>
        <w:t xml:space="preserve"> </w:t>
      </w:r>
      <w:r>
        <w:t xml:space="preserve">Program-marketing materials cite a 45% reduction in infant mortality; the peer-reviewed evidence (three combined US RCTs, Olds et al. and colleagues) found only a</w:t>
      </w:r>
      <w:r>
        <w:t xml:space="preserve"> </w:t>
      </w:r>
      <w:r>
        <w:rPr>
          <w:bCs/>
          <w:b/>
        </w:rPr>
        <w:t xml:space="preserve">marginally significant</w:t>
      </w:r>
      <w:r>
        <w:t xml:space="preserve"> </w:t>
      </w:r>
      <w:r>
        <w:t xml:space="preserve">reduction in preventable-cause child mortality (p=0.09, Memphis trial) and no significant effect on infant mortality specifically in two of the three trials. This audit cites the RCT findings directly rather than the rounded marketing estimate.</w:t>
      </w:r>
    </w:p>
    <w:p>
      <w:r>
        <w:pict>
          <v:rect style="width:0;height:1.5pt" o:hralign="center" o:hrstd="t" o:hr="t"/>
        </w:pict>
      </w:r>
    </w:p>
    <w:bookmarkEnd w:id="23"/>
    <w:bookmarkStart w:id="24" w:name="X65ab9300236696f6d34f14bb925cc5df25f5ccf"/>
    <w:p>
      <w:pPr>
        <w:pStyle w:val="Heading2"/>
      </w:pPr>
      <w:r>
        <w:t xml:space="preserve">4. New statistical findings (not in the original package)</w:t>
      </w:r>
    </w:p>
    <w:p>
      <w:pPr>
        <w:pStyle w:val="FirstParagraph"/>
      </w:pPr>
      <w:r>
        <w:t xml:space="preserve">Using the new 43-county statewide dataset (</w:t>
      </w:r>
      <w:r>
        <w:rPr>
          <w:rStyle w:val="VerbatimChar"/>
        </w:rPr>
        <w:t xml:space="preserve">data/sc_statewide_merged.csv</w:t>
      </w:r>
      <w:r>
        <w:t xml:space="preserve">) and regression script (</w:t>
      </w:r>
      <w:r>
        <w:rPr>
          <w:rStyle w:val="VerbatimChar"/>
        </w:rPr>
        <w:t xml:space="preserve">scripts/05_statewide_regression.py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Low birthweight is strongly predicted by classic poverty/SES measures across SC counties</w:t>
      </w:r>
      <w:r>
        <w:t xml:space="preserve"> </w:t>
      </w:r>
      <w:r>
        <w:t xml:space="preserve">— child poverty (r = 0.65), median household income (r = -0.60), broadband access (r = -0.71, the single strongest predictor), income inequality (r = 0.55), and unemployment (r = 0.49). All are statistically significant at p &lt; 0.01 even in this modest sample (n=43).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Infant mortality is NOT well predicted by the same SES measures</w:t>
      </w:r>
      <w:r>
        <w:t xml:space="preserve"> </w:t>
      </w:r>
      <w:r>
        <w:t xml:space="preserve">— the strongest correlate (uninsured rate) is only r = 0.34, and none of the nine covariates tested explain more than 11% of county-to-county variance (R² = 0.113 for uninsured_pct). This is a genuinely important and non-obvious finding:</w:t>
      </w:r>
      <w:r>
        <w:t xml:space="preserve"> </w:t>
      </w:r>
      <w:r>
        <w:rPr>
          <w:bCs/>
          <w:b/>
        </w:rPr>
        <w:t xml:space="preserve">infant mortality in South Carolina behaves less like a slow-moving poverty gradient and more like a small-numbers, event-driven outcome</w:t>
      </w:r>
      <w:r>
        <w:t xml:space="preserve"> </w:t>
      </w:r>
      <w:r>
        <w:t xml:space="preserve">— consistent with the SCMMMRC’s own findings that specific, addressable clinical events (hemorrhage, cardiomyopathy, mental health/substance use crises) drive a large share of pregnancy-related deaths, rather than diffuse socioeconomic deprivation alone.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Marion County is the largest statistical outlier in the state</w:t>
      </w:r>
      <w:r>
        <w:t xml:space="preserve">: its 2021–2023 average infant mortality rate (15.3 per 1,000) is 9.2 points higher than what its poverty and uninsurance rates alone would predict — the largest positive residual of any county analyzed. Marion sits in the Pee Dee region, a maternity-care-access-constrained area (see</w:t>
      </w:r>
      <w:r>
        <w:t xml:space="preserve"> </w:t>
      </w:r>
      <w:r>
        <w:rPr>
          <w:rStyle w:val="VerbatimChar"/>
        </w:rPr>
        <w:t xml:space="preserve">STATEWIDE_ANALYSIS.md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Other large positive-residual (worse-than-predicted) counties:</w:t>
      </w:r>
      <w:r>
        <w:t xml:space="preserve"> </w:t>
      </w:r>
      <w:r>
        <w:rPr>
          <w:bCs/>
          <w:b/>
        </w:rPr>
        <w:t xml:space="preserve">Chester, Saluda, Dillon, Georgetown</w:t>
      </w:r>
      <w:r>
        <w:t xml:space="preserve"> </w:t>
      </w:r>
      <w:r>
        <w:t xml:space="preserve">— Georgetown notably lost its only birthing hospital’s OB unit in September 2020.</w:t>
      </w:r>
    </w:p>
    <w:p>
      <w:pPr>
        <w:numPr>
          <w:ilvl w:val="0"/>
          <w:numId w:val="1002"/>
        </w:numPr>
        <w:pStyle w:val="Compact"/>
      </w:pPr>
      <w:r>
        <w:t xml:space="preserve">Caveats are documented directly in</w:t>
      </w:r>
      <w:r>
        <w:t xml:space="preserve"> </w:t>
      </w:r>
      <w:r>
        <w:rPr>
          <w:rStyle w:val="VerbatimChar"/>
        </w:rPr>
        <w:t xml:space="preserve">results/statewide_regression_summary.json</w:t>
      </w:r>
      <w:r>
        <w:t xml:space="preserve">: n≈43 is a modest sample, p-values are approximate, County Health Rankings measures are themselves modeled estimates, and county-level (ecological) correlation cannot establish individual-level causation.</w:t>
      </w:r>
    </w:p>
    <w:p>
      <w:r>
        <w:pict>
          <v:rect style="width:0;height:1.5pt" o:hralign="center" o:hrstd="t" o:hr="t"/>
        </w:pict>
      </w:r>
    </w:p>
    <w:bookmarkEnd w:id="24"/>
    <w:bookmarkStart w:id="25" w:name="what-did-not-change"/>
    <w:p>
      <w:pPr>
        <w:pStyle w:val="Heading2"/>
      </w:pPr>
      <w:r>
        <w:t xml:space="preserve">5. What did NOT change</w:t>
      </w:r>
    </w:p>
    <w:p>
      <w:pPr>
        <w:numPr>
          <w:ilvl w:val="0"/>
          <w:numId w:val="1003"/>
        </w:numPr>
        <w:pStyle w:val="Compact"/>
      </w:pPr>
      <w:r>
        <w:t xml:space="preserve">All original Charleston-specific VMS 2023 and March of Dimes PeriStats figures (preterm 10.5%, LBW 9.1%, racial disparities, prenatal care adequacy, Medicaid share) were re-verified against the source PDF/pages and are unchanged and retained in</w:t>
      </w:r>
      <w:r>
        <w:t xml:space="preserve"> </w:t>
      </w:r>
      <w:r>
        <w:rPr>
          <w:rStyle w:val="VerbatimChar"/>
        </w:rPr>
        <w:t xml:space="preserve">RESEARCH_FOUNDATION.md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tract-level SDOH proxy maps (CDC PLACES + SVI) are unchanged; South Carolina still does not publish infant mortality below the county level, so this limitation remains and is repeated explicitly in every relevant document.</w:t>
      </w:r>
    </w:p>
    <w:p>
      <w:r>
        <w:pict>
          <v:rect style="width:0;height:1.5pt" o:hralign="center" o:hrstd="t" o:hr="t"/>
        </w:pict>
      </w:r>
    </w:p>
    <w:bookmarkEnd w:id="25"/>
    <w:bookmarkStart w:id="26" w:name="X1de594a06d1e08f65f44e53c8e3b60656f3176a"/>
    <w:p>
      <w:pPr>
        <w:pStyle w:val="Heading2"/>
      </w:pPr>
      <w:r>
        <w:t xml:space="preserve">6. Files added or materially changed in this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scripts/01_download_neonatal_data.py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+57 new indicators (81 → 138), 25 new source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scripts/04_statewide_sc_data.py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Transcribes VMS Table F-3 and C-27 for all 46 SC counties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scripts/05_statewide_regression.py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Correlation + OLS regression + outlier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data/sc_county_infant_mortality.csv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All 46 counties, 3 time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data/sc_county_low_birthweight.csv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All 46 counties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data/sc_county_maternity_access.csv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Desert/low-access/high-need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data/sc_statewide_merged.csv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43-county merged analytic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results/statewide_correlations.csv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results/statewide_regression_summary.json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results/county_outlier_residuals.csv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STATEWIDE_ANALYSIS.md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Greater-SC framework and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LITERATURE_BACKED_SOLUTIONS.md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Full RCT/meta-analysis evidence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DATA_CATALOG.md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Regenerated: 81 → 138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RESEARCH_FOUNDATION.md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FACTOR_FRAMEWORK.md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reference statewide + new domains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uggested-citation-for-this-audit"/>
    <w:p>
      <w:pPr>
        <w:pStyle w:val="Heading2"/>
      </w:pPr>
      <w:r>
        <w:t xml:space="preserve">7. Suggested citation for this audit</w:t>
      </w:r>
    </w:p>
    <w:p>
      <w:pPr>
        <w:pStyle w:val="BlockText"/>
      </w:pPr>
      <w:r>
        <w:t xml:space="preserve">Charleston/South Carolina Neonatal Health Research Package — Audit Revision. Adds SC Maternal Morbidity and Mortality Review Committee data (2025/2026), March of Dimes Maternity Care Deserts reports (2023/2024), SC Birth Outcomes Initiative annual reports, HRSA neonatal abstinence syndrome data, CDC breastfeeding data, and a 43-county statewide statistical analysis. Compiled August 2026.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LITERATURE_BACKED_SOLUTION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LITERATURE_BACKED_SOLUTION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</dc:title>
  <dc:creator/>
  <cp:keywords/>
  <dcterms:created xsi:type="dcterms:W3CDTF">2026-08-10T01:42:10Z</dcterms:created>
  <dcterms:modified xsi:type="dcterms:W3CDTF">2026-08-10T01:42:10Z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