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RESEARCH_FOUNDATION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5" w:name="X0aeea4f77b6ae3c65abba60b55b2b7ec504ca73"/>
    <w:p>
      <w:pPr>
        <w:pStyle w:val="Heading1"/>
      </w:pPr>
      <w:r>
        <w:t xml:space="preserve">Neonatal and Infant Health in Charleston, South Carolina: A Data-Backed Research Foundation</w:t>
      </w:r>
    </w:p>
    <w:p>
      <w:pPr>
        <w:pStyle w:val="FirstParagraph"/>
      </w:pPr>
      <w:r>
        <w:rPr>
          <w:bCs/>
          <w:b/>
        </w:rPr>
        <w:t xml:space="preserve">Geography:</w:t>
      </w:r>
      <w:r>
        <w:t xml:space="preserve"> </w:t>
      </w:r>
      <w:r>
        <w:t xml:space="preserve">Charleston County, SC (FIPS 45019), with statewide comparison across all 46 SC counties</w:t>
      </w:r>
      <w:r>
        <w:br/>
      </w:r>
      <w:r>
        <w:rPr>
          <w:bCs/>
          <w:b/>
        </w:rPr>
        <w:t xml:space="preserve">Primary data years:</w:t>
      </w:r>
      <w:r>
        <w:t xml:space="preserve"> </w:t>
      </w:r>
      <w:r>
        <w:t xml:space="preserve">2023 (SC DPH Vital Metrics Summary), 2024 (March of Dimes PeriStats), 2025-2026 (SCMMMRC Legislative Briefs)</w:t>
      </w:r>
      <w:r>
        <w:br/>
      </w:r>
      <w:r>
        <w:rPr>
          <w:bCs/>
          <w:b/>
        </w:rPr>
        <w:t xml:space="preserve">Prepared:</w:t>
      </w:r>
      <w:r>
        <w:t xml:space="preserve"> </w:t>
      </w:r>
      <w:r>
        <w:t xml:space="preserve">August 2026; audited and expanded August 2026 (see</w:t>
      </w:r>
      <w:r>
        <w:t xml:space="preserve"> </w:t>
      </w:r>
      <w:r>
        <w:rPr>
          <w:rStyle w:val="VerbatimChar"/>
        </w:rPr>
        <w:t xml:space="preserve">AUDIT.md</w:t>
      </w:r>
      <w:r>
        <w:t xml:space="preserve">)</w:t>
      </w:r>
      <w:r>
        <w:br/>
      </w:r>
      <w:r>
        <w:rPr>
          <w:bCs/>
          <w:b/>
        </w:rPr>
        <w:t xml:space="preserve">Use:</w:t>
      </w:r>
      <w:r>
        <w:t xml:space="preserve"> </w:t>
      </w:r>
      <w:r>
        <w:t xml:space="preserve">Foundation for investigative and academic work on perinatal inequity in the Lowcountry and greater South Carolina</w:t>
      </w:r>
    </w:p>
    <w:p>
      <w:pPr>
        <w:pStyle w:val="BodyText"/>
      </w:pPr>
      <w:r>
        <w:rPr>
          <w:bCs/>
          <w:b/>
        </w:rPr>
        <w:t xml:space="preserve">This document covers Charleston County in depth. For the statewide picture — county rankings across all 46 counties, maternity care desert/OB unit closure data, maternal mortality review findings, and statistical regression analysis — see</w:t>
      </w:r>
      <w:r>
        <w:rPr>
          <w:bCs/>
          <w:b/>
        </w:rPr>
        <w:t xml:space="preserve"> </w:t>
      </w:r>
      <w:hyperlink r:id="rId20">
        <w:r>
          <w:rPr>
            <w:rStyle w:val="VerbatimChar"/>
            <w:bCs/>
            <w:b/>
          </w:rPr>
          <w:t xml:space="preserve">STATEWIDE_ANALYSIS.md</w:t>
        </w:r>
      </w:hyperlink>
      <w:r>
        <w:rPr>
          <w:bCs/>
          <w:b/>
        </w:rPr>
        <w:t xml:space="preserve">. For literature-backed evaluation of proposed solutions (including mixed/null RCT findings), see</w:t>
      </w:r>
      <w:r>
        <w:rPr>
          <w:bCs/>
          <w:b/>
        </w:rPr>
        <w:t xml:space="preserve"> </w:t>
      </w:r>
      <w:hyperlink r:id="rId21">
        <w:r>
          <w:rPr>
            <w:rStyle w:val="VerbatimChar"/>
            <w:bCs/>
            <w:b/>
          </w:rPr>
          <w:t xml:space="preserve">LITERATURE_BACKED_SOLUTIONS.md</w:t>
        </w:r>
      </w:hyperlink>
      <w:r>
        <w:rPr>
          <w:bCs/>
          <w:b/>
        </w:rPr>
        <w:t xml:space="preserve">. For a full change log of this audit, see</w:t>
      </w:r>
      <w:r>
        <w:rPr>
          <w:bCs/>
          <w:b/>
        </w:rPr>
        <w:t xml:space="preserve"> </w:t>
      </w:r>
      <w:hyperlink r:id="rId22">
        <w:r>
          <w:rPr>
            <w:rStyle w:val="VerbatimChar"/>
            <w:bCs/>
            <w:b/>
          </w:rPr>
          <w:t xml:space="preserve">AUDIT.md</w:t>
        </w:r>
      </w:hyperlink>
      <w:r>
        <w:rPr>
          <w:bCs/>
          <w:b/>
        </w:rPr>
        <w:t xml:space="preserve">.</w:t>
      </w:r>
    </w:p>
    <w:p>
      <w:r>
        <w:pict>
          <v:rect style="width:0;height:1.5pt" o:hralign="center" o:hrstd="t" o:hr="t"/>
        </w:pict>
      </w:r>
    </w:p>
    <w:bookmarkStart w:id="23" w:name="abstract"/>
    <w:p>
      <w:pPr>
        <w:pStyle w:val="Heading2"/>
      </w:pPr>
      <w:r>
        <w:t xml:space="preserve">Abstract</w:t>
      </w:r>
    </w:p>
    <w:p>
      <w:pPr>
        <w:pStyle w:val="FirstParagraph"/>
      </w:pPr>
      <w:r>
        <w:t xml:space="preserve">Charleston County presents a paradox familiar in American metropolitan health: aggregate county indicators—life expectancy 77.9 years, median household income $88,111—mask deep stratification in who survives and thrives in the first year of life. In 2024,</w:t>
      </w:r>
      <w:r>
        <w:t xml:space="preserve"> </w:t>
      </w:r>
      <w:r>
        <w:rPr>
          <w:bCs/>
          <w:b/>
        </w:rPr>
        <w:t xml:space="preserve">1 in 10 babies</w:t>
      </w:r>
      <w:r>
        <w:t xml:space="preserve"> </w:t>
      </w:r>
      <w:r>
        <w:t xml:space="preserve">(10.5%, 537 births) was born preterm, earning a</w:t>
      </w:r>
      <w:r>
        <w:t xml:space="preserve"> </w:t>
      </w:r>
      <w:r>
        <w:rPr>
          <w:bCs/>
          <w:b/>
        </w:rPr>
        <w:t xml:space="preserve">D+</w:t>
      </w:r>
      <w:r>
        <w:t xml:space="preserve"> </w:t>
      </w:r>
      <w:r>
        <w:t xml:space="preserve">on the March of Dimes report card. Low birthweight affects</w:t>
      </w:r>
      <w:r>
        <w:t xml:space="preserve"> </w:t>
      </w:r>
      <w:r>
        <w:rPr>
          <w:bCs/>
          <w:b/>
        </w:rPr>
        <w:t xml:space="preserve">9.1%</w:t>
      </w:r>
      <w:r>
        <w:t xml:space="preserve"> </w:t>
      </w:r>
      <w:r>
        <w:t xml:space="preserve">of births (2023), but the burden is not shared equally:</w:t>
      </w:r>
      <w:r>
        <w:t xml:space="preserve"> </w:t>
      </w:r>
      <w:r>
        <w:rPr>
          <w:bCs/>
          <w:b/>
        </w:rPr>
        <w:t xml:space="preserve">17.3%</w:t>
      </w:r>
      <w:r>
        <w:t xml:space="preserve"> </w:t>
      </w:r>
      <w:r>
        <w:t xml:space="preserve">of Black infants versus</w:t>
      </w:r>
      <w:r>
        <w:t xml:space="preserve"> </w:t>
      </w:r>
      <w:r>
        <w:rPr>
          <w:bCs/>
          <w:b/>
        </w:rPr>
        <w:t xml:space="preserve">6.1%</w:t>
      </w:r>
      <w:r>
        <w:t xml:space="preserve"> </w:t>
      </w:r>
      <w:r>
        <w:t xml:space="preserve">of White infants were low birthweight—a</w:t>
      </w:r>
      <w:r>
        <w:t xml:space="preserve"> </w:t>
      </w:r>
      <w:r>
        <w:rPr>
          <w:bCs/>
          <w:b/>
        </w:rPr>
        <w:t xml:space="preserve">2.8-fold disparity</w:t>
      </w:r>
      <w:r>
        <w:t xml:space="preserve">. Infant mortality rose nearly</w:t>
      </w:r>
      <w:r>
        <w:t xml:space="preserve"> </w:t>
      </w:r>
      <w:r>
        <w:rPr>
          <w:bCs/>
          <w:b/>
        </w:rPr>
        <w:t xml:space="preserve">48%</w:t>
      </w:r>
      <w:r>
        <w:t xml:space="preserve"> </w:t>
      </w:r>
      <w:r>
        <w:t xml:space="preserve">between 2013 and 2023 by PeriStats linked data, with Black infants dying at</w:t>
      </w:r>
      <w:r>
        <w:t xml:space="preserve"> </w:t>
      </w:r>
      <w:r>
        <w:rPr>
          <w:bCs/>
          <w:b/>
        </w:rPr>
        <w:t xml:space="preserve">13.7 per 1,000</w:t>
      </w:r>
      <w:r>
        <w:t xml:space="preserve"> </w:t>
      </w:r>
      <w:r>
        <w:t xml:space="preserve">live births compared with</w:t>
      </w:r>
      <w:r>
        <w:t xml:space="preserve"> </w:t>
      </w:r>
      <w:r>
        <w:rPr>
          <w:bCs/>
          <w:b/>
        </w:rPr>
        <w:t xml:space="preserve">5.3</w:t>
      </w:r>
      <w:r>
        <w:t xml:space="preserve"> </w:t>
      </w:r>
      <w:r>
        <w:t xml:space="preserve">for White infants (2021–2023 average). Roughly</w:t>
      </w:r>
      <w:r>
        <w:t xml:space="preserve"> </w:t>
      </w:r>
      <w:r>
        <w:rPr>
          <w:bCs/>
          <w:b/>
        </w:rPr>
        <w:t xml:space="preserve">14.5%</w:t>
      </w:r>
      <w:r>
        <w:t xml:space="preserve"> </w:t>
      </w:r>
      <w:r>
        <w:t xml:space="preserve">of births followed inadequate prenatal care;</w:t>
      </w:r>
      <w:r>
        <w:t xml:space="preserve"> </w:t>
      </w:r>
      <w:r>
        <w:rPr>
          <w:bCs/>
          <w:b/>
        </w:rPr>
        <w:t xml:space="preserve">50.3%</w:t>
      </w:r>
      <w:r>
        <w:t xml:space="preserve"> </w:t>
      </w:r>
      <w:r>
        <w:t xml:space="preserve">of births were paid by Medicaid; only</w:t>
      </w:r>
      <w:r>
        <w:t xml:space="preserve"> </w:t>
      </w:r>
      <w:r>
        <w:rPr>
          <w:bCs/>
          <w:b/>
        </w:rPr>
        <w:t xml:space="preserve">34.6%</w:t>
      </w:r>
      <w:r>
        <w:t xml:space="preserve"> </w:t>
      </w:r>
      <w:r>
        <w:t xml:space="preserve">of mothers received WIC during pregnancy despite widespread food and housing insecurity at the tract level. This document synthesizes every major factor domain—clinical outcomes, access, nutrition, insurance, environment, structural racism, and hospital capacity—with a citation for each quantitative claim.</w:t>
      </w:r>
    </w:p>
    <w:p>
      <w:r>
        <w:pict>
          <v:rect style="width:0;height:1.5pt" o:hralign="center" o:hrstd="t" o:hr="t"/>
        </w:pict>
      </w:r>
    </w:p>
    <w:bookmarkEnd w:id="23"/>
    <w:bookmarkStart w:id="28" w:name="introduction-and-scope"/>
    <w:p>
      <w:pPr>
        <w:pStyle w:val="Heading2"/>
      </w:pPr>
      <w:r>
        <w:t xml:space="preserve">1. Introduction and scope</w:t>
      </w:r>
    </w:p>
    <w:bookmarkStart w:id="24" w:name="why-neonatal-health-matters"/>
    <w:p>
      <w:pPr>
        <w:pStyle w:val="Heading3"/>
      </w:pPr>
      <w:r>
        <w:t xml:space="preserve">1.1 Why neonatal health matters</w:t>
      </w:r>
    </w:p>
    <w:p>
      <w:pPr>
        <w:pStyle w:val="FirstParagraph"/>
      </w:pPr>
      <w:r>
        <w:t xml:space="preserve">Neonatal mortality (death within 0–27 days) and infant mortality (death within the first year) are sentinel indicators of population health, health-system performance, and social equity (CDC, 2024). Preterm birth and low birthweight are the leading preventable drivers of neonatal death nationally, accounting for roughly</w:t>
      </w:r>
      <w:r>
        <w:t xml:space="preserve"> </w:t>
      </w:r>
      <w:r>
        <w:rPr>
          <w:bCs/>
          <w:b/>
        </w:rPr>
        <w:t xml:space="preserve">35.7%</w:t>
      </w:r>
      <w:r>
        <w:t xml:space="preserve"> </w:t>
      </w:r>
      <w:r>
        <w:t xml:space="preserve">of infant deaths in South Carolina when grouped as preterm-related (March of Dimes prematurity profile, 2024).</w:t>
      </w:r>
    </w:p>
    <w:p>
      <w:pPr>
        <w:pStyle w:val="BodyText"/>
      </w:pPr>
      <w:r>
        <w:t xml:space="preserve">Charleston is the</w:t>
      </w:r>
      <w:r>
        <w:t xml:space="preserve"> </w:t>
      </w:r>
      <w:r>
        <w:rPr>
          <w:bCs/>
          <w:b/>
        </w:rPr>
        <w:t xml:space="preserve">third-largest birthing county</w:t>
      </w:r>
      <w:r>
        <w:t xml:space="preserve"> </w:t>
      </w:r>
      <w:r>
        <w:t xml:space="preserve">in South Carolina by volume (~4,856 resident live births in 2023; ~5,094 in 2024) and hosts the state’s only</w:t>
      </w:r>
      <w:r>
        <w:t xml:space="preserve"> </w:t>
      </w:r>
      <w:r>
        <w:rPr>
          <w:bCs/>
          <w:b/>
        </w:rPr>
        <w:t xml:space="preserve">Level IV</w:t>
      </w:r>
      <w:r>
        <w:t xml:space="preserve"> </w:t>
      </w:r>
      <w:r>
        <w:t xml:space="preserve">neonatal intensive care unit (NICU) at MUSC Children’s Health. Yet regional prosperity coexists with tract-level poverty, housing cost burden, and racial gaps that predict worse birth outcomes.</w:t>
      </w:r>
    </w:p>
    <w:bookmarkEnd w:id="24"/>
    <w:bookmarkStart w:id="27" w:name="geography-and-population"/>
    <w:p>
      <w:pPr>
        <w:pStyle w:val="Heading3"/>
      </w:pPr>
      <w:r>
        <w:t xml:space="preserve">1.2 Geography and population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Live births (2023)</w:t>
            </w:r>
          </w:p>
        </w:tc>
        <w:tc>
          <w:tcPr/>
          <w:p>
            <w:pPr>
              <w:pStyle w:val="Compact"/>
              <w:jc w:val="left"/>
            </w:pPr>
            <w:r>
              <w:t xml:space="preserve">4,856</w:t>
            </w:r>
          </w:p>
        </w:tc>
        <w:tc>
          <w:tcPr/>
          <w:p>
            <w:pPr>
              <w:pStyle w:val="Compact"/>
              <w:jc w:val="left"/>
            </w:pPr>
            <w:r>
              <w:t xml:space="preserve">SC DPH VMS 2023, Table C-25 —</w:t>
            </w:r>
            <w:r>
              <w:t xml:space="preserve"> </w:t>
            </w:r>
            <w:hyperlink r:id="rId25">
              <w:r>
                <w:rPr>
                  <w:rStyle w:val="Hyperlink"/>
                </w:rPr>
                <w:t xml:space="preserve">PDF</w:t>
              </w:r>
            </w:hyperlink>
          </w:p>
        </w:tc>
      </w:tr>
      <w:tr>
        <w:tc>
          <w:tcPr/>
          <w:p>
            <w:pPr>
              <w:pStyle w:val="Compact"/>
              <w:jc w:val="left"/>
            </w:pPr>
            <w:r>
              <w:t xml:space="preserve">Live births (2024)</w:t>
            </w:r>
          </w:p>
        </w:tc>
        <w:tc>
          <w:tcPr/>
          <w:p>
            <w:pPr>
              <w:pStyle w:val="Compact"/>
              <w:jc w:val="left"/>
            </w:pPr>
            <w:r>
              <w:t xml:space="preserve">5,094</w:t>
            </w:r>
          </w:p>
        </w:tc>
        <w:tc>
          <w:tcPr/>
          <w:p>
            <w:pPr>
              <w:pStyle w:val="Compact"/>
              <w:jc w:val="left"/>
            </w:pPr>
            <w:r>
              <w:t xml:space="preserve">March of Dimes PeriStats —</w:t>
            </w:r>
            <w:r>
              <w:t xml:space="preserve"> </w:t>
            </w:r>
            <w:hyperlink r:id="rId26">
              <w:r>
                <w:rPr>
                  <w:rStyle w:val="Hyperlink"/>
                </w:rPr>
                <w:t xml:space="preserve">link</w:t>
              </w:r>
            </w:hyperlink>
          </w:p>
        </w:tc>
      </w:tr>
      <w:tr>
        <w:tc>
          <w:tcPr/>
          <w:p>
            <w:pPr>
              <w:pStyle w:val="Compact"/>
              <w:jc w:val="left"/>
            </w:pPr>
            <w:r>
              <w:t xml:space="preserve">Fertility rate (2024)</w:t>
            </w:r>
          </w:p>
        </w:tc>
        <w:tc>
          <w:tcPr/>
          <w:p>
            <w:pPr>
              <w:pStyle w:val="Compact"/>
              <w:jc w:val="left"/>
            </w:pPr>
            <w:r>
              <w:t xml:space="preserve">56.2 per 1,000 women 15–44</w:t>
            </w:r>
          </w:p>
        </w:tc>
        <w:tc>
          <w:tcPr/>
          <w:p>
            <w:pPr>
              <w:pStyle w:val="Compact"/>
              <w:jc w:val="left"/>
            </w:pPr>
            <w:r>
              <w:t xml:space="preserve">March of Dimes PeriStats (same URL)</w:t>
            </w:r>
          </w:p>
        </w:tc>
      </w:tr>
      <w:tr>
        <w:tc>
          <w:tcPr/>
          <w:p>
            <w:pPr>
              <w:pStyle w:val="Compact"/>
              <w:jc w:val="left"/>
            </w:pPr>
            <w:r>
              <w:t xml:space="preserve">Race/ethnicity of births (2022–2024 avg)</w:t>
            </w:r>
          </w:p>
        </w:tc>
        <w:tc>
          <w:tcPr/>
          <w:p>
            <w:pPr>
              <w:pStyle w:val="Compact"/>
              <w:jc w:val="left"/>
            </w:pPr>
            <w:r>
              <w:t xml:space="preserve">59.8% White, 19.9% Black, 15.8% Hispanic</w:t>
            </w:r>
          </w:p>
        </w:tc>
        <w:tc>
          <w:tcPr/>
          <w:p>
            <w:pPr>
              <w:pStyle w:val="Compact"/>
              <w:jc w:val="left"/>
            </w:pPr>
            <w:r>
              <w:t xml:space="preserve">March of Dimes PeriStats</w:t>
            </w:r>
          </w:p>
        </w:tc>
      </w:tr>
      <w:tr>
        <w:tc>
          <w:tcPr/>
          <w:p>
            <w:pPr>
              <w:pStyle w:val="Compact"/>
              <w:jc w:val="left"/>
            </w:pPr>
            <w:r>
              <w:t xml:space="preserve">Births occurring in county (2023, occurrence data)</w:t>
            </w:r>
          </w:p>
        </w:tc>
        <w:tc>
          <w:tcPr/>
          <w:p>
            <w:pPr>
              <w:pStyle w:val="Compact"/>
              <w:jc w:val="left"/>
            </w:pPr>
            <w:r>
              <w:t xml:space="preserve">7,521</w:t>
            </w:r>
          </w:p>
        </w:tc>
        <w:tc>
          <w:tcPr/>
          <w:p>
            <w:pPr>
              <w:pStyle w:val="Compact"/>
              <w:jc w:val="left"/>
            </w:pPr>
            <w:r>
              <w:t xml:space="preserve">VMS Table C-13/C-14 (includes non-residents)</w:t>
            </w:r>
          </w:p>
        </w:tc>
      </w:tr>
    </w:tbl>
    <w:p>
      <w:pPr>
        <w:pStyle w:val="BodyText"/>
      </w:pPr>
      <w:r>
        <w:t xml:space="preserve">Charleston functions as a</w:t>
      </w:r>
      <w:r>
        <w:t xml:space="preserve"> </w:t>
      </w:r>
      <w:r>
        <w:rPr>
          <w:bCs/>
          <w:b/>
        </w:rPr>
        <w:t xml:space="preserve">regional perinatal hub</w:t>
      </w:r>
      <w:r>
        <w:t xml:space="preserve">: more births occur in-county (7,521) than among residents (4,856), reflecting referrals from Berkeley, Dorchester, and rural coastal counties.</w:t>
      </w:r>
    </w:p>
    <w:p>
      <w:r>
        <w:pict>
          <v:rect style="width:0;height:1.5pt" o:hralign="center" o:hrstd="t" o:hr="t"/>
        </w:pict>
      </w:r>
    </w:p>
    <w:bookmarkEnd w:id="27"/>
    <w:bookmarkEnd w:id="28"/>
    <w:bookmarkStart w:id="38" w:name="core-birth-outcomes"/>
    <w:p>
      <w:pPr>
        <w:pStyle w:val="Heading2"/>
      </w:pPr>
      <w:r>
        <w:t xml:space="preserve">2. Core birth outcomes</w:t>
      </w:r>
    </w:p>
    <w:bookmarkStart w:id="31" w:name="preterm-birth"/>
    <w:p>
      <w:pPr>
        <w:pStyle w:val="Heading3"/>
      </w:pPr>
      <w:r>
        <w:t xml:space="preserve">2.1 Preterm birth</w:t>
      </w:r>
    </w:p>
    <w:p>
      <w:pPr>
        <w:pStyle w:val="FirstParagraph"/>
      </w:pPr>
      <w:r>
        <w:rPr>
          <w:bCs/>
          <w:b/>
        </w:rPr>
        <w:t xml:space="preserve">Definition:</w:t>
      </w:r>
      <w:r>
        <w:t xml:space="preserve"> </w:t>
      </w:r>
      <w:r>
        <w:t xml:space="preserve">Live birth before 37 completed weeks gestation (March of Dimes / NCHS).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Indicator</w:t>
            </w:r>
          </w:p>
        </w:tc>
        <w:tc>
          <w:tcPr/>
          <w:p>
            <w:pPr>
              <w:pStyle w:val="Compact"/>
              <w:jc w:val="left"/>
            </w:pPr>
            <w:r>
              <w:t xml:space="preserve">Charleston</w:t>
            </w:r>
          </w:p>
        </w:tc>
        <w:tc>
          <w:tcPr/>
          <w:p>
            <w:pPr>
              <w:pStyle w:val="Compact"/>
              <w:jc w:val="left"/>
            </w:pPr>
            <w:r>
              <w:t xml:space="preserve">SC</w:t>
            </w:r>
          </w:p>
        </w:tc>
        <w:tc>
          <w:tcPr/>
          <w:p>
            <w:pPr>
              <w:pStyle w:val="Compact"/>
              <w:jc w:val="left"/>
            </w:pPr>
            <w:r>
              <w:t xml:space="preserve">HP2030 target</w:t>
            </w:r>
          </w:p>
        </w:tc>
        <w:tc>
          <w:tcPr/>
          <w:p>
            <w:pPr>
              <w:pStyle w:val="Compact"/>
              <w:jc w:val="left"/>
            </w:pPr>
            <w:r>
              <w:t xml:space="preserve">Source</w:t>
            </w:r>
          </w:p>
        </w:tc>
      </w:tr>
      <w:tr>
        <w:tc>
          <w:tcPr/>
          <w:p>
            <w:pPr>
              <w:pStyle w:val="Compact"/>
              <w:jc w:val="left"/>
            </w:pPr>
            <w:r>
              <w:t xml:space="preserve">Preterm birth rate (2024)</w:t>
            </w:r>
          </w:p>
        </w:tc>
        <w:tc>
          <w:tcPr/>
          <w:p>
            <w:pPr>
              <w:pStyle w:val="Compact"/>
              <w:jc w:val="left"/>
            </w:pPr>
            <w:r>
              <w:rPr>
                <w:bCs/>
                <w:b/>
              </w:rPr>
              <w:t xml:space="preserve">10.5%</w:t>
            </w:r>
            <w:r>
              <w:t xml:space="preserve"> </w:t>
            </w:r>
            <w:r>
              <w:t xml:space="preserve">(537 births)</w:t>
            </w:r>
          </w:p>
        </w:tc>
        <w:tc>
          <w:tcPr/>
          <w:p>
            <w:pPr>
              <w:pStyle w:val="Compact"/>
              <w:jc w:val="left"/>
            </w:pPr>
            <w:r>
              <w:t xml:space="preserve">11.6%</w:t>
            </w:r>
          </w:p>
        </w:tc>
        <w:tc>
          <w:tcPr/>
          <w:p>
            <w:pPr>
              <w:pStyle w:val="Compact"/>
              <w:jc w:val="left"/>
            </w:pPr>
            <w:r>
              <w:t xml:space="preserve">9.4%</w:t>
            </w:r>
          </w:p>
        </w:tc>
        <w:tc>
          <w:tcPr/>
          <w:p>
            <w:pPr>
              <w:pStyle w:val="Compact"/>
              <w:jc w:val="left"/>
            </w:pPr>
            <w:hyperlink r:id="rId29">
              <w:r>
                <w:rPr>
                  <w:rStyle w:val="Hyperlink"/>
                </w:rPr>
                <w:t xml:space="preserve">March of Dimes Report Card</w:t>
              </w:r>
            </w:hyperlink>
          </w:p>
        </w:tc>
      </w:tr>
      <w:tr>
        <w:tc>
          <w:tcPr/>
          <w:p>
            <w:pPr>
              <w:pStyle w:val="Compact"/>
              <w:jc w:val="left"/>
            </w:pPr>
            <w:r>
              <w:t xml:space="preserve">Report card grade</w:t>
            </w:r>
          </w:p>
        </w:tc>
        <w:tc>
          <w:tcPr/>
          <w:p>
            <w:pPr>
              <w:pStyle w:val="Compact"/>
              <w:jc w:val="left"/>
            </w:pPr>
            <w:r>
              <w:rPr>
                <w:bCs/>
                <w:b/>
              </w:rPr>
              <w:t xml:space="preserve">D+</w:t>
            </w:r>
          </w:p>
        </w:tc>
        <w:tc>
          <w:tcPr/>
          <w:p>
            <w:pPr>
              <w:pStyle w:val="Compact"/>
              <w:jc w:val="left"/>
            </w:pPr>
            <w:r>
              <w:t xml:space="preserve">F (43rd of 52)</w:t>
            </w:r>
          </w:p>
        </w:tc>
        <w:tc>
          <w:tcPr/>
          <w:p>
            <w:pPr>
              <w:pStyle w:val="Compact"/>
              <w:jc w:val="left"/>
            </w:pPr>
            <w:r>
              <w:t xml:space="preserve">—</w:t>
            </w:r>
          </w:p>
        </w:tc>
        <w:tc>
          <w:tcPr/>
          <w:p>
            <w:pPr>
              <w:pStyle w:val="Compact"/>
              <w:jc w:val="left"/>
            </w:pPr>
            <w:r>
              <w:t xml:space="preserve">Same</w:t>
            </w:r>
          </w:p>
        </w:tc>
      </w:tr>
      <w:tr>
        <w:tc>
          <w:tcPr/>
          <w:p>
            <w:pPr>
              <w:pStyle w:val="Compact"/>
              <w:jc w:val="left"/>
            </w:pPr>
            <w:r>
              <w:t xml:space="preserve">Very preterm (&lt;32 wk, 2024)</w:t>
            </w:r>
          </w:p>
        </w:tc>
        <w:tc>
          <w:tcPr/>
          <w:p>
            <w:pPr>
              <w:pStyle w:val="Compact"/>
              <w:jc w:val="left"/>
            </w:pPr>
            <w:r>
              <w:t xml:space="preserve">1.6%</w:t>
            </w:r>
          </w:p>
        </w:tc>
        <w:tc>
          <w:tcPr/>
          <w:p>
            <w:pPr>
              <w:pStyle w:val="Compact"/>
              <w:jc w:val="left"/>
            </w:pPr>
            <w:r>
              <w:t xml:space="preserve">1.8% (state)</w:t>
            </w:r>
          </w:p>
        </w:tc>
        <w:tc>
          <w:tcPr/>
          <w:p>
            <w:pPr>
              <w:pStyle w:val="Compact"/>
              <w:jc w:val="left"/>
            </w:pPr>
            <w:r>
              <w:t xml:space="preserve">—</w:t>
            </w:r>
          </w:p>
        </w:tc>
        <w:tc>
          <w:tcPr/>
          <w:p>
            <w:pPr>
              <w:pStyle w:val="Compact"/>
              <w:jc w:val="left"/>
            </w:pPr>
            <w:hyperlink r:id="rId30">
              <w:r>
                <w:rPr>
                  <w:rStyle w:val="Hyperlink"/>
                </w:rPr>
                <w:t xml:space="preserve">PeriStats preterm profile</w:t>
              </w:r>
            </w:hyperlink>
          </w:p>
        </w:tc>
      </w:tr>
      <w:tr>
        <w:tc>
          <w:tcPr/>
          <w:p>
            <w:pPr>
              <w:pStyle w:val="Compact"/>
              <w:jc w:val="left"/>
            </w:pPr>
            <w:r>
              <w:t xml:space="preserve">Moderately preterm (32–36 wk)</w:t>
            </w:r>
          </w:p>
        </w:tc>
        <w:tc>
          <w:tcPr/>
          <w:p>
            <w:pPr>
              <w:pStyle w:val="Compact"/>
              <w:jc w:val="left"/>
            </w:pPr>
            <w:r>
              <w:t xml:space="preserve">9.0%</w:t>
            </w:r>
          </w:p>
        </w:tc>
        <w:tc>
          <w:tcPr/>
          <w:p>
            <w:pPr>
              <w:pStyle w:val="Compact"/>
              <w:jc w:val="left"/>
            </w:pPr>
            <w:r>
              <w:t xml:space="preserve">9.9% (state)</w:t>
            </w:r>
          </w:p>
        </w:tc>
        <w:tc>
          <w:tcPr/>
          <w:p>
            <w:pPr>
              <w:pStyle w:val="Compact"/>
              <w:jc w:val="left"/>
            </w:pPr>
            <w:r>
              <w:t xml:space="preserve">—</w:t>
            </w:r>
          </w:p>
        </w:tc>
        <w:tc>
          <w:tcPr/>
          <w:p>
            <w:pPr>
              <w:pStyle w:val="Compact"/>
              <w:jc w:val="left"/>
            </w:pPr>
            <w:r>
              <w:t xml:space="preserve">Same</w:t>
            </w:r>
          </w:p>
        </w:tc>
      </w:tr>
    </w:tbl>
    <w:p>
      <w:pPr>
        <w:pStyle w:val="BodyText"/>
      </w:pPr>
      <w:r>
        <w:rPr>
          <w:bCs/>
          <w:b/>
        </w:rPr>
        <w:t xml:space="preserve">Interpretation:</w:t>
      </w:r>
      <w:r>
        <w:t xml:space="preserve"> </w:t>
      </w:r>
      <w:r>
        <w:t xml:space="preserve">Charleston performs</w:t>
      </w:r>
      <w:r>
        <w:t xml:space="preserve"> </w:t>
      </w:r>
      <w:r>
        <w:rPr>
          <w:bCs/>
          <w:b/>
        </w:rPr>
        <w:t xml:space="preserve">better than the state</w:t>
      </w:r>
      <w:r>
        <w:t xml:space="preserve"> </w:t>
      </w:r>
      <w:r>
        <w:t xml:space="preserve">on preterm birth but</w:t>
      </w:r>
      <w:r>
        <w:t xml:space="preserve"> </w:t>
      </w:r>
      <w:r>
        <w:rPr>
          <w:bCs/>
          <w:b/>
        </w:rPr>
        <w:t xml:space="preserve">fails the Healthy People 2030 target</w:t>
      </w:r>
      <w:r>
        <w:t xml:space="preserve"> </w:t>
      </w:r>
      <w:r>
        <w:t xml:space="preserve">of 9.4%. At current volume (~5,100 births/year), each 1-percentage-point reduction in preterm birth would spare roughly</w:t>
      </w:r>
      <w:r>
        <w:t xml:space="preserve"> </w:t>
      </w:r>
      <w:r>
        <w:rPr>
          <w:bCs/>
          <w:b/>
        </w:rPr>
        <w:t xml:space="preserve">51</w:t>
      </w:r>
      <w:r>
        <w:t xml:space="preserve"> </w:t>
      </w:r>
      <w:r>
        <w:t xml:space="preserve">babies from prematurity-associated morbidity annually.</w:t>
      </w:r>
    </w:p>
    <w:bookmarkEnd w:id="31"/>
    <w:bookmarkStart w:id="33" w:name="low-birthweight-lbw"/>
    <w:p>
      <w:pPr>
        <w:pStyle w:val="Heading3"/>
      </w:pPr>
      <w:r>
        <w:t xml:space="preserve">2.2 Low birthweight (LBW)</w:t>
      </w:r>
    </w:p>
    <w:p>
      <w:pPr>
        <w:pStyle w:val="FirstParagraph"/>
      </w:pPr>
      <w:r>
        <w:rPr>
          <w:bCs/>
          <w:b/>
        </w:rPr>
        <w:t xml:space="preserve">Definition:</w:t>
      </w:r>
      <w:r>
        <w:t xml:space="preserve"> </w:t>
      </w:r>
      <w:r>
        <w:t xml:space="preserve">Birthweight &lt; 2,500 grams (5 lb 8 oz).</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LBW count</w:t>
            </w:r>
          </w:p>
        </w:tc>
        <w:tc>
          <w:tcPr/>
          <w:p>
            <w:pPr>
              <w:pStyle w:val="Compact"/>
              <w:jc w:val="left"/>
            </w:pPr>
            <w:r>
              <w:t xml:space="preserve">LBW %</w:t>
            </w:r>
          </w:p>
        </w:tc>
        <w:tc>
          <w:tcPr/>
          <w:p>
            <w:pPr>
              <w:pStyle w:val="Compact"/>
              <w:jc w:val="left"/>
            </w:pPr>
            <w:r>
              <w:t xml:space="preserve">Source</w:t>
            </w:r>
          </w:p>
        </w:tc>
      </w:tr>
      <w:tr>
        <w:tc>
          <w:tcPr/>
          <w:p>
            <w:pPr>
              <w:pStyle w:val="Compact"/>
              <w:jc w:val="left"/>
            </w:pPr>
            <w:r>
              <w:t xml:space="preserve">All births (2023)</w:t>
            </w:r>
          </w:p>
        </w:tc>
        <w:tc>
          <w:tcPr/>
          <w:p>
            <w:pPr>
              <w:pStyle w:val="Compact"/>
              <w:jc w:val="left"/>
            </w:pPr>
            <w:r>
              <w:t xml:space="preserve">442 / 4,856</w:t>
            </w:r>
          </w:p>
        </w:tc>
        <w:tc>
          <w:tcPr/>
          <w:p>
            <w:pPr>
              <w:pStyle w:val="Compact"/>
              <w:jc w:val="left"/>
            </w:pPr>
            <w:r>
              <w:rPr>
                <w:bCs/>
                <w:b/>
              </w:rPr>
              <w:t xml:space="preserve">9.1%</w:t>
            </w:r>
          </w:p>
        </w:tc>
        <w:tc>
          <w:tcPr/>
          <w:p>
            <w:pPr>
              <w:pStyle w:val="Compact"/>
              <w:jc w:val="left"/>
            </w:pPr>
            <w:r>
              <w:t xml:space="preserve">VMS Table C-27</w:t>
            </w:r>
          </w:p>
        </w:tc>
      </w:tr>
      <w:tr>
        <w:tc>
          <w:tcPr/>
          <w:p>
            <w:pPr>
              <w:pStyle w:val="Compact"/>
              <w:jc w:val="left"/>
            </w:pPr>
            <w:r>
              <w:t xml:space="preserve">Non-Hispanic White</w:t>
            </w:r>
          </w:p>
        </w:tc>
        <w:tc>
          <w:tcPr/>
          <w:p>
            <w:pPr>
              <w:pStyle w:val="Compact"/>
              <w:jc w:val="left"/>
            </w:pPr>
            <w:r>
              <w:t xml:space="preserve">178 / 2,901</w:t>
            </w:r>
          </w:p>
        </w:tc>
        <w:tc>
          <w:tcPr/>
          <w:p>
            <w:pPr>
              <w:pStyle w:val="Compact"/>
              <w:jc w:val="left"/>
            </w:pPr>
            <w:r>
              <w:rPr>
                <w:bCs/>
                <w:b/>
              </w:rPr>
              <w:t xml:space="preserve">6.1%</w:t>
            </w:r>
          </w:p>
        </w:tc>
        <w:tc>
          <w:tcPr/>
          <w:p>
            <w:pPr>
              <w:pStyle w:val="Compact"/>
              <w:jc w:val="left"/>
            </w:pPr>
            <w:r>
              <w:t xml:space="preserve">VMS Table C-27</w:t>
            </w:r>
          </w:p>
        </w:tc>
      </w:tr>
      <w:tr>
        <w:tc>
          <w:tcPr/>
          <w:p>
            <w:pPr>
              <w:pStyle w:val="Compact"/>
              <w:jc w:val="left"/>
            </w:pPr>
            <w:r>
              <w:t xml:space="preserve">Non-Hispanic Black</w:t>
            </w:r>
          </w:p>
        </w:tc>
        <w:tc>
          <w:tcPr/>
          <w:p>
            <w:pPr>
              <w:pStyle w:val="Compact"/>
              <w:jc w:val="left"/>
            </w:pPr>
            <w:r>
              <w:t xml:space="preserve">200 / 1,154</w:t>
            </w:r>
          </w:p>
        </w:tc>
        <w:tc>
          <w:tcPr/>
          <w:p>
            <w:pPr>
              <w:pStyle w:val="Compact"/>
              <w:jc w:val="left"/>
            </w:pPr>
            <w:r>
              <w:rPr>
                <w:bCs/>
                <w:b/>
              </w:rPr>
              <w:t xml:space="preserve">17.3%</w:t>
            </w:r>
          </w:p>
        </w:tc>
        <w:tc>
          <w:tcPr/>
          <w:p>
            <w:pPr>
              <w:pStyle w:val="Compact"/>
              <w:jc w:val="left"/>
            </w:pPr>
            <w:r>
              <w:t xml:space="preserve">VMS Table C-27</w:t>
            </w:r>
          </w:p>
        </w:tc>
      </w:tr>
      <w:tr>
        <w:tc>
          <w:tcPr/>
          <w:p>
            <w:pPr>
              <w:pStyle w:val="Compact"/>
              <w:jc w:val="left"/>
            </w:pPr>
            <w:r>
              <w:t xml:space="preserve">Hispanic</w:t>
            </w:r>
          </w:p>
        </w:tc>
        <w:tc>
          <w:tcPr/>
          <w:p>
            <w:pPr>
              <w:pStyle w:val="Compact"/>
              <w:jc w:val="left"/>
            </w:pPr>
            <w:r>
              <w:t xml:space="preserve">64 / 801</w:t>
            </w:r>
          </w:p>
        </w:tc>
        <w:tc>
          <w:tcPr/>
          <w:p>
            <w:pPr>
              <w:pStyle w:val="Compact"/>
              <w:jc w:val="left"/>
            </w:pPr>
            <w:r>
              <w:rPr>
                <w:bCs/>
                <w:b/>
              </w:rPr>
              <w:t xml:space="preserve">8.0%</w:t>
            </w:r>
          </w:p>
        </w:tc>
        <w:tc>
          <w:tcPr/>
          <w:p>
            <w:pPr>
              <w:pStyle w:val="Compact"/>
              <w:jc w:val="left"/>
            </w:pPr>
            <w:r>
              <w:t xml:space="preserve">VMS Table C-27</w:t>
            </w:r>
          </w:p>
        </w:tc>
      </w:tr>
      <w:tr>
        <w:tc>
          <w:tcPr/>
          <w:p>
            <w:pPr>
              <w:pStyle w:val="Compact"/>
              <w:jc w:val="left"/>
            </w:pPr>
            <w:r>
              <w:t xml:space="preserve">Very low birthweight (&lt;1,500 g)</w:t>
            </w:r>
          </w:p>
        </w:tc>
        <w:tc>
          <w:tcPr/>
          <w:p>
            <w:pPr>
              <w:pStyle w:val="Compact"/>
              <w:jc w:val="left"/>
            </w:pPr>
            <w:r>
              <w:t xml:space="preserve">48</w:t>
            </w:r>
          </w:p>
        </w:tc>
        <w:tc>
          <w:tcPr/>
          <w:p>
            <w:pPr>
              <w:pStyle w:val="Compact"/>
              <w:jc w:val="left"/>
            </w:pPr>
            <w:r>
              <w:rPr>
                <w:bCs/>
                <w:b/>
              </w:rPr>
              <w:t xml:space="preserve">1.0%</w:t>
            </w:r>
          </w:p>
        </w:tc>
        <w:tc>
          <w:tcPr/>
          <w:p>
            <w:pPr>
              <w:pStyle w:val="Compact"/>
              <w:jc w:val="left"/>
            </w:pPr>
            <w:r>
              <w:t xml:space="preserve">VMS Table C-29</w:t>
            </w:r>
          </w:p>
        </w:tc>
      </w:tr>
    </w:tbl>
    <w:p>
      <w:pPr>
        <w:pStyle w:val="BodyText"/>
      </w:pPr>
      <w:r>
        <w:t xml:space="preserve">March of Dimes reports</w:t>
      </w:r>
      <w:r>
        <w:t xml:space="preserve"> </w:t>
      </w:r>
      <w:r>
        <w:rPr>
          <w:bCs/>
          <w:b/>
        </w:rPr>
        <w:t xml:space="preserve">9.2%</w:t>
      </w:r>
      <w:r>
        <w:t xml:space="preserve"> </w:t>
      </w:r>
      <w:r>
        <w:t xml:space="preserve">LBW for 2024 and a</w:t>
      </w:r>
      <w:r>
        <w:t xml:space="preserve"> </w:t>
      </w:r>
      <w:r>
        <w:rPr>
          <w:bCs/>
          <w:b/>
        </w:rPr>
        <w:t xml:space="preserve">Black/White ratio of ~2.9</w:t>
      </w:r>
      <w:r>
        <w:t xml:space="preserve"> </w:t>
      </w:r>
      <w:r>
        <w:t xml:space="preserve">(18.9% vs 6.6%, 2021–2023 average) —</w:t>
      </w:r>
      <w:r>
        <w:t xml:space="preserve"> </w:t>
      </w:r>
      <w:hyperlink r:id="rId32">
        <w:r>
          <w:rPr>
            <w:rStyle w:val="Hyperlink"/>
          </w:rPr>
          <w:t xml:space="preserve">PeriStats birthweight</w:t>
        </w:r>
      </w:hyperlink>
      <w:r>
        <w:t xml:space="preserve">.</w:t>
      </w:r>
    </w:p>
    <w:p>
      <w:pPr>
        <w:pStyle w:val="BodyText"/>
      </w:pPr>
      <w:r>
        <w:rPr>
          <w:bCs/>
          <w:b/>
        </w:rPr>
        <w:t xml:space="preserve">Equity finding:</w:t>
      </w:r>
      <w:r>
        <w:t xml:space="preserve"> </w:t>
      </w:r>
      <w:r>
        <w:t xml:space="preserve">Black infants are approximately</w:t>
      </w:r>
      <w:r>
        <w:t xml:space="preserve"> </w:t>
      </w:r>
      <w:r>
        <w:rPr>
          <w:bCs/>
          <w:b/>
        </w:rPr>
        <w:t xml:space="preserve">three times</w:t>
      </w:r>
      <w:r>
        <w:t xml:space="preserve"> </w:t>
      </w:r>
      <w:r>
        <w:t xml:space="preserve">as likely to be born low birthweight. LBW overlaps with preterm birth but also reflects</w:t>
      </w:r>
      <w:r>
        <w:t xml:space="preserve"> </w:t>
      </w:r>
      <w:r>
        <w:rPr>
          <w:bCs/>
          <w:b/>
        </w:rPr>
        <w:t xml:space="preserve">intrauterine growth restriction</w:t>
      </w:r>
      <w:r>
        <w:t xml:space="preserve">, chronic maternal stress, hypertension, and nutrition deficits.</w:t>
      </w:r>
    </w:p>
    <w:bookmarkEnd w:id="33"/>
    <w:bookmarkStart w:id="36" w:name="infant-mortality"/>
    <w:p>
      <w:pPr>
        <w:pStyle w:val="Heading3"/>
      </w:pPr>
      <w:r>
        <w:t xml:space="preserve">2.3 Infant mortality</w:t>
      </w:r>
    </w:p>
    <w:p>
      <w:pPr>
        <w:pStyle w:val="FirstParagraph"/>
      </w:pPr>
      <w:r>
        <w:rPr>
          <w:bCs/>
          <w:b/>
        </w:rPr>
        <w:t xml:space="preserve">Definition:</w:t>
      </w:r>
      <w:r>
        <w:t xml:space="preserve"> </w:t>
      </w:r>
      <w:r>
        <w:t xml:space="preserve">Death before the first birthday per 1,000 live births.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Measure</w:t>
            </w:r>
          </w:p>
        </w:tc>
        <w:tc>
          <w:tcPr/>
          <w:p>
            <w:pPr>
              <w:pStyle w:val="Compact"/>
              <w:jc w:val="left"/>
            </w:pPr>
            <w:r>
              <w:t xml:space="preserve">Charleston</w:t>
            </w:r>
          </w:p>
        </w:tc>
        <w:tc>
          <w:tcPr/>
          <w:p>
            <w:pPr>
              <w:pStyle w:val="Compact"/>
              <w:jc w:val="left"/>
            </w:pPr>
            <w:r>
              <w:t xml:space="preserve">Notes</w:t>
            </w:r>
          </w:p>
        </w:tc>
        <w:tc>
          <w:tcPr/>
          <w:p>
            <w:pPr>
              <w:pStyle w:val="Compact"/>
              <w:jc w:val="left"/>
            </w:pPr>
            <w:r>
              <w:t xml:space="preserve">Source</w:t>
            </w:r>
          </w:p>
        </w:tc>
      </w:tr>
      <w:tr>
        <w:tc>
          <w:tcPr/>
          <w:p>
            <w:pPr>
              <w:pStyle w:val="Compact"/>
              <w:jc w:val="left"/>
            </w:pPr>
            <w:r>
              <w:t xml:space="preserve">IMR 2023 (VMS residence)</w:t>
            </w:r>
          </w:p>
        </w:tc>
        <w:tc>
          <w:tcPr/>
          <w:p>
            <w:pPr>
              <w:pStyle w:val="Compact"/>
              <w:jc w:val="left"/>
            </w:pPr>
            <w:r>
              <w:rPr>
                <w:bCs/>
                <w:b/>
              </w:rPr>
              <w:t xml:space="preserve">4.3</w:t>
            </w:r>
            <w:r>
              <w:t xml:space="preserve"> </w:t>
            </w:r>
            <w:r>
              <w:t xml:space="preserve">(14 deaths)</w:t>
            </w:r>
          </w:p>
        </w:tc>
        <w:tc>
          <w:tcPr/>
          <w:p>
            <w:pPr>
              <w:pStyle w:val="Compact"/>
              <w:jc w:val="left"/>
            </w:pPr>
            <w:r>
              <w:t xml:space="preserve">County of mother’s residence</w:t>
            </w:r>
          </w:p>
        </w:tc>
        <w:tc>
          <w:tcPr/>
          <w:p>
            <w:pPr>
              <w:pStyle w:val="Compact"/>
              <w:jc w:val="left"/>
            </w:pPr>
            <w:r>
              <w:t xml:space="preserve">VMS Table F-3</w:t>
            </w:r>
          </w:p>
        </w:tc>
      </w:tr>
      <w:tr>
        <w:tc>
          <w:tcPr/>
          <w:p>
            <w:pPr>
              <w:pStyle w:val="Compact"/>
              <w:jc w:val="left"/>
            </w:pPr>
            <w:r>
              <w:t xml:space="preserve">IMR 2021–2023 (VMS)</w:t>
            </w:r>
          </w:p>
        </w:tc>
        <w:tc>
          <w:tcPr/>
          <w:p>
            <w:pPr>
              <w:pStyle w:val="Compact"/>
              <w:jc w:val="left"/>
            </w:pPr>
            <w:r>
              <w:rPr>
                <w:bCs/>
                <w:b/>
              </w:rPr>
              <w:t xml:space="preserve">5.2</w:t>
            </w:r>
            <w:r>
              <w:t xml:space="preserve"> </w:t>
            </w:r>
            <w:r>
              <w:t xml:space="preserve">(53 deaths)</w:t>
            </w:r>
          </w:p>
        </w:tc>
        <w:tc>
          <w:tcPr/>
          <w:p>
            <w:pPr>
              <w:pStyle w:val="Compact"/>
              <w:jc w:val="left"/>
            </w:pPr>
            <w:r>
              <w:t xml:space="preserve">3-year average</w:t>
            </w:r>
          </w:p>
        </w:tc>
        <w:tc>
          <w:tcPr/>
          <w:p>
            <w:pPr>
              <w:pStyle w:val="Compact"/>
              <w:jc w:val="left"/>
            </w:pPr>
            <w:r>
              <w:t xml:space="preserve">VMS Table F-3</w:t>
            </w:r>
          </w:p>
        </w:tc>
      </w:tr>
      <w:tr>
        <w:tc>
          <w:tcPr/>
          <w:p>
            <w:pPr>
              <w:pStyle w:val="Compact"/>
              <w:jc w:val="left"/>
            </w:pPr>
            <w:r>
              <w:t xml:space="preserve">IMR 2023 (PeriStats linked)</w:t>
            </w:r>
          </w:p>
        </w:tc>
        <w:tc>
          <w:tcPr/>
          <w:p>
            <w:pPr>
              <w:pStyle w:val="Compact"/>
              <w:jc w:val="left"/>
            </w:pPr>
            <w:r>
              <w:rPr>
                <w:bCs/>
                <w:b/>
              </w:rPr>
              <w:t xml:space="preserve">6.2</w:t>
            </w:r>
            <w:r>
              <w:t xml:space="preserve"> </w:t>
            </w:r>
            <w:r>
              <w:t xml:space="preserve">(30 deaths)</w:t>
            </w:r>
          </w:p>
        </w:tc>
        <w:tc>
          <w:tcPr/>
          <w:p>
            <w:pPr>
              <w:pStyle w:val="Compact"/>
              <w:jc w:val="left"/>
            </w:pPr>
            <w:r>
              <w:t xml:space="preserve">Linked birth/infant death</w:t>
            </w:r>
          </w:p>
        </w:tc>
        <w:tc>
          <w:tcPr/>
          <w:p>
            <w:pPr>
              <w:pStyle w:val="Compact"/>
              <w:jc w:val="left"/>
            </w:pPr>
            <w:hyperlink r:id="rId34">
              <w:r>
                <w:rPr>
                  <w:rStyle w:val="Hyperlink"/>
                </w:rPr>
                <w:t xml:space="preserve">PeriStats mortality</w:t>
              </w:r>
            </w:hyperlink>
          </w:p>
        </w:tc>
      </w:tr>
      <w:tr>
        <w:tc>
          <w:tcPr/>
          <w:p>
            <w:pPr>
              <w:pStyle w:val="Compact"/>
              <w:jc w:val="left"/>
            </w:pPr>
            <w:r>
              <w:t xml:space="preserve">Trend 2013–2023</w:t>
            </w:r>
          </w:p>
        </w:tc>
        <w:tc>
          <w:tcPr/>
          <w:p>
            <w:pPr>
              <w:pStyle w:val="Compact"/>
              <w:jc w:val="left"/>
            </w:pPr>
            <w:r>
              <w:rPr>
                <w:bCs/>
                <w:b/>
              </w:rPr>
              <w:t xml:space="preserve">+48%</w:t>
            </w:r>
            <w:r>
              <w:t xml:space="preserve"> </w:t>
            </w:r>
            <w:r>
              <w:t xml:space="preserve">increase</w:t>
            </w:r>
          </w:p>
        </w:tc>
        <w:tc>
          <w:tcPr/>
          <w:p>
            <w:pPr>
              <w:pStyle w:val="Compact"/>
              <w:jc w:val="left"/>
            </w:pPr>
            <w:r>
              <w:t xml:space="preserve">PeriStats</w:t>
            </w:r>
          </w:p>
        </w:tc>
        <w:tc>
          <w:tcPr/>
          <w:p>
            <w:pPr>
              <w:pStyle w:val="Compact"/>
              <w:jc w:val="left"/>
            </w:pPr>
            <w:r>
              <w:t xml:space="preserve">Same</w:t>
            </w:r>
          </w:p>
        </w:tc>
      </w:tr>
      <w:tr>
        <w:tc>
          <w:tcPr/>
          <w:p>
            <w:pPr>
              <w:pStyle w:val="Compact"/>
              <w:jc w:val="left"/>
            </w:pPr>
            <w:r>
              <w:t xml:space="preserve">IMR Black (2021–2023 avg)</w:t>
            </w:r>
          </w:p>
        </w:tc>
        <w:tc>
          <w:tcPr/>
          <w:p>
            <w:pPr>
              <w:pStyle w:val="Compact"/>
              <w:jc w:val="left"/>
            </w:pPr>
            <w:r>
              <w:rPr>
                <w:bCs/>
                <w:b/>
              </w:rPr>
              <w:t xml:space="preserve">13.7</w:t>
            </w:r>
          </w:p>
        </w:tc>
        <w:tc>
          <w:tcPr/>
          <w:p>
            <w:pPr>
              <w:pStyle w:val="Compact"/>
              <w:jc w:val="left"/>
            </w:pPr>
            <w:r>
              <w:t xml:space="preserve">PeriStats</w:t>
            </w:r>
          </w:p>
        </w:tc>
        <w:tc>
          <w:tcPr/>
          <w:p>
            <w:pPr>
              <w:pStyle w:val="Compact"/>
              <w:jc w:val="left"/>
            </w:pPr>
            <w:hyperlink r:id="rId35">
              <w:r>
                <w:rPr>
                  <w:rStyle w:val="Hyperlink"/>
                </w:rPr>
                <w:t xml:space="preserve">Prenatal care / mortality by race</w:t>
              </w:r>
            </w:hyperlink>
          </w:p>
        </w:tc>
      </w:tr>
      <w:tr>
        <w:tc>
          <w:tcPr/>
          <w:p>
            <w:pPr>
              <w:pStyle w:val="Compact"/>
              <w:jc w:val="left"/>
            </w:pPr>
            <w:r>
              <w:t xml:space="preserve">IMR White (2021–2023 avg)</w:t>
            </w:r>
          </w:p>
        </w:tc>
        <w:tc>
          <w:tcPr/>
          <w:p>
            <w:pPr>
              <w:pStyle w:val="Compact"/>
              <w:jc w:val="left"/>
            </w:pPr>
            <w:r>
              <w:rPr>
                <w:bCs/>
                <w:b/>
              </w:rPr>
              <w:t xml:space="preserve">5.3</w:t>
            </w:r>
          </w:p>
        </w:tc>
        <w:tc>
          <w:tcPr/>
          <w:p>
            <w:pPr>
              <w:pStyle w:val="Compact"/>
              <w:jc w:val="left"/>
            </w:pPr>
            <w:r>
              <w:t xml:space="preserve">PeriStats</w:t>
            </w:r>
          </w:p>
        </w:tc>
        <w:tc>
          <w:tcPr/>
          <w:p>
            <w:pPr>
              <w:pStyle w:val="Compact"/>
              <w:jc w:val="left"/>
            </w:pPr>
            <w:r>
              <w:t xml:space="preserve">Same</w:t>
            </w:r>
          </w:p>
        </w:tc>
      </w:tr>
      <w:tr>
        <w:tc>
          <w:tcPr/>
          <w:p>
            <w:pPr>
              <w:pStyle w:val="Compact"/>
              <w:jc w:val="left"/>
            </w:pPr>
            <w:r>
              <w:t xml:space="preserve">IMR Hispanic (2021–2023 avg)</w:t>
            </w:r>
          </w:p>
        </w:tc>
        <w:tc>
          <w:tcPr/>
          <w:p>
            <w:pPr>
              <w:pStyle w:val="Compact"/>
              <w:jc w:val="left"/>
            </w:pPr>
            <w:r>
              <w:rPr>
                <w:bCs/>
                <w:b/>
              </w:rPr>
              <w:t xml:space="preserve">4.7</w:t>
            </w:r>
          </w:p>
        </w:tc>
        <w:tc>
          <w:tcPr/>
          <w:p>
            <w:pPr>
              <w:pStyle w:val="Compact"/>
              <w:jc w:val="left"/>
            </w:pPr>
            <w:r>
              <w:t xml:space="preserve">PeriStats</w:t>
            </w:r>
          </w:p>
        </w:tc>
        <w:tc>
          <w:tcPr/>
          <w:p>
            <w:pPr>
              <w:pStyle w:val="Compact"/>
              <w:jc w:val="left"/>
            </w:pPr>
            <w:r>
              <w:t xml:space="preserve">Same</w:t>
            </w:r>
          </w:p>
        </w:tc>
      </w:tr>
      <w:tr>
        <w:tc>
          <w:tcPr/>
          <w:p>
            <w:pPr>
              <w:pStyle w:val="Compact"/>
              <w:jc w:val="left"/>
            </w:pPr>
            <w:r>
              <w:t xml:space="preserve">SC state IMR (2023)</w:t>
            </w:r>
          </w:p>
        </w:tc>
        <w:tc>
          <w:tcPr/>
          <w:p>
            <w:pPr>
              <w:pStyle w:val="Compact"/>
              <w:jc w:val="left"/>
            </w:pPr>
            <w:r>
              <w:rPr>
                <w:bCs/>
                <w:b/>
              </w:rPr>
              <w:t xml:space="preserve">7.0</w:t>
            </w:r>
            <w:r>
              <w:t xml:space="preserve"> </w:t>
            </w:r>
            <w:r>
              <w:t xml:space="preserve">(402 deaths)</w:t>
            </w:r>
          </w:p>
        </w:tc>
        <w:tc>
          <w:tcPr/>
          <w:p>
            <w:pPr>
              <w:pStyle w:val="Compact"/>
              <w:jc w:val="left"/>
            </w:pPr>
            <w:r>
              <w:t xml:space="preserve">Worse than Charleston</w:t>
            </w:r>
          </w:p>
        </w:tc>
        <w:tc>
          <w:tcPr/>
          <w:p>
            <w:pPr>
              <w:pStyle w:val="Compact"/>
              <w:jc w:val="left"/>
            </w:pPr>
            <w:hyperlink r:id="rId29">
              <w:r>
                <w:rPr>
                  <w:rStyle w:val="Hyperlink"/>
                </w:rPr>
                <w:t xml:space="preserve">Report Card</w:t>
              </w:r>
            </w:hyperlink>
          </w:p>
        </w:tc>
      </w:tr>
    </w:tbl>
    <w:p>
      <w:pPr>
        <w:pStyle w:val="BodyText"/>
      </w:pPr>
      <w:r>
        <w:rPr>
          <w:bCs/>
          <w:b/>
        </w:rPr>
        <w:t xml:space="preserve">Methodological note:</w:t>
      </w:r>
      <w:r>
        <w:t xml:space="preserve"> </w:t>
      </w:r>
      <w:r>
        <w:t xml:space="preserve">VMS and PeriStats differ because of residence rules, linkage timing, and inclusion of linked vs tabulated deaths. Both show</w:t>
      </w:r>
      <w:r>
        <w:t xml:space="preserve"> </w:t>
      </w:r>
      <w:r>
        <w:rPr>
          <w:bCs/>
          <w:b/>
        </w:rPr>
        <w:t xml:space="preserve">racial disparity</w:t>
      </w:r>
      <w:r>
        <w:t xml:space="preserve"> </w:t>
      </w:r>
      <w:r>
        <w:t xml:space="preserve">and</w:t>
      </w:r>
      <w:r>
        <w:t xml:space="preserve"> </w:t>
      </w:r>
      <w:r>
        <w:rPr>
          <w:bCs/>
          <w:b/>
        </w:rPr>
        <w:t xml:space="preserve">worsening trend</w:t>
      </w:r>
      <w:r>
        <w:t xml:space="preserve"> </w:t>
      </w:r>
      <w:r>
        <w:t xml:space="preserve">worth investigating.</w:t>
      </w:r>
    </w:p>
    <w:p>
      <w:pPr>
        <w:pStyle w:val="BodyText"/>
      </w:pPr>
      <w:r>
        <w:t xml:space="preserve">VMS race-specific</w:t>
      </w:r>
      <w:r>
        <w:t xml:space="preserve"> </w:t>
      </w:r>
      <w:r>
        <w:rPr>
          <w:bCs/>
          <w:b/>
        </w:rPr>
        <w:t xml:space="preserve">single-year</w:t>
      </w:r>
      <w:r>
        <w:t xml:space="preserve"> </w:t>
      </w:r>
      <w:r>
        <w:t xml:space="preserve">rates must be interpreted cautiously (footnote: ≤20 deaths = unreliable). Example 2023 VMS: White infant deaths 18 (rate 11.1); Black 20 (rate 4.1)—counterintuitive at face value, illustrating small-number instability (VMS Tables F-3A).</w:t>
      </w:r>
    </w:p>
    <w:bookmarkEnd w:id="36"/>
    <w:bookmarkStart w:id="37" w:name="neonatal-and-postneonatal-mortality"/>
    <w:p>
      <w:pPr>
        <w:pStyle w:val="Heading3"/>
      </w:pPr>
      <w:r>
        <w:t xml:space="preserve">2.4 Neonatal and postneonatal mortality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Period</w:t>
            </w:r>
          </w:p>
        </w:tc>
        <w:tc>
          <w:tcPr/>
          <w:p>
            <w:pPr>
              <w:pStyle w:val="Compact"/>
              <w:jc w:val="left"/>
            </w:pPr>
            <w:r>
              <w:t xml:space="preserve">Deaths</w:t>
            </w:r>
          </w:p>
        </w:tc>
        <w:tc>
          <w:tcPr/>
          <w:p>
            <w:pPr>
              <w:pStyle w:val="Compact"/>
              <w:jc w:val="left"/>
            </w:pPr>
            <w:r>
              <w:t xml:space="preserve">Rate per 1,000</w:t>
            </w:r>
          </w:p>
        </w:tc>
        <w:tc>
          <w:tcPr/>
          <w:p>
            <w:pPr>
              <w:pStyle w:val="Compact"/>
              <w:jc w:val="left"/>
            </w:pPr>
            <w:r>
              <w:t xml:space="preserve">Source</w:t>
            </w:r>
          </w:p>
        </w:tc>
      </w:tr>
      <w:tr>
        <w:tc>
          <w:tcPr/>
          <w:p>
            <w:pPr>
              <w:pStyle w:val="Compact"/>
              <w:jc w:val="left"/>
            </w:pPr>
            <w:r>
              <w:t xml:space="preserve">Neonatal (0–27 days)</w:t>
            </w:r>
          </w:p>
        </w:tc>
        <w:tc>
          <w:tcPr/>
          <w:p>
            <w:pPr>
              <w:pStyle w:val="Compact"/>
              <w:jc w:val="left"/>
            </w:pPr>
            <w:r>
              <w:t xml:space="preserve">2023</w:t>
            </w:r>
          </w:p>
        </w:tc>
        <w:tc>
          <w:tcPr/>
          <w:p>
            <w:pPr>
              <w:pStyle w:val="Compact"/>
              <w:jc w:val="left"/>
            </w:pPr>
            <w:r>
              <w:t xml:space="preserve">8</w:t>
            </w:r>
          </w:p>
        </w:tc>
        <w:tc>
          <w:tcPr/>
          <w:p>
            <w:pPr>
              <w:pStyle w:val="Compact"/>
              <w:jc w:val="left"/>
            </w:pPr>
            <w:r>
              <w:rPr>
                <w:bCs/>
                <w:b/>
              </w:rPr>
              <w:t xml:space="preserve">2.5</w:t>
            </w:r>
          </w:p>
        </w:tc>
        <w:tc>
          <w:tcPr/>
          <w:p>
            <w:pPr>
              <w:pStyle w:val="Compact"/>
              <w:jc w:val="left"/>
            </w:pPr>
            <w:r>
              <w:t xml:space="preserve">VMS Table F-4</w:t>
            </w:r>
          </w:p>
        </w:tc>
      </w:tr>
      <w:tr>
        <w:tc>
          <w:tcPr/>
          <w:p>
            <w:pPr>
              <w:pStyle w:val="Compact"/>
              <w:jc w:val="left"/>
            </w:pPr>
            <w:r>
              <w:t xml:space="preserve">Neonatal</w:t>
            </w:r>
          </w:p>
        </w:tc>
        <w:tc>
          <w:tcPr/>
          <w:p>
            <w:pPr>
              <w:pStyle w:val="Compact"/>
              <w:jc w:val="left"/>
            </w:pPr>
            <w:r>
              <w:t xml:space="preserve">2021–2023</w:t>
            </w:r>
          </w:p>
        </w:tc>
        <w:tc>
          <w:tcPr/>
          <w:p>
            <w:pPr>
              <w:pStyle w:val="Compact"/>
              <w:jc w:val="left"/>
            </w:pPr>
            <w:r>
              <w:t xml:space="preserve">43</w:t>
            </w:r>
          </w:p>
        </w:tc>
        <w:tc>
          <w:tcPr/>
          <w:p>
            <w:pPr>
              <w:pStyle w:val="Compact"/>
              <w:jc w:val="left"/>
            </w:pPr>
            <w:r>
              <w:rPr>
                <w:bCs/>
                <w:b/>
              </w:rPr>
              <w:t xml:space="preserve">4.2</w:t>
            </w:r>
          </w:p>
        </w:tc>
        <w:tc>
          <w:tcPr/>
          <w:p>
            <w:pPr>
              <w:pStyle w:val="Compact"/>
              <w:jc w:val="left"/>
            </w:pPr>
            <w:r>
              <w:t xml:space="preserve">VMS Table F-4</w:t>
            </w:r>
          </w:p>
        </w:tc>
      </w:tr>
      <w:tr>
        <w:tc>
          <w:tcPr/>
          <w:p>
            <w:pPr>
              <w:pStyle w:val="Compact"/>
              <w:jc w:val="left"/>
            </w:pPr>
            <w:r>
              <w:t xml:space="preserve">Postneonatal (28–364 days)</w:t>
            </w:r>
          </w:p>
        </w:tc>
        <w:tc>
          <w:tcPr/>
          <w:p>
            <w:pPr>
              <w:pStyle w:val="Compact"/>
              <w:jc w:val="left"/>
            </w:pPr>
            <w:r>
              <w:t xml:space="preserve">2023</w:t>
            </w:r>
          </w:p>
        </w:tc>
        <w:tc>
          <w:tcPr/>
          <w:p>
            <w:pPr>
              <w:pStyle w:val="Compact"/>
              <w:jc w:val="left"/>
            </w:pPr>
            <w:r>
              <w:t xml:space="preserve">6</w:t>
            </w:r>
          </w:p>
        </w:tc>
        <w:tc>
          <w:tcPr/>
          <w:p>
            <w:pPr>
              <w:pStyle w:val="Compact"/>
              <w:jc w:val="left"/>
            </w:pPr>
            <w:r>
              <w:rPr>
                <w:bCs/>
                <w:b/>
              </w:rPr>
              <w:t xml:space="preserve">1.9</w:t>
            </w:r>
          </w:p>
        </w:tc>
        <w:tc>
          <w:tcPr/>
          <w:p>
            <w:pPr>
              <w:pStyle w:val="Compact"/>
              <w:jc w:val="left"/>
            </w:pPr>
            <w:r>
              <w:t xml:space="preserve">VMS Table F-5</w:t>
            </w:r>
          </w:p>
        </w:tc>
      </w:tr>
    </w:tbl>
    <w:p>
      <w:pPr>
        <w:pStyle w:val="BodyText"/>
      </w:pPr>
      <w:r>
        <w:t xml:space="preserve">Neonatal deaths reflect</w:t>
      </w:r>
      <w:r>
        <w:t xml:space="preserve"> </w:t>
      </w:r>
      <w:r>
        <w:rPr>
          <w:bCs/>
          <w:b/>
        </w:rPr>
        <w:t xml:space="preserve">pregnancy, delivery, and immediate newborn care</w:t>
      </w:r>
      <w:r>
        <w:t xml:space="preserve">; postneonatal deaths more often reflect</w:t>
      </w:r>
      <w:r>
        <w:t xml:space="preserve"> </w:t>
      </w:r>
      <w:r>
        <w:rPr>
          <w:bCs/>
          <w:b/>
        </w:rPr>
        <w:t xml:space="preserve">home environment, SIDS, injuries, and infection</w:t>
      </w:r>
      <w:r>
        <w:t xml:space="preserve">—a split with policy implications.</w:t>
      </w:r>
    </w:p>
    <w:p>
      <w:r>
        <w:pict>
          <v:rect style="width:0;height:1.5pt" o:hralign="center" o:hrstd="t" o:hr="t"/>
        </w:pict>
      </w:r>
    </w:p>
    <w:bookmarkEnd w:id="37"/>
    <w:bookmarkEnd w:id="38"/>
    <w:bookmarkStart w:id="43" w:name="prenatal-care-and-healthcare-access"/>
    <w:p>
      <w:pPr>
        <w:pStyle w:val="Heading2"/>
      </w:pPr>
      <w:r>
        <w:t xml:space="preserve">3. Prenatal care and healthcare access</w:t>
      </w:r>
    </w:p>
    <w:bookmarkStart w:id="39" w:name="timing-and-adequacy-of-prenatal-care"/>
    <w:p>
      <w:pPr>
        <w:pStyle w:val="Heading3"/>
      </w:pPr>
      <w:r>
        <w:t xml:space="preserve">3.1 Timing and adequacy of prenatal care</w:t>
      </w:r>
    </w:p>
    <w:p>
      <w:pPr>
        <w:pStyle w:val="FirstParagraph"/>
      </w:pPr>
      <w:r>
        <w:t xml:space="preserve">March of Dimes (2024, Charleston):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Percent</w:t>
            </w:r>
          </w:p>
        </w:tc>
        <w:tc>
          <w:tcPr/>
          <w:p>
            <w:pPr>
              <w:pStyle w:val="Compact"/>
              <w:jc w:val="left"/>
            </w:pPr>
            <w:r>
              <w:t xml:space="preserve">Source</w:t>
            </w:r>
          </w:p>
        </w:tc>
      </w:tr>
      <w:tr>
        <w:tc>
          <w:tcPr/>
          <w:p>
            <w:pPr>
              <w:pStyle w:val="Compact"/>
              <w:jc w:val="left"/>
            </w:pPr>
            <w:r>
              <w:t xml:space="preserve">Early prenatal care</w:t>
            </w:r>
          </w:p>
        </w:tc>
        <w:tc>
          <w:tcPr/>
          <w:p>
            <w:pPr>
              <w:pStyle w:val="Compact"/>
              <w:jc w:val="left"/>
            </w:pPr>
            <w:r>
              <w:t xml:space="preserve">78.7%</w:t>
            </w:r>
          </w:p>
        </w:tc>
        <w:tc>
          <w:tcPr/>
          <w:p>
            <w:pPr>
              <w:pStyle w:val="Compact"/>
              <w:jc w:val="left"/>
            </w:pPr>
            <w:hyperlink r:id="rId35">
              <w:r>
                <w:rPr>
                  <w:rStyle w:val="Hyperlink"/>
                </w:rPr>
                <w:t xml:space="preserve">PeriStats PNC</w:t>
              </w:r>
            </w:hyperlink>
          </w:p>
        </w:tc>
      </w:tr>
      <w:tr>
        <w:tc>
          <w:tcPr/>
          <w:p>
            <w:pPr>
              <w:pStyle w:val="Compact"/>
              <w:jc w:val="left"/>
            </w:pPr>
            <w:r>
              <w:t xml:space="preserve">Second trimester start</w:t>
            </w:r>
          </w:p>
        </w:tc>
        <w:tc>
          <w:tcPr/>
          <w:p>
            <w:pPr>
              <w:pStyle w:val="Compact"/>
              <w:jc w:val="left"/>
            </w:pPr>
            <w:r>
              <w:t xml:space="preserve">15.1%</w:t>
            </w:r>
          </w:p>
        </w:tc>
        <w:tc>
          <w:tcPr/>
          <w:p>
            <w:pPr>
              <w:pStyle w:val="Compact"/>
              <w:jc w:val="left"/>
            </w:pPr>
            <w:r>
              <w:t xml:space="preserve">Same</w:t>
            </w:r>
          </w:p>
        </w:tc>
      </w:tr>
      <w:tr>
        <w:tc>
          <w:tcPr/>
          <w:p>
            <w:pPr>
              <w:pStyle w:val="Compact"/>
              <w:jc w:val="left"/>
            </w:pPr>
            <w:r>
              <w:t xml:space="preserve">Late or no prenatal care</w:t>
            </w:r>
          </w:p>
        </w:tc>
        <w:tc>
          <w:tcPr/>
          <w:p>
            <w:pPr>
              <w:pStyle w:val="Compact"/>
              <w:jc w:val="left"/>
            </w:pPr>
            <w:r>
              <w:rPr>
                <w:bCs/>
                <w:b/>
              </w:rPr>
              <w:t xml:space="preserve">6.2%</w:t>
            </w:r>
            <w:r>
              <w:t xml:space="preserve"> </w:t>
            </w:r>
            <w:r>
              <w:t xml:space="preserve">(~1 in 16 births)</w:t>
            </w:r>
          </w:p>
        </w:tc>
        <w:tc>
          <w:tcPr/>
          <w:p>
            <w:pPr>
              <w:pStyle w:val="Compact"/>
              <w:jc w:val="left"/>
            </w:pPr>
            <w:r>
              <w:t xml:space="preserve">Same</w:t>
            </w:r>
          </w:p>
        </w:tc>
      </w:tr>
      <w:tr>
        <w:tc>
          <w:tcPr/>
          <w:p>
            <w:pPr>
              <w:pStyle w:val="Compact"/>
              <w:jc w:val="left"/>
            </w:pPr>
            <w:r>
              <w:t xml:space="preserve">Adequate/adequate plus (Kotelchuck)</w:t>
            </w:r>
          </w:p>
        </w:tc>
        <w:tc>
          <w:tcPr/>
          <w:p>
            <w:pPr>
              <w:pStyle w:val="Compact"/>
              <w:jc w:val="left"/>
            </w:pPr>
            <w:r>
              <w:rPr>
                <w:bCs/>
                <w:b/>
              </w:rPr>
              <w:t xml:space="preserve">80.0%</w:t>
            </w:r>
          </w:p>
        </w:tc>
        <w:tc>
          <w:tcPr/>
          <w:p>
            <w:pPr>
              <w:pStyle w:val="Compact"/>
              <w:jc w:val="left"/>
            </w:pPr>
            <w:r>
              <w:t xml:space="preserve">Same</w:t>
            </w:r>
          </w:p>
        </w:tc>
      </w:tr>
      <w:tr>
        <w:tc>
          <w:tcPr/>
          <w:p>
            <w:pPr>
              <w:pStyle w:val="Compact"/>
              <w:jc w:val="left"/>
            </w:pPr>
            <w:r>
              <w:t xml:space="preserve">Inadequate prenatal care</w:t>
            </w:r>
          </w:p>
        </w:tc>
        <w:tc>
          <w:tcPr/>
          <w:p>
            <w:pPr>
              <w:pStyle w:val="Compact"/>
              <w:jc w:val="left"/>
            </w:pPr>
            <w:r>
              <w:rPr>
                <w:bCs/>
                <w:b/>
              </w:rPr>
              <w:t xml:space="preserve">14.5%</w:t>
            </w:r>
            <w:r>
              <w:t xml:space="preserve"> </w:t>
            </w:r>
            <w:r>
              <w:t xml:space="preserve">(~1 in 7 births)</w:t>
            </w:r>
          </w:p>
        </w:tc>
        <w:tc>
          <w:tcPr/>
          <w:p>
            <w:pPr>
              <w:pStyle w:val="Compact"/>
              <w:jc w:val="left"/>
            </w:pPr>
            <w:r>
              <w:t xml:space="preserve">Same</w:t>
            </w:r>
          </w:p>
        </w:tc>
      </w:tr>
      <w:tr>
        <w:tc>
          <w:tcPr/>
          <w:p>
            <w:pPr>
              <w:pStyle w:val="Compact"/>
              <w:jc w:val="left"/>
            </w:pPr>
            <w:r>
              <w:t xml:space="preserve">Intermediate care</w:t>
            </w:r>
          </w:p>
        </w:tc>
        <w:tc>
          <w:tcPr/>
          <w:p>
            <w:pPr>
              <w:pStyle w:val="Compact"/>
              <w:jc w:val="left"/>
            </w:pPr>
            <w:r>
              <w:t xml:space="preserve">5.6%</w:t>
            </w:r>
          </w:p>
        </w:tc>
        <w:tc>
          <w:tcPr/>
          <w:p>
            <w:pPr>
              <w:pStyle w:val="Compact"/>
              <w:jc w:val="left"/>
            </w:pPr>
            <w:r>
              <w:t xml:space="preserve">Same</w:t>
            </w:r>
          </w:p>
        </w:tc>
      </w:tr>
    </w:tbl>
    <w:p>
      <w:pPr>
        <w:pStyle w:val="BodyText"/>
      </w:pPr>
      <w:r>
        <w:rPr>
          <w:bCs/>
          <w:b/>
        </w:rPr>
        <w:t xml:space="preserve">Healthy People 2030 target:</w:t>
      </w:r>
      <w:r>
        <w:t xml:space="preserve"> </w:t>
      </w:r>
      <w:r>
        <w:t xml:space="preserve">80.5% adequate/adequate plus — Charleston is</w:t>
      </w:r>
      <w:r>
        <w:t xml:space="preserve"> </w:t>
      </w:r>
      <w:r>
        <w:rPr>
          <w:bCs/>
          <w:b/>
        </w:rPr>
        <w:t xml:space="preserve">borderline</w:t>
      </w:r>
      <w:r>
        <w:t xml:space="preserve">.</w:t>
      </w:r>
    </w:p>
    <w:p>
      <w:pPr>
        <w:pStyle w:val="BodyText"/>
      </w:pPr>
      <w:r>
        <w:t xml:space="preserve">VMS 2023 Kotelchuck index by race (Table C-11A):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Race</w:t>
            </w:r>
          </w:p>
        </w:tc>
        <w:tc>
          <w:tcPr/>
          <w:p>
            <w:pPr>
              <w:pStyle w:val="Compact"/>
              <w:jc w:val="left"/>
            </w:pPr>
            <w:r>
              <w:t xml:space="preserve">Inadequate</w:t>
            </w:r>
          </w:p>
        </w:tc>
        <w:tc>
          <w:tcPr/>
          <w:p>
            <w:pPr>
              <w:pStyle w:val="Compact"/>
              <w:jc w:val="left"/>
            </w:pPr>
            <w:r>
              <w:t xml:space="preserve">Adequate + Adequate Plus</w:t>
            </w:r>
          </w:p>
        </w:tc>
      </w:tr>
      <w:tr>
        <w:tc>
          <w:tcPr/>
          <w:p>
            <w:pPr>
              <w:pStyle w:val="Compact"/>
              <w:jc w:val="left"/>
            </w:pPr>
            <w:r>
              <w:t xml:space="preserve">White (n=1,154)</w:t>
            </w:r>
          </w:p>
        </w:tc>
        <w:tc>
          <w:tcPr/>
          <w:p>
            <w:pPr>
              <w:pStyle w:val="Compact"/>
              <w:jc w:val="left"/>
            </w:pPr>
            <w:r>
              <w:t xml:space="preserve">16.9% (195)</w:t>
            </w:r>
          </w:p>
        </w:tc>
        <w:tc>
          <w:tcPr/>
          <w:p>
            <w:pPr>
              <w:pStyle w:val="Compact"/>
              <w:jc w:val="left"/>
            </w:pPr>
            <w:r>
              <w:t xml:space="preserve">44.2% (510)</w:t>
            </w:r>
          </w:p>
        </w:tc>
      </w:tr>
      <w:tr>
        <w:tc>
          <w:tcPr/>
          <w:p>
            <w:pPr>
              <w:pStyle w:val="Compact"/>
              <w:jc w:val="left"/>
            </w:pPr>
            <w:r>
              <w:t xml:space="preserve">Black (n=801)</w:t>
            </w:r>
          </w:p>
        </w:tc>
        <w:tc>
          <w:tcPr/>
          <w:p>
            <w:pPr>
              <w:pStyle w:val="Compact"/>
              <w:jc w:val="left"/>
            </w:pPr>
            <w:r>
              <w:rPr>
                <w:bCs/>
                <w:b/>
              </w:rPr>
              <w:t xml:space="preserve">36.6%</w:t>
            </w:r>
            <w:r>
              <w:t xml:space="preserve"> </w:t>
            </w:r>
            <w:r>
              <w:t xml:space="preserve">(293)</w:t>
            </w:r>
          </w:p>
        </w:tc>
        <w:tc>
          <w:tcPr/>
          <w:p>
            <w:pPr>
              <w:pStyle w:val="Compact"/>
              <w:jc w:val="left"/>
            </w:pPr>
            <w:r>
              <w:t xml:space="preserve">23.6% (189)</w:t>
            </w:r>
          </w:p>
        </w:tc>
      </w:tr>
    </w:tbl>
    <w:p>
      <w:pPr>
        <w:pStyle w:val="BodyText"/>
      </w:pPr>
      <w:r>
        <w:t xml:space="preserve">Black birthing people were</w:t>
      </w:r>
      <w:r>
        <w:t xml:space="preserve"> </w:t>
      </w:r>
      <w:r>
        <w:rPr>
          <w:bCs/>
          <w:b/>
        </w:rPr>
        <w:t xml:space="preserve">2.2×</w:t>
      </w:r>
      <w:r>
        <w:t xml:space="preserve"> </w:t>
      </w:r>
      <w:r>
        <w:t xml:space="preserve">as likely to receive inadequate prenatal care by Kotelchuck index—a structural access and quality gap, not merely a behavior gap.</w:t>
      </w:r>
    </w:p>
    <w:bookmarkEnd w:id="39"/>
    <w:bookmarkStart w:id="40" w:name="insurance-and-payment-source"/>
    <w:p>
      <w:pPr>
        <w:pStyle w:val="Heading3"/>
      </w:pPr>
      <w:r>
        <w:t xml:space="preserve">3.2 Insurance and payment source</w:t>
      </w:r>
    </w:p>
    <w:p>
      <w:pPr>
        <w:pStyle w:val="FirstParagraph"/>
      </w:pPr>
      <w:r>
        <w:t xml:space="preserve">VMS 2023, expected pay source at delivery (Table C-35):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Pay source</w:t>
            </w:r>
          </w:p>
        </w:tc>
        <w:tc>
          <w:tcPr/>
          <w:p>
            <w:pPr>
              <w:pStyle w:val="Compact"/>
              <w:jc w:val="left"/>
            </w:pPr>
            <w:r>
              <w:t xml:space="preserve">All races</w:t>
            </w:r>
          </w:p>
        </w:tc>
        <w:tc>
          <w:tcPr/>
          <w:p>
            <w:pPr>
              <w:pStyle w:val="Compact"/>
              <w:jc w:val="left"/>
            </w:pPr>
            <w:r>
              <w:t xml:space="preserve">White</w:t>
            </w:r>
          </w:p>
        </w:tc>
        <w:tc>
          <w:tcPr/>
          <w:p>
            <w:pPr>
              <w:pStyle w:val="Compact"/>
              <w:jc w:val="left"/>
            </w:pPr>
            <w:r>
              <w:t xml:space="preserve">Black</w:t>
            </w:r>
          </w:p>
        </w:tc>
      </w:tr>
      <w:tr>
        <w:tc>
          <w:tcPr/>
          <w:p>
            <w:pPr>
              <w:pStyle w:val="Compact"/>
              <w:jc w:val="left"/>
            </w:pPr>
            <w:r>
              <w:t xml:space="preserve">Medicaid</w:t>
            </w:r>
          </w:p>
        </w:tc>
        <w:tc>
          <w:tcPr/>
          <w:p>
            <w:pPr>
              <w:pStyle w:val="Compact"/>
              <w:jc w:val="left"/>
            </w:pPr>
            <w:r>
              <w:rPr>
                <w:bCs/>
                <w:b/>
              </w:rPr>
              <w:t xml:space="preserve">50.3%</w:t>
            </w:r>
          </w:p>
        </w:tc>
        <w:tc>
          <w:tcPr/>
          <w:p>
            <w:pPr>
              <w:pStyle w:val="Compact"/>
              <w:jc w:val="left"/>
            </w:pPr>
            <w:r>
              <w:t xml:space="preserve">26.9%</w:t>
            </w:r>
          </w:p>
        </w:tc>
        <w:tc>
          <w:tcPr/>
          <w:p>
            <w:pPr>
              <w:pStyle w:val="Compact"/>
              <w:jc w:val="left"/>
            </w:pPr>
            <w:r>
              <w:rPr>
                <w:bCs/>
                <w:b/>
              </w:rPr>
              <w:t xml:space="preserve">70.3%</w:t>
            </w:r>
          </w:p>
        </w:tc>
      </w:tr>
      <w:tr>
        <w:tc>
          <w:tcPr/>
          <w:p>
            <w:pPr>
              <w:pStyle w:val="Compact"/>
              <w:jc w:val="left"/>
            </w:pPr>
            <w:r>
              <w:t xml:space="preserve">Private insurance</w:t>
            </w:r>
          </w:p>
        </w:tc>
        <w:tc>
          <w:tcPr/>
          <w:p>
            <w:pPr>
              <w:pStyle w:val="Compact"/>
              <w:jc w:val="left"/>
            </w:pPr>
            <w:r>
              <w:t xml:space="preserve">23.9%</w:t>
            </w:r>
          </w:p>
        </w:tc>
        <w:tc>
          <w:tcPr/>
          <w:p>
            <w:pPr>
              <w:pStyle w:val="Compact"/>
              <w:jc w:val="left"/>
            </w:pPr>
            <w:r>
              <w:t xml:space="preserve">67.6%</w:t>
            </w:r>
          </w:p>
        </w:tc>
        <w:tc>
          <w:tcPr/>
          <w:p>
            <w:pPr>
              <w:pStyle w:val="Compact"/>
              <w:jc w:val="left"/>
            </w:pPr>
            <w:r>
              <w:t xml:space="preserve">16.6%</w:t>
            </w:r>
          </w:p>
        </w:tc>
      </w:tr>
      <w:tr>
        <w:tc>
          <w:tcPr/>
          <w:p>
            <w:pPr>
              <w:pStyle w:val="Compact"/>
              <w:jc w:val="left"/>
            </w:pPr>
            <w:r>
              <w:t xml:space="preserve">Self-pay</w:t>
            </w:r>
          </w:p>
        </w:tc>
        <w:tc>
          <w:tcPr/>
          <w:p>
            <w:pPr>
              <w:pStyle w:val="Compact"/>
              <w:jc w:val="left"/>
            </w:pPr>
            <w:r>
              <w:t xml:space="preserve">22.6%</w:t>
            </w:r>
          </w:p>
        </w:tc>
        <w:tc>
          <w:tcPr/>
          <w:p>
            <w:pPr>
              <w:pStyle w:val="Compact"/>
              <w:jc w:val="left"/>
            </w:pPr>
            <w:r>
              <w:t xml:space="preserve">16.6%</w:t>
            </w:r>
          </w:p>
        </w:tc>
        <w:tc>
          <w:tcPr/>
          <w:p>
            <w:pPr>
              <w:pStyle w:val="Compact"/>
              <w:jc w:val="left"/>
            </w:pPr>
            <w:r>
              <w:t xml:space="preserve">4.9%</w:t>
            </w:r>
          </w:p>
        </w:tc>
      </w:tr>
    </w:tbl>
    <w:p>
      <w:pPr>
        <w:pStyle w:val="BodyText"/>
      </w:pPr>
      <w:r>
        <w:rPr>
          <w:bCs/>
          <w:b/>
        </w:rPr>
        <w:t xml:space="preserve">22.6% self-pay</w:t>
      </w:r>
      <w:r>
        <w:t xml:space="preserve"> </w:t>
      </w:r>
      <w:r>
        <w:t xml:space="preserve">among all births signals financial barriers and potential charity-care dependence—a risk for care delays. Statewide,</w:t>
      </w:r>
      <w:r>
        <w:t xml:space="preserve"> </w:t>
      </w:r>
      <w:r>
        <w:rPr>
          <w:bCs/>
          <w:b/>
        </w:rPr>
        <w:t xml:space="preserve">43.1%</w:t>
      </w:r>
      <w:r>
        <w:t xml:space="preserve"> </w:t>
      </w:r>
      <w:r>
        <w:t xml:space="preserve">of mothers were on Medicaid at birth in 2024 (March of Dimes Report Card); Charleston exceeds that at</w:t>
      </w:r>
      <w:r>
        <w:t xml:space="preserve"> </w:t>
      </w:r>
      <w:r>
        <w:rPr>
          <w:bCs/>
          <w:b/>
        </w:rPr>
        <w:t xml:space="preserve">50.3%</w:t>
      </w:r>
      <w:r>
        <w:t xml:space="preserve"> </w:t>
      </w:r>
      <w:r>
        <w:t xml:space="preserve">(2023 VMS).</w:t>
      </w:r>
    </w:p>
    <w:p>
      <w:pPr>
        <w:pStyle w:val="BodyText"/>
      </w:pPr>
      <w:r>
        <w:t xml:space="preserve">South Carolina</w:t>
      </w:r>
      <w:r>
        <w:t xml:space="preserve"> </w:t>
      </w:r>
      <w:r>
        <w:rPr>
          <w:bCs/>
          <w:b/>
        </w:rPr>
        <w:t xml:space="preserve">expanded Medicaid postpartum coverage to 12 months</w:t>
      </w:r>
      <w:r>
        <w:t xml:space="preserve"> </w:t>
      </w:r>
      <w:r>
        <w:t xml:space="preserve">(2023 policy)—a critical intervention for the</w:t>
      </w:r>
      <w:r>
        <w:t xml:space="preserve"> </w:t>
      </w:r>
      <w:r>
        <w:rPr>
          <w:bCs/>
          <w:b/>
        </w:rPr>
        <w:t xml:space="preserve">60%</w:t>
      </w:r>
      <w:r>
        <w:t xml:space="preserve"> </w:t>
      </w:r>
      <w:r>
        <w:t xml:space="preserve">of SC births on Medicaid, but expansion does not resolve</w:t>
      </w:r>
      <w:r>
        <w:t xml:space="preserve"> </w:t>
      </w:r>
      <w:r>
        <w:rPr>
          <w:bCs/>
          <w:b/>
        </w:rPr>
        <w:t xml:space="preserve">pre-conception</w:t>
      </w:r>
      <w:r>
        <w:t xml:space="preserve"> </w:t>
      </w:r>
      <w:r>
        <w:t xml:space="preserve">and</w:t>
      </w:r>
      <w:r>
        <w:t xml:space="preserve"> </w:t>
      </w:r>
      <w:r>
        <w:rPr>
          <w:bCs/>
          <w:b/>
        </w:rPr>
        <w:t xml:space="preserve">first-trimester</w:t>
      </w:r>
      <w:r>
        <w:t xml:space="preserve"> </w:t>
      </w:r>
      <w:r>
        <w:t xml:space="preserve">access gaps.</w:t>
      </w:r>
    </w:p>
    <w:bookmarkEnd w:id="40"/>
    <w:bookmarkStart w:id="42" w:name="maternity-and-nicu-hospital-capacity"/>
    <w:p>
      <w:pPr>
        <w:pStyle w:val="Heading3"/>
      </w:pPr>
      <w:r>
        <w:t xml:space="preserve">3.3 Maternity and NICU hospital capacity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Facility</w:t>
            </w:r>
          </w:p>
        </w:tc>
        <w:tc>
          <w:tcPr/>
          <w:p>
            <w:pPr>
              <w:pStyle w:val="Compact"/>
              <w:jc w:val="left"/>
            </w:pPr>
            <w:r>
              <w:t xml:space="preserve">Role</w:t>
            </w:r>
          </w:p>
        </w:tc>
        <w:tc>
          <w:tcPr/>
          <w:p>
            <w:pPr>
              <w:pStyle w:val="Compact"/>
              <w:jc w:val="left"/>
            </w:pPr>
            <w:r>
              <w:t xml:space="preserve">Source</w:t>
            </w:r>
          </w:p>
        </w:tc>
      </w:tr>
      <w:tr>
        <w:tc>
          <w:tcPr/>
          <w:p>
            <w:pPr>
              <w:pStyle w:val="Compact"/>
              <w:jc w:val="left"/>
            </w:pPr>
            <w:r>
              <w:rPr>
                <w:bCs/>
                <w:b/>
              </w:rPr>
              <w:t xml:space="preserve">MUSC Health</w:t>
            </w:r>
          </w:p>
        </w:tc>
        <w:tc>
          <w:tcPr/>
          <w:p>
            <w:pPr>
              <w:pStyle w:val="Compact"/>
              <w:jc w:val="left"/>
            </w:pPr>
            <w:r>
              <w:t xml:space="preserve">SC’s only</w:t>
            </w:r>
            <w:r>
              <w:t xml:space="preserve"> </w:t>
            </w:r>
            <w:r>
              <w:rPr>
                <w:bCs/>
                <w:b/>
              </w:rPr>
              <w:t xml:space="preserve">Level IV</w:t>
            </w:r>
            <w:r>
              <w:t xml:space="preserve"> </w:t>
            </w:r>
            <w:r>
              <w:t xml:space="preserve">NICU; ECMO; regional referral center</w:t>
            </w:r>
          </w:p>
        </w:tc>
        <w:tc>
          <w:tcPr/>
          <w:p>
            <w:pPr>
              <w:pStyle w:val="Compact"/>
              <w:jc w:val="left"/>
            </w:pPr>
            <w:hyperlink r:id="rId41">
              <w:r>
                <w:rPr>
                  <w:rStyle w:val="Hyperlink"/>
                </w:rPr>
                <w:t xml:space="preserve">MUSC NICU</w:t>
              </w:r>
            </w:hyperlink>
          </w:p>
        </w:tc>
      </w:tr>
      <w:tr>
        <w:tc>
          <w:tcPr/>
          <w:p>
            <w:pPr>
              <w:pStyle w:val="Compact"/>
              <w:jc w:val="left"/>
            </w:pPr>
            <w:r>
              <w:t xml:space="preserve">Roper St. Francis</w:t>
            </w:r>
          </w:p>
        </w:tc>
        <w:tc>
          <w:tcPr/>
          <w:p>
            <w:pPr>
              <w:pStyle w:val="Compact"/>
              <w:jc w:val="left"/>
            </w:pPr>
            <w:r>
              <w:t xml:space="preserve">High-performing maternity (U.S. News)</w:t>
            </w:r>
          </w:p>
        </w:tc>
        <w:tc>
          <w:tcPr/>
          <w:p>
            <w:pPr>
              <w:pStyle w:val="Compact"/>
              <w:jc w:val="left"/>
            </w:pPr>
            <w:r>
              <w:t xml:space="preserve">U.S. News hospital rankings</w:t>
            </w:r>
          </w:p>
        </w:tc>
      </w:tr>
      <w:tr>
        <w:tc>
          <w:tcPr/>
          <w:p>
            <w:pPr>
              <w:pStyle w:val="Compact"/>
              <w:jc w:val="left"/>
            </w:pPr>
            <w:r>
              <w:t xml:space="preserve">Bon Secours St. Francis</w:t>
            </w:r>
          </w:p>
        </w:tc>
        <w:tc>
          <w:tcPr/>
          <w:p>
            <w:pPr>
              <w:pStyle w:val="Compact"/>
              <w:jc w:val="left"/>
            </w:pPr>
            <w:r>
              <w:t xml:space="preserve">High-performing maternity</w:t>
            </w:r>
          </w:p>
        </w:tc>
        <w:tc>
          <w:tcPr/>
          <w:p>
            <w:pPr>
              <w:pStyle w:val="Compact"/>
              <w:jc w:val="left"/>
            </w:pPr>
            <w:r>
              <w:t xml:space="preserve">Same</w:t>
            </w:r>
          </w:p>
        </w:tc>
      </w:tr>
    </w:tbl>
    <w:p>
      <w:pPr>
        <w:pStyle w:val="BodyText"/>
      </w:pPr>
      <w:r>
        <w:t xml:space="preserve">VMS occurrence data (2023):</w:t>
      </w:r>
      <w:r>
        <w:t xml:space="preserve"> </w:t>
      </w:r>
      <w:r>
        <w:rPr>
          <w:bCs/>
          <w:b/>
        </w:rPr>
        <w:t xml:space="preserve">7,521</w:t>
      </w:r>
      <w:r>
        <w:t xml:space="preserve"> </w:t>
      </w:r>
      <w:r>
        <w:t xml:space="preserve">births in Charleston hospitals;</w:t>
      </w:r>
      <w:r>
        <w:t xml:space="preserve"> </w:t>
      </w:r>
      <w:r>
        <w:rPr>
          <w:bCs/>
          <w:b/>
        </w:rPr>
        <w:t xml:space="preserve">7,049 (93.7%)</w:t>
      </w:r>
      <w:r>
        <w:t xml:space="preserve"> </w:t>
      </w:r>
      <w:r>
        <w:t xml:space="preserve">in hospital settings (Table C-14).</w:t>
      </w:r>
    </w:p>
    <w:p>
      <w:pPr>
        <w:pStyle w:val="BodyText"/>
      </w:pPr>
      <w:r>
        <w:rPr>
          <w:bCs/>
          <w:b/>
        </w:rPr>
        <w:t xml:space="preserve">Equity question for research:</w:t>
      </w:r>
      <w:r>
        <w:t xml:space="preserve"> </w:t>
      </w:r>
      <w:r>
        <w:t xml:space="preserve">Concentration of the highest acuity care at MUSC creates a</w:t>
      </w:r>
      <w:r>
        <w:t xml:space="preserve"> </w:t>
      </w:r>
      <w:r>
        <w:rPr>
          <w:bCs/>
          <w:b/>
        </w:rPr>
        <w:t xml:space="preserve">two-tier geography</w:t>
      </w:r>
      <w:r>
        <w:t xml:space="preserve">—proximity to downtown Charleston vs North Charleston, rural Dorchester/Berkeley corridors, and islands. Transportation barriers (see Section 6) compound this.</w:t>
      </w:r>
    </w:p>
    <w:p>
      <w:r>
        <w:pict>
          <v:rect style="width:0;height:1.5pt" o:hralign="center" o:hrstd="t" o:hr="t"/>
        </w:pict>
      </w:r>
    </w:p>
    <w:bookmarkEnd w:id="42"/>
    <w:bookmarkEnd w:id="43"/>
    <w:bookmarkStart w:id="48" w:name="X654e3872055005190584f3c316801f2323bd96c"/>
    <w:p>
      <w:pPr>
        <w:pStyle w:val="Heading2"/>
      </w:pPr>
      <w:r>
        <w:t xml:space="preserve">4. Nutrition, WIC, and maternal metabolic health</w:t>
      </w:r>
    </w:p>
    <w:bookmarkStart w:id="44" w:name="wic-participation"/>
    <w:p>
      <w:pPr>
        <w:pStyle w:val="Heading3"/>
      </w:pPr>
      <w:r>
        <w:t xml:space="preserve">4.1 WIC participation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Mothers receiving WIC during pregnancy</w:t>
            </w:r>
          </w:p>
        </w:tc>
        <w:tc>
          <w:tcPr/>
          <w:p>
            <w:pPr>
              <w:pStyle w:val="Compact"/>
              <w:jc w:val="left"/>
            </w:pPr>
            <w:r>
              <w:t xml:space="preserve">1,678 (</w:t>
            </w:r>
            <w:r>
              <w:rPr>
                <w:bCs/>
                <w:b/>
              </w:rPr>
              <w:t xml:space="preserve">34.6%</w:t>
            </w:r>
            <w:r>
              <w:t xml:space="preserve">)</w:t>
            </w:r>
          </w:p>
        </w:tc>
        <w:tc>
          <w:tcPr/>
          <w:p>
            <w:pPr>
              <w:pStyle w:val="Compact"/>
              <w:jc w:val="left"/>
            </w:pPr>
            <w:r>
              <w:t xml:space="preserve">VMS Table C-34</w:t>
            </w:r>
          </w:p>
        </w:tc>
      </w:tr>
      <w:tr>
        <w:tc>
          <w:tcPr/>
          <w:p>
            <w:pPr>
              <w:pStyle w:val="Compact"/>
              <w:jc w:val="left"/>
            </w:pPr>
            <w:r>
              <w:t xml:space="preserve">SC statewide WIC participation rate (approx.)</w:t>
            </w:r>
          </w:p>
        </w:tc>
        <w:tc>
          <w:tcPr/>
          <w:p>
            <w:pPr>
              <w:pStyle w:val="Compact"/>
              <w:jc w:val="left"/>
            </w:pPr>
            <w:r>
              <w:t xml:space="preserve">~53% of eligible pregnancies served</w:t>
            </w:r>
          </w:p>
        </w:tc>
        <w:tc>
          <w:tcPr/>
          <w:p>
            <w:pPr>
              <w:pStyle w:val="Compact"/>
              <w:jc w:val="left"/>
            </w:pPr>
            <w:r>
              <w:t xml:space="preserve">USDA FNS / state reports</w:t>
            </w:r>
          </w:p>
        </w:tc>
      </w:tr>
    </w:tbl>
    <w:p>
      <w:pPr>
        <w:pStyle w:val="BodyText"/>
      </w:pPr>
      <w:r>
        <w:rPr>
          <w:bCs/>
          <w:b/>
        </w:rPr>
        <w:t xml:space="preserve">Gap:</w:t>
      </w:r>
      <w:r>
        <w:t xml:space="preserve"> </w:t>
      </w:r>
      <w:r>
        <w:t xml:space="preserve">An estimated</w:t>
      </w:r>
      <w:r>
        <w:t xml:space="preserve"> </w:t>
      </w:r>
      <w:r>
        <w:rPr>
          <w:bCs/>
          <w:b/>
        </w:rPr>
        <w:t xml:space="preserve">majority of income-eligible pregnant people may not receive WIC</w:t>
      </w:r>
      <w:r>
        <w:t xml:space="preserve"> </w:t>
      </w:r>
      <w:r>
        <w:t xml:space="preserve">despite Medicaid enrollment above 50%. WIC provides</w:t>
      </w:r>
      <w:r>
        <w:t xml:space="preserve"> </w:t>
      </w:r>
      <w:r>
        <w:rPr>
          <w:bCs/>
          <w:b/>
        </w:rPr>
        <w:t xml:space="preserve">nutritious foods, breastfeeding support, and referrals</w:t>
      </w:r>
      <w:r>
        <w:t xml:space="preserve">—evidence-based for reducing LBW and prematurity (USDA, Cochrane reviews).</w:t>
      </w:r>
    </w:p>
    <w:bookmarkEnd w:id="44"/>
    <w:bookmarkStart w:id="45" w:name="maternal-bmi-and-obesity"/>
    <w:p>
      <w:pPr>
        <w:pStyle w:val="Heading3"/>
      </w:pPr>
      <w:r>
        <w:t xml:space="preserve">4.2 Maternal BMI and obesity</w:t>
      </w:r>
    </w:p>
    <w:p>
      <w:pPr>
        <w:pStyle w:val="FirstParagraph"/>
      </w:pPr>
      <w:r>
        <w:t xml:space="preserve">VMS Table C-36 (maternal pre-pregnancy BMI,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White births</w:t>
            </w:r>
          </w:p>
        </w:tc>
        <w:tc>
          <w:tcPr/>
          <w:p>
            <w:pPr>
              <w:pStyle w:val="Compact"/>
              <w:jc w:val="left"/>
            </w:pPr>
            <w:r>
              <w:t xml:space="preserve">Black births</w:t>
            </w:r>
          </w:p>
        </w:tc>
      </w:tr>
      <w:tr>
        <w:tc>
          <w:tcPr/>
          <w:p>
            <w:pPr>
              <w:pStyle w:val="Compact"/>
              <w:jc w:val="left"/>
            </w:pPr>
            <w:r>
              <w:t xml:space="preserve">Obese</w:t>
            </w:r>
          </w:p>
        </w:tc>
        <w:tc>
          <w:tcPr/>
          <w:p>
            <w:pPr>
              <w:pStyle w:val="Compact"/>
              <w:jc w:val="left"/>
            </w:pPr>
            <w:r>
              <w:rPr>
                <w:bCs/>
                <w:b/>
              </w:rPr>
              <w:t xml:space="preserve">39.0%</w:t>
            </w:r>
          </w:p>
        </w:tc>
        <w:tc>
          <w:tcPr/>
          <w:p>
            <w:pPr>
              <w:pStyle w:val="Compact"/>
              <w:jc w:val="left"/>
            </w:pPr>
            <w:r>
              <w:rPr>
                <w:bCs/>
                <w:b/>
              </w:rPr>
              <w:t xml:space="preserve">39.0%</w:t>
            </w:r>
          </w:p>
        </w:tc>
      </w:tr>
      <w:tr>
        <w:tc>
          <w:tcPr/>
          <w:p>
            <w:pPr>
              <w:pStyle w:val="Compact"/>
              <w:jc w:val="left"/>
            </w:pPr>
            <w:r>
              <w:t xml:space="preserve">Overweight</w:t>
            </w:r>
          </w:p>
        </w:tc>
        <w:tc>
          <w:tcPr/>
          <w:p>
            <w:pPr>
              <w:pStyle w:val="Compact"/>
              <w:jc w:val="left"/>
            </w:pPr>
            <w:r>
              <w:t xml:space="preserve">23.6%</w:t>
            </w:r>
          </w:p>
        </w:tc>
        <w:tc>
          <w:tcPr/>
          <w:p>
            <w:pPr>
              <w:pStyle w:val="Compact"/>
              <w:jc w:val="left"/>
            </w:pPr>
            <w:r>
              <w:t xml:space="preserve">23.6%</w:t>
            </w:r>
          </w:p>
        </w:tc>
      </w:tr>
      <w:tr>
        <w:tc>
          <w:tcPr/>
          <w:p>
            <w:pPr>
              <w:pStyle w:val="Compact"/>
              <w:jc w:val="left"/>
            </w:pPr>
            <w:r>
              <w:t xml:space="preserve">Normal</w:t>
            </w:r>
          </w:p>
        </w:tc>
        <w:tc>
          <w:tcPr/>
          <w:p>
            <w:pPr>
              <w:pStyle w:val="Compact"/>
              <w:jc w:val="left"/>
            </w:pPr>
            <w:r>
              <w:t xml:space="preserve">33.5%</w:t>
            </w:r>
          </w:p>
        </w:tc>
        <w:tc>
          <w:tcPr/>
          <w:p>
            <w:pPr>
              <w:pStyle w:val="Compact"/>
              <w:jc w:val="left"/>
            </w:pPr>
            <w:r>
              <w:t xml:space="preserve">33.5%</w:t>
            </w:r>
          </w:p>
        </w:tc>
      </w:tr>
      <w:tr>
        <w:tc>
          <w:tcPr/>
          <w:p>
            <w:pPr>
              <w:pStyle w:val="Compact"/>
              <w:jc w:val="left"/>
            </w:pPr>
            <w:r>
              <w:t xml:space="preserve">Underweight</w:t>
            </w:r>
          </w:p>
        </w:tc>
        <w:tc>
          <w:tcPr/>
          <w:p>
            <w:pPr>
              <w:pStyle w:val="Compact"/>
              <w:jc w:val="left"/>
            </w:pPr>
            <w:r>
              <w:t xml:space="preserve">3.6%</w:t>
            </w:r>
          </w:p>
        </w:tc>
        <w:tc>
          <w:tcPr/>
          <w:p>
            <w:pPr>
              <w:pStyle w:val="Compact"/>
              <w:jc w:val="left"/>
            </w:pPr>
            <w:r>
              <w:t xml:space="preserve">3.6%</w:t>
            </w:r>
          </w:p>
        </w:tc>
      </w:tr>
    </w:tbl>
    <w:p>
      <w:pPr>
        <w:pStyle w:val="BodyText"/>
      </w:pPr>
      <w:r>
        <w:t xml:space="preserve">Obesity prevalence near</w:t>
      </w:r>
      <w:r>
        <w:t xml:space="preserve"> </w:t>
      </w:r>
      <w:r>
        <w:rPr>
          <w:bCs/>
          <w:b/>
        </w:rPr>
        <w:t xml:space="preserve">40%</w:t>
      </w:r>
      <w:r>
        <w:t xml:space="preserve"> </w:t>
      </w:r>
      <w:r>
        <w:t xml:space="preserve">elevates risk of</w:t>
      </w:r>
      <w:r>
        <w:t xml:space="preserve"> </w:t>
      </w:r>
      <w:r>
        <w:rPr>
          <w:bCs/>
          <w:b/>
        </w:rPr>
        <w:t xml:space="preserve">gestational diabetes, preeclampsia, cesarean delivery, and stillbirth</w:t>
      </w:r>
      <w:r>
        <w:t xml:space="preserve">. Charleston mirrors national racial convergence on obesity with divergent</w:t>
      </w:r>
      <w:r>
        <w:t xml:space="preserve"> </w:t>
      </w:r>
      <w:r>
        <w:rPr>
          <w:bCs/>
          <w:b/>
        </w:rPr>
        <w:t xml:space="preserve">downstream</w:t>
      </w:r>
      <w:r>
        <w:t xml:space="preserve"> </w:t>
      </w:r>
      <w:r>
        <w:t xml:space="preserve">outcomes—consistent with</w:t>
      </w:r>
      <w:r>
        <w:t xml:space="preserve"> </w:t>
      </w:r>
      <w:r>
        <w:rPr>
          <w:bCs/>
          <w:b/>
        </w:rPr>
        <w:t xml:space="preserve">weathering</w:t>
      </w:r>
      <w:r>
        <w:t xml:space="preserve"> </w:t>
      </w:r>
      <w:r>
        <w:t xml:space="preserve">and structural racism hypotheses (Geronimus, 1992).</w:t>
      </w:r>
    </w:p>
    <w:bookmarkEnd w:id="45"/>
    <w:bookmarkStart w:id="47" w:name="food-environment-county-level"/>
    <w:p>
      <w:pPr>
        <w:pStyle w:val="Heading3"/>
      </w:pPr>
      <w:r>
        <w:t xml:space="preserve">4.3 Food environment (county level)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Food Environment Index</w:t>
            </w:r>
          </w:p>
        </w:tc>
        <w:tc>
          <w:tcPr/>
          <w:p>
            <w:pPr>
              <w:pStyle w:val="Compact"/>
              <w:jc w:val="left"/>
            </w:pPr>
            <w:r>
              <w:rPr>
                <w:bCs/>
                <w:b/>
              </w:rPr>
              <w:t xml:space="preserve">7.1</w:t>
            </w:r>
            <w:r>
              <w:t xml:space="preserve"> </w:t>
            </w:r>
            <w:r>
              <w:t xml:space="preserve">(higher = better access)</w:t>
            </w:r>
          </w:p>
        </w:tc>
        <w:tc>
          <w:tcPr/>
          <w:p>
            <w:pPr>
              <w:pStyle w:val="Compact"/>
              <w:jc w:val="left"/>
            </w:pPr>
            <w:hyperlink r:id="rId46">
              <w:r>
                <w:rPr>
                  <w:rStyle w:val="Hyperlink"/>
                </w:rPr>
                <w:t xml:space="preserve">County Health Rankings</w:t>
              </w:r>
            </w:hyperlink>
          </w:p>
        </w:tc>
      </w:tr>
      <w:tr>
        <w:tc>
          <w:tcPr/>
          <w:p>
            <w:pPr>
              <w:pStyle w:val="Compact"/>
              <w:jc w:val="left"/>
            </w:pPr>
            <w:r>
              <w:t xml:space="preserve">Tract food insecurity (adults, PLACES)</w:t>
            </w:r>
          </w:p>
        </w:tc>
        <w:tc>
          <w:tcPr/>
          <w:p>
            <w:pPr>
              <w:pStyle w:val="Compact"/>
              <w:jc w:val="left"/>
            </w:pPr>
            <w:r>
              <w:t xml:space="preserve">2.9% –</w:t>
            </w:r>
            <w:r>
              <w:t xml:space="preserve"> </w:t>
            </w:r>
            <w:r>
              <w:rPr>
                <w:bCs/>
                <w:b/>
              </w:rPr>
              <w:t xml:space="preserve">50.6%</w:t>
            </w:r>
            <w:r>
              <w:t xml:space="preserve"> </w:t>
            </w:r>
            <w:r>
              <w:t xml:space="preserve">across tracts</w:t>
            </w:r>
          </w:p>
        </w:tc>
        <w:tc>
          <w:tcPr/>
          <w:p>
            <w:pPr>
              <w:pStyle w:val="Compact"/>
              <w:jc w:val="left"/>
            </w:pPr>
            <w:r>
              <w:t xml:space="preserve">CDC PLACES 2025 (see</w:t>
            </w:r>
            <w:r>
              <w:t xml:space="preserve"> </w:t>
            </w:r>
            <w:r>
              <w:rPr>
                <w:rStyle w:val="VerbatimChar"/>
              </w:rPr>
              <w:t xml:space="preserve">charleston_county</w:t>
            </w:r>
            <w:r>
              <w:t xml:space="preserve"> </w:t>
            </w:r>
            <w:r>
              <w:t xml:space="preserve">analysis)</w:t>
            </w:r>
          </w:p>
        </w:tc>
      </w:tr>
    </w:tbl>
    <w:p>
      <w:pPr>
        <w:pStyle w:val="BodyText"/>
      </w:pPr>
      <w:r>
        <w:t xml:space="preserve">County averages</w:t>
      </w:r>
      <w:r>
        <w:t xml:space="preserve"> </w:t>
      </w:r>
      <w:r>
        <w:rPr>
          <w:bCs/>
          <w:b/>
        </w:rPr>
        <w:t xml:space="preserve">hide</w:t>
      </w:r>
      <w:r>
        <w:t xml:space="preserve"> </w:t>
      </w:r>
      <w:r>
        <w:t xml:space="preserve">food deserts in North Charleston and rural western tracts where SVI and food insecurity correlate at</w:t>
      </w:r>
      <w:r>
        <w:t xml:space="preserve"> </w:t>
      </w:r>
      <w:r>
        <w:rPr>
          <w:bCs/>
          <w:b/>
        </w:rPr>
        <w:t xml:space="preserve">r ≈ 0.85</w:t>
      </w:r>
      <w:r>
        <w:t xml:space="preserve">.</w:t>
      </w:r>
    </w:p>
    <w:p>
      <w:r>
        <w:pict>
          <v:rect style="width:0;height:1.5pt" o:hralign="center" o:hrstd="t" o:hr="t"/>
        </w:pict>
      </w:r>
    </w:p>
    <w:bookmarkEnd w:id="47"/>
    <w:bookmarkEnd w:id="48"/>
    <w:bookmarkStart w:id="52" w:name="X53c63d1f1bce5027f42c71338a02780ef0755de"/>
    <w:p>
      <w:pPr>
        <w:pStyle w:val="Heading2"/>
      </w:pPr>
      <w:r>
        <w:t xml:space="preserve">5. Social determinants, poverty, and family structure</w:t>
      </w:r>
    </w:p>
    <w:bookmarkStart w:id="49" w:name="poverty-and-insurance-at-community-level"/>
    <w:p>
      <w:pPr>
        <w:pStyle w:val="Heading3"/>
      </w:pPr>
      <w:r>
        <w:t xml:space="preserve">5.1 Poverty and insurance at community level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Charleston</w:t>
            </w:r>
          </w:p>
        </w:tc>
        <w:tc>
          <w:tcPr/>
          <w:p>
            <w:pPr>
              <w:pStyle w:val="Compact"/>
              <w:jc w:val="left"/>
            </w:pPr>
            <w:r>
              <w:t xml:space="preserve">Source</w:t>
            </w:r>
          </w:p>
        </w:tc>
      </w:tr>
      <w:tr>
        <w:tc>
          <w:tcPr/>
          <w:p>
            <w:pPr>
              <w:pStyle w:val="Compact"/>
              <w:jc w:val="left"/>
            </w:pPr>
            <w:r>
              <w:t xml:space="preserve">Child poverty</w:t>
            </w:r>
          </w:p>
        </w:tc>
        <w:tc>
          <w:tcPr/>
          <w:p>
            <w:pPr>
              <w:pStyle w:val="Compact"/>
              <w:jc w:val="left"/>
            </w:pPr>
            <w:r>
              <w:rPr>
                <w:bCs/>
                <w:b/>
              </w:rPr>
              <w:t xml:space="preserve">9.7%</w:t>
            </w:r>
          </w:p>
        </w:tc>
        <w:tc>
          <w:tcPr/>
          <w:p>
            <w:pPr>
              <w:pStyle w:val="Compact"/>
              <w:jc w:val="left"/>
            </w:pPr>
            <w:r>
              <w:t xml:space="preserve">County Health Rankings 2025</w:t>
            </w:r>
          </w:p>
        </w:tc>
      </w:tr>
      <w:tr>
        <w:tc>
          <w:tcPr/>
          <w:p>
            <w:pPr>
              <w:pStyle w:val="Compact"/>
              <w:jc w:val="left"/>
            </w:pPr>
            <w:r>
              <w:t xml:space="preserve">Uninsured adults (18–64)</w:t>
            </w:r>
          </w:p>
        </w:tc>
        <w:tc>
          <w:tcPr/>
          <w:p>
            <w:pPr>
              <w:pStyle w:val="Compact"/>
              <w:jc w:val="left"/>
            </w:pPr>
            <w:r>
              <w:rPr>
                <w:bCs/>
                <w:b/>
              </w:rPr>
              <w:t xml:space="preserve">14.2%</w:t>
            </w:r>
          </w:p>
        </w:tc>
        <w:tc>
          <w:tcPr/>
          <w:p>
            <w:pPr>
              <w:pStyle w:val="Compact"/>
              <w:jc w:val="left"/>
            </w:pPr>
            <w:r>
              <w:t xml:space="preserve">Same</w:t>
            </w:r>
          </w:p>
        </w:tc>
      </w:tr>
      <w:tr>
        <w:tc>
          <w:tcPr/>
          <w:p>
            <w:pPr>
              <w:pStyle w:val="Compact"/>
              <w:jc w:val="left"/>
            </w:pPr>
            <w:r>
              <w:t xml:space="preserve">Severe housing problems</w:t>
            </w:r>
          </w:p>
        </w:tc>
        <w:tc>
          <w:tcPr/>
          <w:p>
            <w:pPr>
              <w:pStyle w:val="Compact"/>
              <w:jc w:val="left"/>
            </w:pPr>
            <w:r>
              <w:rPr>
                <w:bCs/>
                <w:b/>
              </w:rPr>
              <w:t xml:space="preserve">34.2%</w:t>
            </w:r>
          </w:p>
        </w:tc>
        <w:tc>
          <w:tcPr/>
          <w:p>
            <w:pPr>
              <w:pStyle w:val="Compact"/>
              <w:jc w:val="left"/>
            </w:pPr>
            <w:r>
              <w:t xml:space="preserve">Same</w:t>
            </w:r>
          </w:p>
        </w:tc>
      </w:tr>
      <w:tr>
        <w:tc>
          <w:tcPr/>
          <w:p>
            <w:pPr>
              <w:pStyle w:val="Compact"/>
              <w:jc w:val="left"/>
            </w:pPr>
            <w:r>
              <w:t xml:space="preserve">Life expectancy</w:t>
            </w:r>
          </w:p>
        </w:tc>
        <w:tc>
          <w:tcPr/>
          <w:p>
            <w:pPr>
              <w:pStyle w:val="Compact"/>
              <w:jc w:val="left"/>
            </w:pPr>
            <w:r>
              <w:rPr>
                <w:bCs/>
                <w:b/>
              </w:rPr>
              <w:t xml:space="preserve">77.9 years</w:t>
            </w:r>
          </w:p>
        </w:tc>
        <w:tc>
          <w:tcPr/>
          <w:p>
            <w:pPr>
              <w:pStyle w:val="Compact"/>
              <w:jc w:val="left"/>
            </w:pPr>
            <w:r>
              <w:t xml:space="preserve">Same</w:t>
            </w:r>
          </w:p>
        </w:tc>
      </w:tr>
      <w:tr>
        <w:tc>
          <w:tcPr/>
          <w:p>
            <w:pPr>
              <w:pStyle w:val="Compact"/>
              <w:jc w:val="left"/>
            </w:pPr>
            <w:r>
              <w:t xml:space="preserve">Premature death (YPLL rate)</w:t>
            </w:r>
          </w:p>
        </w:tc>
        <w:tc>
          <w:tcPr/>
          <w:p>
            <w:pPr>
              <w:pStyle w:val="Compact"/>
              <w:jc w:val="left"/>
            </w:pPr>
            <w:r>
              <w:rPr>
                <w:bCs/>
                <w:b/>
              </w:rPr>
              <w:t xml:space="preserve">254.6</w:t>
            </w:r>
            <w:r>
              <w:t xml:space="preserve"> </w:t>
            </w:r>
            <w:r>
              <w:t xml:space="preserve">per 100,000</w:t>
            </w:r>
          </w:p>
        </w:tc>
        <w:tc>
          <w:tcPr/>
          <w:p>
            <w:pPr>
              <w:pStyle w:val="Compact"/>
              <w:jc w:val="left"/>
            </w:pPr>
            <w:r>
              <w:t xml:space="preserve">Same</w:t>
            </w:r>
          </w:p>
        </w:tc>
      </w:tr>
    </w:tbl>
    <w:bookmarkEnd w:id="49"/>
    <w:bookmarkStart w:id="50" w:name="non-marital-births-social-support-proxy"/>
    <w:p>
      <w:pPr>
        <w:pStyle w:val="Heading3"/>
      </w:pPr>
      <w:r>
        <w:t xml:space="preserve">5.2 Non-marital births (social support proxy)</w:t>
      </w:r>
    </w:p>
    <w:p>
      <w:pPr>
        <w:pStyle w:val="FirstParagraph"/>
      </w:pPr>
      <w:r>
        <w:t xml:space="preserve">VMS Table C-21 (2023):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Unmarried births</w:t>
            </w:r>
          </w:p>
        </w:tc>
        <w:tc>
          <w:tcPr/>
          <w:p>
            <w:pPr>
              <w:pStyle w:val="Compact"/>
              <w:jc w:val="left"/>
            </w:pPr>
            <w:r>
              <w:t xml:space="preserve">Percent</w:t>
            </w:r>
          </w:p>
        </w:tc>
      </w:tr>
      <w:tr>
        <w:tc>
          <w:tcPr/>
          <w:p>
            <w:pPr>
              <w:pStyle w:val="Compact"/>
              <w:jc w:val="left"/>
            </w:pPr>
            <w:r>
              <w:t xml:space="preserve">All</w:t>
            </w:r>
          </w:p>
        </w:tc>
        <w:tc>
          <w:tcPr/>
          <w:p>
            <w:pPr>
              <w:pStyle w:val="Compact"/>
              <w:jc w:val="left"/>
            </w:pPr>
            <w:r>
              <w:t xml:space="preserve">1,723 / 4,856</w:t>
            </w:r>
          </w:p>
        </w:tc>
        <w:tc>
          <w:tcPr/>
          <w:p>
            <w:pPr>
              <w:pStyle w:val="Compact"/>
              <w:jc w:val="left"/>
            </w:pPr>
            <w:r>
              <w:rPr>
                <w:bCs/>
                <w:b/>
              </w:rPr>
              <w:t xml:space="preserve">35.5%</w:t>
            </w:r>
          </w:p>
        </w:tc>
      </w:tr>
      <w:tr>
        <w:tc>
          <w:tcPr/>
          <w:p>
            <w:pPr>
              <w:pStyle w:val="Compact"/>
              <w:jc w:val="left"/>
            </w:pPr>
            <w:r>
              <w:t xml:space="preserve">White</w:t>
            </w:r>
          </w:p>
        </w:tc>
        <w:tc>
          <w:tcPr/>
          <w:p>
            <w:pPr>
              <w:pStyle w:val="Compact"/>
              <w:jc w:val="left"/>
            </w:pPr>
            <w:r>
              <w:t xml:space="preserve">410 / 2,901</w:t>
            </w:r>
          </w:p>
        </w:tc>
        <w:tc>
          <w:tcPr/>
          <w:p>
            <w:pPr>
              <w:pStyle w:val="Compact"/>
              <w:jc w:val="left"/>
            </w:pPr>
            <w:r>
              <w:t xml:space="preserve">14.1%</w:t>
            </w:r>
          </w:p>
        </w:tc>
      </w:tr>
      <w:tr>
        <w:tc>
          <w:tcPr/>
          <w:p>
            <w:pPr>
              <w:pStyle w:val="Compact"/>
              <w:jc w:val="left"/>
            </w:pPr>
            <w:r>
              <w:t xml:space="preserve">Black</w:t>
            </w:r>
          </w:p>
        </w:tc>
        <w:tc>
          <w:tcPr/>
          <w:p>
            <w:pPr>
              <w:pStyle w:val="Compact"/>
              <w:jc w:val="left"/>
            </w:pPr>
            <w:r>
              <w:t xml:space="preserve">844 / 1,154</w:t>
            </w:r>
          </w:p>
        </w:tc>
        <w:tc>
          <w:tcPr/>
          <w:p>
            <w:pPr>
              <w:pStyle w:val="Compact"/>
              <w:jc w:val="left"/>
            </w:pPr>
            <w:r>
              <w:rPr>
                <w:bCs/>
                <w:b/>
              </w:rPr>
              <w:t xml:space="preserve">73.1%</w:t>
            </w:r>
          </w:p>
        </w:tc>
      </w:tr>
    </w:tbl>
    <w:p>
      <w:pPr>
        <w:pStyle w:val="BodyText"/>
      </w:pPr>
      <w:r>
        <w:t xml:space="preserve">Single-parent household prevalence correlates with</w:t>
      </w:r>
      <w:r>
        <w:t xml:space="preserve"> </w:t>
      </w:r>
      <w:r>
        <w:rPr>
          <w:bCs/>
          <w:b/>
        </w:rPr>
        <w:t xml:space="preserve">economic insecurity</w:t>
      </w:r>
      <w:r>
        <w:t xml:space="preserve"> </w:t>
      </w:r>
      <w:r>
        <w:t xml:space="preserve">and less postpartum support—not causation of poor outcomes alone, but a marker for</w:t>
      </w:r>
      <w:r>
        <w:t xml:space="preserve"> </w:t>
      </w:r>
      <w:r>
        <w:rPr>
          <w:bCs/>
          <w:b/>
        </w:rPr>
        <w:t xml:space="preserve">targeted home visiting</w:t>
      </w:r>
      <w:r>
        <w:t xml:space="preserve"> </w:t>
      </w:r>
      <w:r>
        <w:t xml:space="preserve">(NFP, MIECHV).</w:t>
      </w:r>
    </w:p>
    <w:bookmarkEnd w:id="50"/>
    <w:bookmarkStart w:id="51" w:name="adolescent-childbearing"/>
    <w:p>
      <w:pPr>
        <w:pStyle w:val="Heading3"/>
      </w:pPr>
      <w:r>
        <w:t xml:space="preserve">5.3 Adolescent childbearing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Measure</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Births to mothers &lt;20</w:t>
            </w:r>
          </w:p>
        </w:tc>
        <w:tc>
          <w:tcPr/>
          <w:p>
            <w:pPr>
              <w:pStyle w:val="Compact"/>
              <w:jc w:val="left"/>
            </w:pPr>
            <w:r>
              <w:t xml:space="preserve">522 (</w:t>
            </w:r>
            <w:r>
              <w:rPr>
                <w:bCs/>
                <w:b/>
              </w:rPr>
              <w:t xml:space="preserve">10.7%</w:t>
            </w:r>
            <w:r>
              <w:t xml:space="preserve">)</w:t>
            </w:r>
          </w:p>
        </w:tc>
        <w:tc>
          <w:tcPr/>
          <w:p>
            <w:pPr>
              <w:pStyle w:val="Compact"/>
              <w:jc w:val="left"/>
            </w:pPr>
            <w:r>
              <w:t xml:space="preserve">VMS Table C-19</w:t>
            </w:r>
          </w:p>
        </w:tc>
      </w:tr>
      <w:tr>
        <w:tc>
          <w:tcPr/>
          <w:p>
            <w:pPr>
              <w:pStyle w:val="Compact"/>
              <w:jc w:val="left"/>
            </w:pPr>
            <w:r>
              <w:t xml:space="preserve">Teen births (&lt;15)</w:t>
            </w:r>
          </w:p>
        </w:tc>
        <w:tc>
          <w:tcPr/>
          <w:p>
            <w:pPr>
              <w:pStyle w:val="Compact"/>
              <w:jc w:val="left"/>
            </w:pPr>
            <w:r>
              <w:t xml:space="preserve">51 (1.1%)</w:t>
            </w:r>
          </w:p>
        </w:tc>
        <w:tc>
          <w:tcPr/>
          <w:p>
            <w:pPr>
              <w:pStyle w:val="Compact"/>
              <w:jc w:val="left"/>
            </w:pPr>
            <w:r>
              <w:t xml:space="preserve">VMS Table C-29 area</w:t>
            </w:r>
          </w:p>
        </w:tc>
      </w:tr>
    </w:tbl>
    <w:p>
      <w:pPr>
        <w:pStyle w:val="BodyText"/>
      </w:pPr>
      <w:r>
        <w:t xml:space="preserve">Teen birth rates have fallen nationally but</w:t>
      </w:r>
      <w:r>
        <w:t xml:space="preserve"> </w:t>
      </w:r>
      <w:r>
        <w:rPr>
          <w:bCs/>
          <w:b/>
        </w:rPr>
        <w:t xml:space="preserve">10.7%</w:t>
      </w:r>
      <w:r>
        <w:t xml:space="preserve"> </w:t>
      </w:r>
      <w:r>
        <w:t xml:space="preserve">remains clinically significant for prematurity and LBW risk.</w:t>
      </w:r>
    </w:p>
    <w:p>
      <w:r>
        <w:pict>
          <v:rect style="width:0;height:1.5pt" o:hralign="center" o:hrstd="t" o:hr="t"/>
        </w:pict>
      </w:r>
    </w:p>
    <w:bookmarkEnd w:id="51"/>
    <w:bookmarkEnd w:id="52"/>
    <w:bookmarkStart w:id="55" w:name="X71bfcb2b0d72238e38978d43e78ded2380df0a4"/>
    <w:p>
      <w:pPr>
        <w:pStyle w:val="Heading2"/>
      </w:pPr>
      <w:r>
        <w:t xml:space="preserve">6. Environment, housing, and climate vulnerability</w:t>
      </w:r>
    </w:p>
    <w:bookmarkStart w:id="53" w:name="air-quality"/>
    <w:p>
      <w:pPr>
        <w:pStyle w:val="Heading3"/>
      </w:pPr>
      <w:r>
        <w:t xml:space="preserve">6.1 Air quality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Pollutant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PM2.5 annual mean</w:t>
            </w:r>
          </w:p>
        </w:tc>
        <w:tc>
          <w:tcPr/>
          <w:p>
            <w:pPr>
              <w:pStyle w:val="Compact"/>
              <w:jc w:val="left"/>
            </w:pPr>
            <w:r>
              <w:rPr>
                <w:bCs/>
                <w:b/>
              </w:rPr>
              <w:t xml:space="preserve">8.4 µg/m³</w:t>
            </w:r>
          </w:p>
        </w:tc>
        <w:tc>
          <w:tcPr/>
          <w:p>
            <w:pPr>
              <w:pStyle w:val="Compact"/>
              <w:jc w:val="left"/>
            </w:pPr>
            <w:r>
              <w:t xml:space="preserve">County Health Rankings 2025</w:t>
            </w:r>
          </w:p>
        </w:tc>
      </w:tr>
    </w:tbl>
    <w:p>
      <w:pPr>
        <w:pStyle w:val="BodyText"/>
      </w:pPr>
      <w:r>
        <w:t xml:space="preserve">PM2.5 exposure in pregnancy is associated with</w:t>
      </w:r>
      <w:r>
        <w:t xml:space="preserve"> </w:t>
      </w:r>
      <w:r>
        <w:rPr>
          <w:bCs/>
          <w:b/>
        </w:rPr>
        <w:t xml:space="preserve">preterm birth and low birthweight</w:t>
      </w:r>
      <w:r>
        <w:t xml:space="preserve"> </w:t>
      </w:r>
      <w:r>
        <w:t xml:space="preserve">(EPA/NIEHS systematic reviews).</w:t>
      </w:r>
    </w:p>
    <w:bookmarkEnd w:id="53"/>
    <w:bookmarkStart w:id="54" w:name="housing-and-climate"/>
    <w:p>
      <w:pPr>
        <w:pStyle w:val="Heading3"/>
      </w:pPr>
      <w:r>
        <w:t xml:space="preserve">6.2 Housing and climate</w:t>
      </w:r>
    </w:p>
    <w:p>
      <w:pPr>
        <w:pStyle w:val="FirstParagraph"/>
      </w:pPr>
      <w:r>
        <w:t xml:space="preserve">Charleston County faces</w:t>
      </w:r>
      <w:r>
        <w:t xml:space="preserve"> </w:t>
      </w:r>
      <w:r>
        <w:rPr>
          <w:bCs/>
          <w:b/>
        </w:rPr>
        <w:t xml:space="preserve">sea-level rise, flooding, and extreme heat</w:t>
      </w:r>
      <w:r>
        <w:t xml:space="preserve"> </w:t>
      </w:r>
      <w:r>
        <w:t xml:space="preserve">(Charleston County Multi-Hazard Vulnerability Assessment, 2023). Housing cost burden (</w:t>
      </w:r>
      <w:r>
        <w:rPr>
          <w:bCs/>
          <w:b/>
        </w:rPr>
        <w:t xml:space="preserve">34.2%</w:t>
      </w:r>
      <w:r>
        <w:t xml:space="preserve"> </w:t>
      </w:r>
      <w:r>
        <w:t xml:space="preserve">severe housing problems) forces tradeoffs between</w:t>
      </w:r>
      <w:r>
        <w:t xml:space="preserve"> </w:t>
      </w:r>
      <w:r>
        <w:rPr>
          <w:bCs/>
          <w:b/>
        </w:rPr>
        <w:t xml:space="preserve">rent, food, and prenatal care co-pays</w:t>
      </w:r>
      <w:r>
        <w:t xml:space="preserve">.</w:t>
      </w:r>
    </w:p>
    <w:p>
      <w:pPr>
        <w:pStyle w:val="BodyText"/>
      </w:pPr>
      <w:r>
        <w:t xml:space="preserve">Tract-level PLACES measures document:</w:t>
      </w:r>
      <w:r>
        <w:t xml:space="preserve"> </w:t>
      </w:r>
      <w:r>
        <w:t xml:space="preserve">-</w:t>
      </w:r>
      <w:r>
        <w:t xml:space="preserve"> </w:t>
      </w:r>
      <w:r>
        <w:rPr>
          <w:bCs/>
          <w:b/>
        </w:rPr>
        <w:t xml:space="preserve">Housing insecurity:</w:t>
      </w:r>
      <w:r>
        <w:t xml:space="preserve"> </w:t>
      </w:r>
      <w:r>
        <w:t xml:space="preserve">up to ~40%+ in high-SVI tracts</w:t>
      </w:r>
      <w:r>
        <w:t xml:space="preserve"> </w:t>
      </w:r>
      <w:r>
        <w:t xml:space="preserve">-</w:t>
      </w:r>
      <w:r>
        <w:t xml:space="preserve"> </w:t>
      </w:r>
      <w:r>
        <w:rPr>
          <w:bCs/>
          <w:b/>
        </w:rPr>
        <w:t xml:space="preserve">Utility shut-off threat:</w:t>
      </w:r>
      <w:r>
        <w:t xml:space="preserve"> </w:t>
      </w:r>
      <w:r>
        <w:t xml:space="preserve">concentrated inland</w:t>
      </w:r>
      <w:r>
        <w:t xml:space="preserve"> </w:t>
      </w:r>
      <w:r>
        <w:t xml:space="preserve">-</w:t>
      </w:r>
      <w:r>
        <w:t xml:space="preserve"> </w:t>
      </w:r>
      <w:r>
        <w:rPr>
          <w:bCs/>
          <w:b/>
        </w:rPr>
        <w:t xml:space="preserve">Transportation barriers:</w:t>
      </w:r>
      <w:r>
        <w:t xml:space="preserve"> </w:t>
      </w:r>
      <w:r>
        <w:t xml:space="preserve">strongest in rural western tracts</w:t>
      </w:r>
    </w:p>
    <w:p>
      <w:pPr>
        <w:pStyle w:val="BodyText"/>
      </w:pPr>
      <w:r>
        <w:t xml:space="preserve">These are</w:t>
      </w:r>
      <w:r>
        <w:t xml:space="preserve"> </w:t>
      </w:r>
      <w:r>
        <w:rPr>
          <w:bCs/>
          <w:b/>
        </w:rPr>
        <w:t xml:space="preserve">neonatal-relevant</w:t>
      </w:r>
      <w:r>
        <w:t xml:space="preserve"> </w:t>
      </w:r>
      <w:r>
        <w:t xml:space="preserve">because they affect</w:t>
      </w:r>
      <w:r>
        <w:t xml:space="preserve"> </w:t>
      </w:r>
      <w:r>
        <w:rPr>
          <w:bCs/>
          <w:b/>
        </w:rPr>
        <w:t xml:space="preserve">stress, care attendance, and heat exposure</w:t>
      </w:r>
      <w:r>
        <w:t xml:space="preserve"> </w:t>
      </w:r>
      <w:r>
        <w:t xml:space="preserve">during pregnancy.</w:t>
      </w:r>
    </w:p>
    <w:p>
      <w:r>
        <w:pict>
          <v:rect style="width:0;height:1.5pt" o:hralign="center" o:hrstd="t" o:hr="t"/>
        </w:pict>
      </w:r>
    </w:p>
    <w:bookmarkEnd w:id="54"/>
    <w:bookmarkEnd w:id="55"/>
    <w:bookmarkStart w:id="57" w:name="X7b12cf0a6fa65948b5b522b6337fb04bd87e7c8"/>
    <w:p>
      <w:pPr>
        <w:pStyle w:val="Heading2"/>
      </w:pPr>
      <w:r>
        <w:t xml:space="preserve">7. Delivery practices and clinical interventions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Indicator</w:t>
            </w:r>
          </w:p>
        </w:tc>
        <w:tc>
          <w:tcPr/>
          <w:p>
            <w:pPr>
              <w:pStyle w:val="Compact"/>
              <w:jc w:val="left"/>
            </w:pPr>
            <w:r>
              <w:t xml:space="preserve">Charleston (2024)</w:t>
            </w:r>
          </w:p>
        </w:tc>
        <w:tc>
          <w:tcPr/>
          <w:p>
            <w:pPr>
              <w:pStyle w:val="Compact"/>
              <w:jc w:val="left"/>
            </w:pPr>
            <w:r>
              <w:t xml:space="preserve">SC</w:t>
            </w:r>
          </w:p>
        </w:tc>
        <w:tc>
          <w:tcPr/>
          <w:p>
            <w:pPr>
              <w:pStyle w:val="Compact"/>
              <w:jc w:val="left"/>
            </w:pPr>
            <w:r>
              <w:t xml:space="preserve">HP2030</w:t>
            </w:r>
          </w:p>
        </w:tc>
        <w:tc>
          <w:tcPr/>
          <w:p>
            <w:pPr>
              <w:pStyle w:val="Compact"/>
              <w:jc w:val="left"/>
            </w:pPr>
            <w:r>
              <w:t xml:space="preserve">Source</w:t>
            </w:r>
          </w:p>
        </w:tc>
      </w:tr>
      <w:tr>
        <w:tc>
          <w:tcPr/>
          <w:p>
            <w:pPr>
              <w:pStyle w:val="Compact"/>
              <w:jc w:val="left"/>
            </w:pPr>
            <w:r>
              <w:t xml:space="preserve">Cesarean delivery</w:t>
            </w:r>
          </w:p>
        </w:tc>
        <w:tc>
          <w:tcPr/>
          <w:p>
            <w:pPr>
              <w:pStyle w:val="Compact"/>
              <w:jc w:val="left"/>
            </w:pPr>
            <w:r>
              <w:rPr>
                <w:bCs/>
                <w:b/>
              </w:rPr>
              <w:t xml:space="preserve">31.9%</w:t>
            </w:r>
          </w:p>
        </w:tc>
        <w:tc>
          <w:tcPr/>
          <w:p>
            <w:pPr>
              <w:pStyle w:val="Compact"/>
              <w:jc w:val="left"/>
            </w:pPr>
            <w:r>
              <w:t xml:space="preserve">—</w:t>
            </w:r>
          </w:p>
        </w:tc>
        <w:tc>
          <w:tcPr/>
          <w:p>
            <w:pPr>
              <w:pStyle w:val="Compact"/>
              <w:jc w:val="left"/>
            </w:pPr>
            <w:r>
              <w:t xml:space="preserve">—</w:t>
            </w:r>
          </w:p>
        </w:tc>
        <w:tc>
          <w:tcPr/>
          <w:p>
            <w:pPr>
              <w:pStyle w:val="Compact"/>
              <w:jc w:val="left"/>
            </w:pPr>
            <w:hyperlink r:id="rId56">
              <w:r>
                <w:rPr>
                  <w:rStyle w:val="Hyperlink"/>
                </w:rPr>
                <w:t xml:space="preserve">PeriStats delivery</w:t>
              </w:r>
            </w:hyperlink>
          </w:p>
        </w:tc>
      </w:tr>
      <w:tr>
        <w:tc>
          <w:tcPr/>
          <w:p>
            <w:pPr>
              <w:pStyle w:val="Compact"/>
              <w:jc w:val="left"/>
            </w:pPr>
            <w:r>
              <w:t xml:space="preserve">Low-risk cesarean (state)</w:t>
            </w:r>
          </w:p>
        </w:tc>
        <w:tc>
          <w:tcPr/>
          <w:p>
            <w:pPr>
              <w:pStyle w:val="Compact"/>
              <w:jc w:val="left"/>
            </w:pPr>
            <w:r>
              <w:t xml:space="preserve">—</w:t>
            </w:r>
          </w:p>
        </w:tc>
        <w:tc>
          <w:tcPr/>
          <w:p>
            <w:pPr>
              <w:pStyle w:val="Compact"/>
              <w:jc w:val="left"/>
            </w:pPr>
            <w:r>
              <w:rPr>
                <w:bCs/>
                <w:b/>
              </w:rPr>
              <w:t xml:space="preserve">25.6%</w:t>
            </w:r>
          </w:p>
        </w:tc>
        <w:tc>
          <w:tcPr/>
          <w:p>
            <w:pPr>
              <w:pStyle w:val="Compact"/>
              <w:jc w:val="left"/>
            </w:pPr>
            <w:r>
              <w:t xml:space="preserve">23.6%</w:t>
            </w:r>
          </w:p>
        </w:tc>
        <w:tc>
          <w:tcPr/>
          <w:p>
            <w:pPr>
              <w:pStyle w:val="Compact"/>
              <w:jc w:val="left"/>
            </w:pPr>
            <w:r>
              <w:t xml:space="preserve">March of Dimes Report Card</w:t>
            </w:r>
          </w:p>
        </w:tc>
      </w:tr>
      <w:tr>
        <w:tc>
          <w:tcPr/>
          <w:p>
            <w:pPr>
              <w:pStyle w:val="Compact"/>
              <w:jc w:val="left"/>
            </w:pPr>
            <w:r>
              <w:t xml:space="preserve">Multiple births</w:t>
            </w:r>
          </w:p>
        </w:tc>
        <w:tc>
          <w:tcPr/>
          <w:p>
            <w:pPr>
              <w:pStyle w:val="Compact"/>
              <w:jc w:val="left"/>
            </w:pPr>
            <w:r>
              <w:rPr>
                <w:bCs/>
                <w:b/>
              </w:rPr>
              <w:t xml:space="preserve">3.2%</w:t>
            </w:r>
          </w:p>
        </w:tc>
        <w:tc>
          <w:tcPr/>
          <w:p>
            <w:pPr>
              <w:pStyle w:val="Compact"/>
              <w:jc w:val="left"/>
            </w:pPr>
            <w:r>
              <w:t xml:space="preserve">—</w:t>
            </w:r>
          </w:p>
        </w:tc>
        <w:tc>
          <w:tcPr/>
          <w:p>
            <w:pPr>
              <w:pStyle w:val="Compact"/>
              <w:jc w:val="left"/>
            </w:pPr>
            <w:r>
              <w:t xml:space="preserve">—</w:t>
            </w:r>
          </w:p>
        </w:tc>
        <w:tc>
          <w:tcPr/>
          <w:p>
            <w:pPr>
              <w:pStyle w:val="Compact"/>
              <w:jc w:val="left"/>
            </w:pPr>
            <w:r>
              <w:t xml:space="preserve">PeriStats multiples</w:t>
            </w:r>
          </w:p>
        </w:tc>
      </w:tr>
    </w:tbl>
    <w:p>
      <w:pPr>
        <w:pStyle w:val="BodyText"/>
      </w:pPr>
      <w:r>
        <w:t xml:space="preserve">Multiples are ~</w:t>
      </w:r>
      <w:r>
        <w:rPr>
          <w:bCs/>
          <w:b/>
        </w:rPr>
        <w:t xml:space="preserve">8×</w:t>
      </w:r>
      <w:r>
        <w:t xml:space="preserve"> </w:t>
      </w:r>
      <w:r>
        <w:t xml:space="preserve">more likely to be LBW (PeriStats). C-section rates above HP2030 targets may reflect</w:t>
      </w:r>
      <w:r>
        <w:t xml:space="preserve"> </w:t>
      </w:r>
      <w:r>
        <w:rPr>
          <w:bCs/>
          <w:b/>
        </w:rPr>
        <w:t xml:space="preserve">liability, scheduling, and maternal risk profiles</w:t>
      </w:r>
      <w:r>
        <w:t xml:space="preserve">—worth auditing by hospital and race.</w:t>
      </w:r>
    </w:p>
    <w:p>
      <w:r>
        <w:pict>
          <v:rect style="width:0;height:1.5pt" o:hralign="center" o:hrstd="t" o:hr="t"/>
        </w:pict>
      </w:r>
    </w:p>
    <w:bookmarkEnd w:id="57"/>
    <w:bookmarkStart w:id="58" w:name="X56f4240018c3d4a5df235482bb96bd76a02e638"/>
    <w:p>
      <w:pPr>
        <w:pStyle w:val="Heading2"/>
      </w:pPr>
      <w:r>
        <w:t xml:space="preserve">8. Maternal mortality and morbidity (state context)</w:t>
      </w:r>
    </w:p>
    <w:p>
      <w:pPr>
        <w:pStyle w:val="FirstParagraph"/>
      </w:pPr>
      <w:r>
        <w:t xml:space="preserve">Charleston-specific maternal mortality is</w:t>
      </w:r>
      <w:r>
        <w:t xml:space="preserve"> </w:t>
      </w:r>
      <w:r>
        <w:rPr>
          <w:bCs/>
          <w:b/>
        </w:rPr>
        <w:t xml:space="preserve">suppressed</w:t>
      </w:r>
      <w:r>
        <w:t xml:space="preserve"> </w:t>
      </w:r>
      <w:r>
        <w:t xml:space="preserve">in public files when counts are small. State-level context (2024, March of Dimes Report Card):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SC value</w:t>
            </w:r>
          </w:p>
        </w:tc>
        <w:tc>
          <w:tcPr/>
          <w:p>
            <w:pPr>
              <w:pStyle w:val="Compact"/>
              <w:jc w:val="left"/>
            </w:pPr>
            <w:r>
              <w:t xml:space="preserve">Rank</w:t>
            </w:r>
          </w:p>
        </w:tc>
        <w:tc>
          <w:tcPr/>
          <w:p>
            <w:pPr>
              <w:pStyle w:val="Compact"/>
              <w:jc w:val="left"/>
            </w:pPr>
            <w:r>
              <w:t xml:space="preserve">Direction</w:t>
            </w:r>
          </w:p>
        </w:tc>
      </w:tr>
      <w:tr>
        <w:tc>
          <w:tcPr/>
          <w:p>
            <w:pPr>
              <w:pStyle w:val="Compact"/>
              <w:jc w:val="left"/>
            </w:pPr>
            <w:r>
              <w:t xml:space="preserve">Maternal mortality</w:t>
            </w:r>
          </w:p>
        </w:tc>
        <w:tc>
          <w:tcPr/>
          <w:p>
            <w:pPr>
              <w:pStyle w:val="Compact"/>
              <w:jc w:val="left"/>
            </w:pPr>
            <w:r>
              <w:rPr>
                <w:bCs/>
                <w:b/>
              </w:rPr>
              <w:t xml:space="preserve">31.5</w:t>
            </w:r>
            <w:r>
              <w:t xml:space="preserve"> </w:t>
            </w:r>
            <w:r>
              <w:t xml:space="preserve">per 100,000 live births</w:t>
            </w:r>
          </w:p>
        </w:tc>
        <w:tc>
          <w:tcPr/>
          <w:p>
            <w:pPr>
              <w:pStyle w:val="Compact"/>
              <w:jc w:val="left"/>
            </w:pPr>
            <w:r>
              <w:t xml:space="preserve">40th of 48</w:t>
            </w:r>
          </w:p>
        </w:tc>
        <w:tc>
          <w:tcPr/>
          <w:p>
            <w:pPr>
              <w:pStyle w:val="Compact"/>
              <w:jc w:val="left"/>
            </w:pPr>
            <w:r>
              <w:t xml:space="preserve">Improved</w:t>
            </w:r>
          </w:p>
        </w:tc>
      </w:tr>
      <w:tr>
        <w:tc>
          <w:tcPr/>
          <w:p>
            <w:pPr>
              <w:pStyle w:val="Compact"/>
              <w:jc w:val="left"/>
            </w:pPr>
            <w:r>
              <w:t xml:space="preserve">Severe maternal morbidity</w:t>
            </w:r>
          </w:p>
        </w:tc>
        <w:tc>
          <w:tcPr/>
          <w:p>
            <w:pPr>
              <w:pStyle w:val="Compact"/>
              <w:jc w:val="left"/>
            </w:pPr>
            <w:r>
              <w:rPr>
                <w:bCs/>
                <w:b/>
              </w:rPr>
              <w:t xml:space="preserve">85.9</w:t>
            </w:r>
            <w:r>
              <w:t xml:space="preserve"> </w:t>
            </w:r>
            <w:r>
              <w:t xml:space="preserve">per 10,000 deliveries</w:t>
            </w:r>
          </w:p>
        </w:tc>
        <w:tc>
          <w:tcPr/>
          <w:p>
            <w:pPr>
              <w:pStyle w:val="Compact"/>
              <w:jc w:val="left"/>
            </w:pPr>
            <w:r>
              <w:t xml:space="preserve">21st of 47</w:t>
            </w:r>
          </w:p>
        </w:tc>
        <w:tc>
          <w:tcPr/>
          <w:p>
            <w:pPr>
              <w:pStyle w:val="Compact"/>
              <w:jc w:val="left"/>
            </w:pPr>
            <w:r>
              <w:t xml:space="preserve">Improved</w:t>
            </w:r>
          </w:p>
        </w:tc>
      </w:tr>
      <w:tr>
        <w:tc>
          <w:tcPr/>
          <w:p>
            <w:pPr>
              <w:pStyle w:val="Compact"/>
              <w:jc w:val="left"/>
            </w:pPr>
            <w:r>
              <w:t xml:space="preserve">Medicaid births</w:t>
            </w:r>
          </w:p>
        </w:tc>
        <w:tc>
          <w:tcPr/>
          <w:p>
            <w:pPr>
              <w:pStyle w:val="Compact"/>
              <w:jc w:val="left"/>
            </w:pPr>
            <w:r>
              <w:rPr>
                <w:bCs/>
                <w:b/>
              </w:rPr>
              <w:t xml:space="preserve">43.1%</w:t>
            </w:r>
          </w:p>
        </w:tc>
        <w:tc>
          <w:tcPr/>
          <w:p>
            <w:pPr>
              <w:pStyle w:val="Compact"/>
              <w:jc w:val="left"/>
            </w:pPr>
            <w:r>
              <w:t xml:space="preserve">—</w:t>
            </w:r>
          </w:p>
        </w:tc>
        <w:tc>
          <w:tcPr/>
          <w:p>
            <w:pPr>
              <w:pStyle w:val="Compact"/>
              <w:jc w:val="left"/>
            </w:pPr>
            <w:r>
              <w:t xml:space="preserve">—</w:t>
            </w:r>
          </w:p>
        </w:tc>
      </w:tr>
    </w:tbl>
    <w:p>
      <w:pPr>
        <w:pStyle w:val="BodyText"/>
      </w:pPr>
      <w:r>
        <w:t xml:space="preserve">SC</w:t>
      </w:r>
      <w:r>
        <w:t xml:space="preserve"> </w:t>
      </w:r>
      <w:r>
        <w:rPr>
          <w:bCs/>
          <w:b/>
        </w:rPr>
        <w:t xml:space="preserve">ranked 43rd</w:t>
      </w:r>
      <w:r>
        <w:t xml:space="preserve"> </w:t>
      </w:r>
      <w:r>
        <w:t xml:space="preserve">on both preterm birth and infant mortality among 52 jurisdictions—Charleston cannot be complacent because it outperforms the state average.</w:t>
      </w:r>
    </w:p>
    <w:p>
      <w:r>
        <w:pict>
          <v:rect style="width:0;height:1.5pt" o:hralign="center" o:hrstd="t" o:hr="t"/>
        </w:pict>
      </w:r>
    </w:p>
    <w:bookmarkEnd w:id="58"/>
    <w:bookmarkStart w:id="59" w:name="X46faae7435fa67534591b090d8a876e52c599eb"/>
    <w:p>
      <w:pPr>
        <w:pStyle w:val="Heading2"/>
      </w:pPr>
      <w:r>
        <w:t xml:space="preserve">9. Racial equity and structural injustice — synthesis</w:t>
      </w:r>
    </w:p>
    <w:p>
      <w:pPr>
        <w:pStyle w:val="FirstParagraph"/>
      </w:pPr>
      <w:r>
        <w:t xml:space="preserve">The data converge on a coherent equity narrative:</w:t>
      </w:r>
    </w:p>
    <w:p>
      <w:pPr>
        <w:numPr>
          <w:ilvl w:val="0"/>
          <w:numId w:val="1001"/>
        </w:numPr>
        <w:pStyle w:val="Compact"/>
      </w:pPr>
      <w:r>
        <w:rPr>
          <w:bCs/>
          <w:b/>
        </w:rPr>
        <w:t xml:space="preserve">Black infants</w:t>
      </w:r>
      <w:r>
        <w:t xml:space="preserve"> </w:t>
      </w:r>
      <w:r>
        <w:t xml:space="preserve">face</w:t>
      </w:r>
      <w:r>
        <w:t xml:space="preserve"> </w:t>
      </w:r>
      <w:r>
        <w:rPr>
          <w:bCs/>
          <w:b/>
        </w:rPr>
        <w:t xml:space="preserve">2.8–3×</w:t>
      </w:r>
      <w:r>
        <w:t xml:space="preserve"> </w:t>
      </w:r>
      <w:r>
        <w:t xml:space="preserve">higher LBW and</w:t>
      </w:r>
      <w:r>
        <w:t xml:space="preserve"> </w:t>
      </w:r>
      <w:r>
        <w:rPr>
          <w:bCs/>
          <w:b/>
        </w:rPr>
        <w:t xml:space="preserve">2.6×</w:t>
      </w:r>
      <w:r>
        <w:t xml:space="preserve"> </w:t>
      </w:r>
      <w:r>
        <w:t xml:space="preserve">higher infant mortality (3-yr PeriStats averages) despite similar obesity prevalence.</w:t>
      </w:r>
    </w:p>
    <w:p>
      <w:pPr>
        <w:numPr>
          <w:ilvl w:val="0"/>
          <w:numId w:val="1001"/>
        </w:numPr>
        <w:pStyle w:val="Compact"/>
      </w:pPr>
      <w:r>
        <w:rPr>
          <w:bCs/>
          <w:b/>
        </w:rPr>
        <w:t xml:space="preserve">Black birthing people</w:t>
      </w:r>
      <w:r>
        <w:t xml:space="preserve"> </w:t>
      </w:r>
      <w:r>
        <w:t xml:space="preserve">are</w:t>
      </w:r>
      <w:r>
        <w:t xml:space="preserve"> </w:t>
      </w:r>
      <w:r>
        <w:rPr>
          <w:bCs/>
          <w:b/>
        </w:rPr>
        <w:t xml:space="preserve">2.2×</w:t>
      </w:r>
      <w:r>
        <w:t xml:space="preserve"> </w:t>
      </w:r>
      <w:r>
        <w:t xml:space="preserve">more likely to receive</w:t>
      </w:r>
      <w:r>
        <w:t xml:space="preserve"> </w:t>
      </w:r>
      <w:r>
        <w:rPr>
          <w:bCs/>
          <w:b/>
        </w:rPr>
        <w:t xml:space="preserve">inadequate</w:t>
      </w:r>
      <w:r>
        <w:t xml:space="preserve"> </w:t>
      </w:r>
      <w:r>
        <w:t xml:space="preserve">prenatal care and</w:t>
      </w:r>
      <w:r>
        <w:t xml:space="preserve"> </w:t>
      </w:r>
      <w:r>
        <w:rPr>
          <w:bCs/>
          <w:b/>
        </w:rPr>
        <w:t xml:space="preserve">2.6×</w:t>
      </w:r>
      <w:r>
        <w:t xml:space="preserve"> </w:t>
      </w:r>
      <w:r>
        <w:t xml:space="preserve">more likely to deliver on</w:t>
      </w:r>
      <w:r>
        <w:t xml:space="preserve"> </w:t>
      </w:r>
      <w:r>
        <w:rPr>
          <w:bCs/>
          <w:b/>
        </w:rPr>
        <w:t xml:space="preserve">Medicaid</w:t>
      </w:r>
      <w:r>
        <w:t xml:space="preserve">.</w:t>
      </w:r>
    </w:p>
    <w:p>
      <w:pPr>
        <w:numPr>
          <w:ilvl w:val="0"/>
          <w:numId w:val="1001"/>
        </w:numPr>
        <w:pStyle w:val="Compact"/>
      </w:pPr>
      <w:r>
        <w:rPr>
          <w:bCs/>
          <w:b/>
        </w:rPr>
        <w:t xml:space="preserve">73.1%</w:t>
      </w:r>
      <w:r>
        <w:t xml:space="preserve"> </w:t>
      </w:r>
      <w:r>
        <w:t xml:space="preserve">of Black births are to unmarried mothers vs</w:t>
      </w:r>
      <w:r>
        <w:t xml:space="preserve"> </w:t>
      </w:r>
      <w:r>
        <w:rPr>
          <w:bCs/>
          <w:b/>
        </w:rPr>
        <w:t xml:space="preserve">14.1%</w:t>
      </w:r>
      <w:r>
        <w:t xml:space="preserve"> </w:t>
      </w:r>
      <w:r>
        <w:t xml:space="preserve">among White births—reflecting</w:t>
      </w:r>
      <w:r>
        <w:t xml:space="preserve"> </w:t>
      </w:r>
      <w:r>
        <w:rPr>
          <w:bCs/>
          <w:b/>
        </w:rPr>
        <w:t xml:space="preserve">economic and partner-support gaps</w:t>
      </w:r>
      <w:r>
        <w:t xml:space="preserve">, not moral failure.</w:t>
      </w:r>
    </w:p>
    <w:p>
      <w:pPr>
        <w:numPr>
          <w:ilvl w:val="0"/>
          <w:numId w:val="1001"/>
        </w:numPr>
        <w:pStyle w:val="Compact"/>
      </w:pPr>
      <w:r>
        <w:t xml:space="preserve">Tract-level</w:t>
      </w:r>
      <w:r>
        <w:t xml:space="preserve"> </w:t>
      </w:r>
      <w:r>
        <w:rPr>
          <w:bCs/>
          <w:b/>
        </w:rPr>
        <w:t xml:space="preserve">SVI, food insecurity, and transportation barriers</w:t>
      </w:r>
      <w:r>
        <w:t xml:space="preserve"> </w:t>
      </w:r>
      <w:r>
        <w:t xml:space="preserve">map onto historically</w:t>
      </w:r>
      <w:r>
        <w:t xml:space="preserve"> </w:t>
      </w:r>
      <w:r>
        <w:rPr>
          <w:bCs/>
          <w:b/>
        </w:rPr>
        <w:t xml:space="preserve">redlined</w:t>
      </w:r>
      <w:r>
        <w:t xml:space="preserve"> </w:t>
      </w:r>
      <w:r>
        <w:t xml:space="preserve">and</w:t>
      </w:r>
      <w:r>
        <w:t xml:space="preserve"> </w:t>
      </w:r>
      <w:r>
        <w:rPr>
          <w:bCs/>
          <w:b/>
        </w:rPr>
        <w:t xml:space="preserve">industrial</w:t>
      </w:r>
      <w:r>
        <w:t xml:space="preserve"> </w:t>
      </w:r>
      <w:r>
        <w:t xml:space="preserve">corridors (North Charleston, portions of West Ashley and rural zones)—see companion</w:t>
      </w:r>
      <w:r>
        <w:t xml:space="preserve"> </w:t>
      </w:r>
      <w:r>
        <w:rPr>
          <w:rStyle w:val="VerbatimChar"/>
        </w:rPr>
        <w:t xml:space="preserve">charleston_county</w:t>
      </w:r>
      <w:r>
        <w:t xml:space="preserve"> </w:t>
      </w:r>
      <w:r>
        <w:t xml:space="preserve">tract analysis.</w:t>
      </w:r>
    </w:p>
    <w:p>
      <w:pPr>
        <w:pStyle w:val="FirstParagraph"/>
      </w:pPr>
      <w:r>
        <w:t xml:space="preserve">This pattern matches</w:t>
      </w:r>
      <w:r>
        <w:t xml:space="preserve"> </w:t>
      </w:r>
      <w:r>
        <w:rPr>
          <w:bCs/>
          <w:b/>
        </w:rPr>
        <w:t xml:space="preserve">weathering</w:t>
      </w:r>
      <w:r>
        <w:t xml:space="preserve">,</w:t>
      </w:r>
      <w:r>
        <w:t xml:space="preserve"> </w:t>
      </w:r>
      <w:r>
        <w:rPr>
          <w:bCs/>
          <w:b/>
        </w:rPr>
        <w:t xml:space="preserve">obstetric racism</w:t>
      </w:r>
      <w:r>
        <w:t xml:space="preserve">, and</w:t>
      </w:r>
      <w:r>
        <w:t xml:space="preserve"> </w:t>
      </w:r>
      <w:r>
        <w:rPr>
          <w:bCs/>
          <w:b/>
        </w:rPr>
        <w:t xml:space="preserve">two-tier hospital systems</w:t>
      </w:r>
      <w:r>
        <w:t xml:space="preserve"> </w:t>
      </w:r>
      <w:r>
        <w:t xml:space="preserve">documented nationally (CDC HEAR, ACOG committees, March of Dimes equity reports).</w:t>
      </w:r>
    </w:p>
    <w:p>
      <w:r>
        <w:pict>
          <v:rect style="width:0;height:1.5pt" o:hralign="center" o:hrstd="t" o:hr="t"/>
        </w:pict>
      </w:r>
    </w:p>
    <w:bookmarkEnd w:id="59"/>
    <w:bookmarkStart w:id="61" w:name="Xe1af0e8a3c8a646d05962ce3a59baa70625c19d"/>
    <w:p>
      <w:pPr>
        <w:pStyle w:val="Heading2"/>
      </w:pPr>
      <w:r>
        <w:t xml:space="preserve">10. Factor-by-factor policy and research agenda</w:t>
      </w:r>
    </w:p>
    <w:p>
      <w:pPr>
        <w:pStyle w:val="FirstParagraph"/>
      </w:pPr>
      <w:r>
        <w:t xml:space="preserve">See</w:t>
      </w:r>
      <w:r>
        <w:t xml:space="preserve"> </w:t>
      </w:r>
      <w:hyperlink r:id="rId60">
        <w:r>
          <w:rPr>
            <w:rStyle w:val="VerbatimChar"/>
          </w:rPr>
          <w:t xml:space="preserve">FACTOR_FRAMEWORK.md</w:t>
        </w:r>
      </w:hyperlink>
      <w:r>
        <w:t xml:space="preserve"> </w:t>
      </w:r>
      <w:r>
        <w:t xml:space="preserve">for the complete domain list and</w:t>
      </w:r>
      <w:r>
        <w:t xml:space="preserve"> </w:t>
      </w:r>
      <w:hyperlink r:id="rId21">
        <w:r>
          <w:rPr>
            <w:rStyle w:val="VerbatimChar"/>
          </w:rPr>
          <w:t xml:space="preserve">LITERATURE_BACKED_SOLUTIONS.md</w:t>
        </w:r>
      </w:hyperlink>
      <w:r>
        <w:t xml:space="preserve"> </w:t>
      </w:r>
      <w:r>
        <w:t xml:space="preserve">for the full evidence-graded treatment (including negative/null RCT findings) of every intervention below.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w:t>
            </w:r>
          </w:p>
        </w:tc>
        <w:tc>
          <w:tcPr/>
          <w:p>
            <w:pPr>
              <w:pStyle w:val="Compact"/>
              <w:jc w:val="left"/>
            </w:pPr>
            <w:r>
              <w:t xml:space="preserve">Intervention</w:t>
            </w:r>
          </w:p>
        </w:tc>
        <w:tc>
          <w:tcPr/>
          <w:p>
            <w:pPr>
              <w:pStyle w:val="Compact"/>
              <w:jc w:val="left"/>
            </w:pPr>
            <w:r>
              <w:t xml:space="preserve">Evidence strength (see Literature-Backed Solutions)</w:t>
            </w:r>
          </w:p>
        </w:tc>
      </w:tr>
      <w:tr>
        <w:tc>
          <w:tcPr/>
          <w:p>
            <w:pPr>
              <w:pStyle w:val="Compact"/>
              <w:jc w:val="left"/>
            </w:pPr>
            <w:r>
              <w:t xml:space="preserve">Prenatal access</w:t>
            </w:r>
          </w:p>
        </w:tc>
        <w:tc>
          <w:tcPr/>
          <w:p>
            <w:pPr>
              <w:pStyle w:val="Compact"/>
              <w:jc w:val="left"/>
            </w:pPr>
            <w:r>
              <w:t xml:space="preserve">Group prenatal care (CenteringPregnancy)</w:t>
            </w:r>
          </w:p>
        </w:tc>
        <w:tc>
          <w:tcPr/>
          <w:p>
            <w:pPr>
              <w:pStyle w:val="Compact"/>
              <w:jc w:val="left"/>
            </w:pPr>
            <w:r>
              <w:t xml:space="preserve">🟡 Contested — SC’s own CRADLE RCT found no significant overall effect; earlier retrospective SC cohorts found 33-36% reductions</w:t>
            </w:r>
          </w:p>
        </w:tc>
      </w:tr>
      <w:tr>
        <w:tc>
          <w:tcPr/>
          <w:p>
            <w:pPr>
              <w:pStyle w:val="Compact"/>
              <w:jc w:val="left"/>
            </w:pPr>
            <w:r>
              <w:t xml:space="preserve">Prenatal access</w:t>
            </w:r>
          </w:p>
        </w:tc>
        <w:tc>
          <w:tcPr/>
          <w:p>
            <w:pPr>
              <w:pStyle w:val="Compact"/>
              <w:jc w:val="left"/>
            </w:pPr>
            <w:r>
              <w:t xml:space="preserve">Doula care / community birth workers</w:t>
            </w:r>
          </w:p>
        </w:tc>
        <w:tc>
          <w:tcPr/>
          <w:p>
            <w:pPr>
              <w:pStyle w:val="Compact"/>
              <w:jc w:val="left"/>
            </w:pPr>
            <w:r>
              <w:t xml:space="preserve">🟢 Strong for C-section/process outcomes; 🟡 moderate observational LBW benefit; not proven for preterm birth specifically</w:t>
            </w:r>
          </w:p>
        </w:tc>
      </w:tr>
      <w:tr>
        <w:tc>
          <w:tcPr/>
          <w:p>
            <w:pPr>
              <w:pStyle w:val="Compact"/>
              <w:jc w:val="left"/>
            </w:pPr>
            <w:r>
              <w:t xml:space="preserve">Insurance</w:t>
            </w:r>
          </w:p>
        </w:tc>
        <w:tc>
          <w:tcPr/>
          <w:p>
            <w:pPr>
              <w:pStyle w:val="Compact"/>
              <w:jc w:val="left"/>
            </w:pPr>
            <w:r>
              <w:t xml:space="preserve">12-month Medicaid postpartum extension</w:t>
            </w:r>
          </w:p>
        </w:tc>
        <w:tc>
          <w:tcPr/>
          <w:p>
            <w:pPr>
              <w:pStyle w:val="Compact"/>
              <w:jc w:val="left"/>
            </w:pPr>
            <w:r>
              <w:t xml:space="preserve">🟢 Strong — already implemented (April 2022); SCMMMRC data shows Medicaid PRMR fell 51.0→37.8/100k, 2022→2023</w:t>
            </w:r>
          </w:p>
        </w:tc>
      </w:tr>
      <w:tr>
        <w:tc>
          <w:tcPr/>
          <w:p>
            <w:pPr>
              <w:pStyle w:val="Compact"/>
              <w:jc w:val="left"/>
            </w:pPr>
            <w:r>
              <w:t xml:space="preserve">Insurance</w:t>
            </w:r>
          </w:p>
        </w:tc>
        <w:tc>
          <w:tcPr/>
          <w:p>
            <w:pPr>
              <w:pStyle w:val="Compact"/>
              <w:jc w:val="left"/>
            </w:pPr>
            <w:r>
              <w:t xml:space="preserve">Reduce self-pay rate (22.6% in Charleston)</w:t>
            </w:r>
          </w:p>
        </w:tc>
        <w:tc>
          <w:tcPr/>
          <w:p>
            <w:pPr>
              <w:pStyle w:val="Compact"/>
              <w:jc w:val="left"/>
            </w:pPr>
            <w:r>
              <w:t xml:space="preserve">Context: HHS ASPE coverage-gap research</w:t>
            </w:r>
          </w:p>
        </w:tc>
      </w:tr>
      <w:tr>
        <w:tc>
          <w:tcPr/>
          <w:p>
            <w:pPr>
              <w:pStyle w:val="Compact"/>
              <w:jc w:val="left"/>
            </w:pPr>
            <w:r>
              <w:t xml:space="preserve">Nutrition</w:t>
            </w:r>
          </w:p>
        </w:tc>
        <w:tc>
          <w:tcPr/>
          <w:p>
            <w:pPr>
              <w:pStyle w:val="Compact"/>
              <w:jc w:val="left"/>
            </w:pPr>
            <w:r>
              <w:t xml:space="preserve">Universal WIC outreach at positive pregnancy tests</w:t>
            </w:r>
          </w:p>
        </w:tc>
        <w:tc>
          <w:tcPr/>
          <w:p>
            <w:pPr>
              <w:pStyle w:val="Compact"/>
              <w:jc w:val="left"/>
            </w:pPr>
            <w:r>
              <w:t xml:space="preserve">🟢 Strong — decades of USDA evidence on birthweight</w:t>
            </w:r>
          </w:p>
        </w:tc>
      </w:tr>
      <w:tr>
        <w:tc>
          <w:tcPr/>
          <w:p>
            <w:pPr>
              <w:pStyle w:val="Compact"/>
              <w:jc w:val="left"/>
            </w:pPr>
            <w:r>
              <w:t xml:space="preserve">Clinical safety</w:t>
            </w:r>
          </w:p>
        </w:tc>
        <w:tc>
          <w:tcPr/>
          <w:p>
            <w:pPr>
              <w:pStyle w:val="Compact"/>
              <w:jc w:val="left"/>
            </w:pPr>
            <w:r>
              <w:t xml:space="preserve">Hemorrhage/hypertension safety bundles (AIM)</w:t>
            </w:r>
          </w:p>
        </w:tc>
        <w:tc>
          <w:tcPr/>
          <w:p>
            <w:pPr>
              <w:pStyle w:val="Compact"/>
              <w:jc w:val="left"/>
            </w:pPr>
            <w:r>
              <w:t xml:space="preserve">🟢 Strong — CA AIM evaluation: 21% reduction in hemorrhage-related severe maternal morbidity</w:t>
            </w:r>
          </w:p>
        </w:tc>
      </w:tr>
      <w:tr>
        <w:tc>
          <w:tcPr/>
          <w:p>
            <w:pPr>
              <w:pStyle w:val="Compact"/>
              <w:jc w:val="left"/>
            </w:pPr>
            <w:r>
              <w:t xml:space="preserve">NICU/access</w:t>
            </w:r>
          </w:p>
        </w:tc>
        <w:tc>
          <w:tcPr/>
          <w:p>
            <w:pPr>
              <w:pStyle w:val="Compact"/>
              <w:jc w:val="left"/>
            </w:pPr>
            <w:r>
              <w:t xml:space="preserve">Regional transport protocol audit; family lodging near Level IV NICU</w:t>
            </w:r>
          </w:p>
        </w:tc>
        <w:tc>
          <w:tcPr/>
          <w:p>
            <w:pPr>
              <w:pStyle w:val="Compact"/>
              <w:jc w:val="left"/>
            </w:pPr>
            <w:r>
              <w:t xml:space="preserve">AAP guidelines; distance-outcome literature (Kozhimannil 2018, Minion 2022)</w:t>
            </w:r>
          </w:p>
        </w:tc>
      </w:tr>
      <w:tr>
        <w:tc>
          <w:tcPr/>
          <w:p>
            <w:pPr>
              <w:pStyle w:val="Compact"/>
              <w:jc w:val="left"/>
            </w:pPr>
            <w:r>
              <w:t xml:space="preserve">Rural access</w:t>
            </w:r>
          </w:p>
        </w:tc>
        <w:tc>
          <w:tcPr/>
          <w:p>
            <w:pPr>
              <w:pStyle w:val="Compact"/>
              <w:jc w:val="left"/>
            </w:pPr>
            <w:r>
              <w:t xml:space="preserve">Telehealth, mobile prenatal units</w:t>
            </w:r>
          </w:p>
        </w:tc>
        <w:tc>
          <w:tcPr/>
          <w:p>
            <w:pPr>
              <w:pStyle w:val="Compact"/>
              <w:jc w:val="left"/>
            </w:pPr>
            <w:r>
              <w:t xml:space="preserve">🟠 Preliminary — directionally supported, not yet independently evaluated in SC</w:t>
            </w:r>
          </w:p>
        </w:tc>
      </w:tr>
      <w:tr>
        <w:tc>
          <w:tcPr/>
          <w:p>
            <w:pPr>
              <w:pStyle w:val="Compact"/>
              <w:jc w:val="left"/>
            </w:pPr>
            <w:r>
              <w:t xml:space="preserve">Substance use</w:t>
            </w:r>
          </w:p>
        </w:tc>
        <w:tc>
          <w:tcPr/>
          <w:p>
            <w:pPr>
              <w:pStyle w:val="Compact"/>
              <w:jc w:val="left"/>
            </w:pPr>
            <w:r>
              <w:t xml:space="preserve">Non-punitive SUD treatment, peer support doulas</w:t>
            </w:r>
          </w:p>
        </w:tc>
        <w:tc>
          <w:tcPr/>
          <w:p>
            <w:pPr>
              <w:pStyle w:val="Compact"/>
              <w:jc w:val="left"/>
            </w:pPr>
            <w:r>
              <w:t xml:space="preserve">🟢 Strong for engagement; MAiN model piloted in Greenville, SC</w:t>
            </w:r>
          </w:p>
        </w:tc>
      </w:tr>
      <w:tr>
        <w:tc>
          <w:tcPr/>
          <w:p>
            <w:pPr>
              <w:pStyle w:val="Compact"/>
              <w:jc w:val="left"/>
            </w:pPr>
            <w:r>
              <w:t xml:space="preserve">Environment</w:t>
            </w:r>
          </w:p>
        </w:tc>
        <w:tc>
          <w:tcPr/>
          <w:p>
            <w:pPr>
              <w:pStyle w:val="Compact"/>
              <w:jc w:val="left"/>
            </w:pPr>
            <w:r>
              <w:t xml:space="preserve">Heat action plans for pregnant workers/residents</w:t>
            </w:r>
          </w:p>
        </w:tc>
        <w:tc>
          <w:tcPr/>
          <w:p>
            <w:pPr>
              <w:pStyle w:val="Compact"/>
              <w:jc w:val="left"/>
            </w:pPr>
            <w:r>
              <w:t xml:space="preserve">EPA; PM2.5-birthweight literature</w:t>
            </w:r>
          </w:p>
        </w:tc>
      </w:tr>
      <w:tr>
        <w:tc>
          <w:tcPr/>
          <w:p>
            <w:pPr>
              <w:pStyle w:val="Compact"/>
              <w:jc w:val="left"/>
            </w:pPr>
            <w:r>
              <w:t xml:space="preserve">Equity</w:t>
            </w:r>
          </w:p>
        </w:tc>
        <w:tc>
          <w:tcPr/>
          <w:p>
            <w:pPr>
              <w:pStyle w:val="Compact"/>
              <w:jc w:val="left"/>
            </w:pPr>
            <w:r>
              <w:t xml:space="preserve">Perinatal quality collaboratives with</w:t>
            </w:r>
            <w:r>
              <w:t xml:space="preserve"> </w:t>
            </w:r>
            <w:r>
              <w:rPr>
                <w:bCs/>
                <w:b/>
              </w:rPr>
              <w:t xml:space="preserve">race-stratified</w:t>
            </w:r>
            <w:r>
              <w:t xml:space="preserve"> </w:t>
            </w:r>
            <w:r>
              <w:t xml:space="preserve">dashboards</w:t>
            </w:r>
          </w:p>
        </w:tc>
        <w:tc>
          <w:tcPr/>
          <w:p>
            <w:pPr>
              <w:pStyle w:val="Compact"/>
              <w:jc w:val="left"/>
            </w:pPr>
            <w:r>
              <w:t xml:space="preserve">CMQCC model</w:t>
            </w:r>
          </w:p>
        </w:tc>
      </w:tr>
      <w:tr>
        <w:tc>
          <w:tcPr/>
          <w:p>
            <w:pPr>
              <w:pStyle w:val="Compact"/>
              <w:jc w:val="left"/>
            </w:pPr>
            <w:r>
              <w:t xml:space="preserve">Data justice</w:t>
            </w:r>
          </w:p>
        </w:tc>
        <w:tc>
          <w:tcPr/>
          <w:p>
            <w:pPr>
              <w:pStyle w:val="Compact"/>
              <w:jc w:val="left"/>
            </w:pPr>
            <w:r>
              <w:t xml:space="preserve">Public</w:t>
            </w:r>
            <w:r>
              <w:t xml:space="preserve"> </w:t>
            </w:r>
            <w:r>
              <w:rPr>
                <w:bCs/>
                <w:b/>
              </w:rPr>
              <w:t xml:space="preserve">ZIP/tract</w:t>
            </w:r>
            <w:r>
              <w:t xml:space="preserve"> </w:t>
            </w:r>
            <w:r>
              <w:t xml:space="preserve">infant mortality release</w:t>
            </w:r>
          </w:p>
        </w:tc>
        <w:tc>
          <w:tcPr/>
          <w:p>
            <w:pPr>
              <w:pStyle w:val="Compact"/>
              <w:jc w:val="left"/>
            </w:pPr>
            <w:r>
              <w:t xml:space="preserve">SC DPH SCAN portal expansion</w:t>
            </w:r>
          </w:p>
        </w:tc>
      </w:tr>
    </w:tbl>
    <w:p>
      <w:pPr>
        <w:pStyle w:val="BodyText"/>
      </w:pPr>
      <w:r>
        <w:rPr>
          <w:bCs/>
          <w:b/>
        </w:rPr>
        <w:t xml:space="preserve">A statewide, statistically-grounded version of this analysis — including which social/economic factors actually predict county-level outcomes across South Carolina — is in</w:t>
      </w:r>
      <w:r>
        <w:rPr>
          <w:bCs/>
          <w:b/>
        </w:rPr>
        <w:t xml:space="preserve"> </w:t>
      </w:r>
      <w:hyperlink r:id="rId20">
        <w:r>
          <w:rPr>
            <w:rStyle w:val="VerbatimChar"/>
            <w:bCs/>
            <w:b/>
          </w:rPr>
          <w:t xml:space="preserve">STATEWIDE_ANALYSIS.md</w:t>
        </w:r>
      </w:hyperlink>
      <w:r>
        <w:rPr>
          <w:bCs/>
          <w:b/>
        </w:rPr>
        <w:t xml:space="preserve"> </w:t>
      </w:r>
      <w:r>
        <w:rPr>
          <w:bCs/>
          <w:b/>
        </w:rPr>
        <w:t xml:space="preserve">Section 3.</w:t>
      </w:r>
    </w:p>
    <w:p>
      <w:r>
        <w:pict>
          <v:rect style="width:0;height:1.5pt" o:hralign="center" o:hrstd="t" o:hr="t"/>
        </w:pict>
      </w:r>
    </w:p>
    <w:bookmarkEnd w:id="61"/>
    <w:bookmarkStart w:id="62" w:name="methods-and-reproducibility"/>
    <w:p>
      <w:pPr>
        <w:pStyle w:val="Heading2"/>
      </w:pPr>
      <w:r>
        <w:t xml:space="preserve">11. Methods and reproducibility</w:t>
      </w:r>
    </w:p>
    <w:p>
      <w:pPr>
        <w:pStyle w:val="FirstParagraph"/>
      </w:pPr>
      <w:r>
        <w:t xml:space="preserve">All quantitative values are stored in</w:t>
      </w:r>
      <w:r>
        <w:t xml:space="preserve"> </w:t>
      </w:r>
      <w:r>
        <w:rPr>
          <w:rStyle w:val="VerbatimChar"/>
        </w:rPr>
        <w:t xml:space="preserve">data/county_neonatal_indicators.csv</w:t>
      </w:r>
      <w:r>
        <w:t xml:space="preserve"> </w:t>
      </w:r>
      <w:r>
        <w:t xml:space="preserve">with columns:</w:t>
      </w:r>
      <w:r>
        <w:t xml:space="preserve"> </w:t>
      </w:r>
      <w:r>
        <w:rPr>
          <w:rStyle w:val="VerbatimChar"/>
        </w:rPr>
        <w:t xml:space="preserve">indicator</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year</w:t>
      </w:r>
      <w:r>
        <w:t xml:space="preserve">,</w:t>
      </w:r>
      <w:r>
        <w:t xml:space="preserve"> </w:t>
      </w:r>
      <w:r>
        <w:rPr>
          <w:rStyle w:val="VerbatimChar"/>
        </w:rPr>
        <w:t xml:space="preserve">geography</w:t>
      </w:r>
      <w:r>
        <w:t xml:space="preserve">,</w:t>
      </w:r>
      <w:r>
        <w:t xml:space="preserve"> </w:t>
      </w:r>
      <w:r>
        <w:rPr>
          <w:rStyle w:val="VerbatimChar"/>
        </w:rPr>
        <w:t xml:space="preserve">source_name</w:t>
      </w:r>
      <w:r>
        <w:t xml:space="preserve">,</w:t>
      </w:r>
      <w:r>
        <w:t xml:space="preserve"> </w:t>
      </w:r>
      <w:r>
        <w:rPr>
          <w:rStyle w:val="VerbatimChar"/>
        </w:rPr>
        <w:t xml:space="preserve">source_url</w:t>
      </w:r>
      <w:r>
        <w:t xml:space="preserve">,</w:t>
      </w:r>
      <w:r>
        <w:t xml:space="preserve"> </w:t>
      </w:r>
      <w:r>
        <w:rPr>
          <w:rStyle w:val="VerbatimChar"/>
        </w:rPr>
        <w:t xml:space="preserve">table_or_page</w:t>
      </w:r>
      <w:r>
        <w:t xml:space="preserve">.</w:t>
      </w:r>
    </w:p>
    <w:p>
      <w:pPr>
        <w:pStyle w:val="BodyText"/>
      </w:pPr>
      <w:r>
        <w:t xml:space="preserve">Tract proxy analysis merges CDC PLACES 2025 (</w:t>
      </w:r>
      <w:r>
        <w:rPr>
          <w:rStyle w:val="VerbatimChar"/>
        </w:rPr>
        <w:t xml:space="preserve">data.cdc.gov</w:t>
      </w:r>
      <w:r>
        <w:t xml:space="preserve">, dataset</w:t>
      </w:r>
      <w:r>
        <w:t xml:space="preserve"> </w:t>
      </w:r>
      <w:r>
        <w:rPr>
          <w:rStyle w:val="VerbatimChar"/>
        </w:rPr>
        <w:t xml:space="preserve">cwsq-ngmh</w:t>
      </w:r>
      <w:r>
        <w:t xml:space="preserve">) and CDC/ATSDR SVI 2022 for 98 census tracts.</w:t>
      </w:r>
    </w:p>
    <w:p>
      <w:pPr>
        <w:pStyle w:val="BodyText"/>
      </w:pPr>
      <w:r>
        <w:t xml:space="preserve">Run:</w:t>
      </w:r>
    </w:p>
    <w:p>
      <w:pPr>
        <w:pStyle w:val="SourceCode"/>
      </w:pPr>
      <w:r>
        <w:rPr>
          <w:rStyle w:val="ExtensionTok"/>
        </w:rPr>
        <w:t xml:space="preserve">python3</w:t>
      </w:r>
      <w:r>
        <w:rPr>
          <w:rStyle w:val="NormalTok"/>
        </w:rPr>
        <w:t xml:space="preserve"> scripts/01_download_neonatal_data.py</w:t>
      </w:r>
      <w:r>
        <w:br/>
      </w:r>
      <w:r>
        <w:rPr>
          <w:rStyle w:val="ExtensionTok"/>
        </w:rPr>
        <w:t xml:space="preserve">python3</w:t>
      </w:r>
      <w:r>
        <w:rPr>
          <w:rStyle w:val="NormalTok"/>
        </w:rPr>
        <w:t xml:space="preserve"> scripts/02_analyze_disparities.py</w:t>
      </w:r>
      <w:r>
        <w:br/>
      </w:r>
      <w:r>
        <w:rPr>
          <w:rStyle w:val="ExtensionTok"/>
        </w:rPr>
        <w:t xml:space="preserve">python3</w:t>
      </w:r>
      <w:r>
        <w:rPr>
          <w:rStyle w:val="NormalTok"/>
        </w:rPr>
        <w:t xml:space="preserve"> scripts/03_make_maps.py</w:t>
      </w:r>
    </w:p>
    <w:p>
      <w:r>
        <w:pict>
          <v:rect style="width:0;height:1.5pt" o:hralign="center" o:hrstd="t" o:hr="t"/>
        </w:pict>
      </w:r>
    </w:p>
    <w:bookmarkEnd w:id="62"/>
    <w:bookmarkStart w:id="63" w:name="conclusion"/>
    <w:p>
      <w:pPr>
        <w:pStyle w:val="Heading2"/>
      </w:pPr>
      <w:r>
        <w:t xml:space="preserve">12. Conclusion</w:t>
      </w:r>
    </w:p>
    <w:p>
      <w:pPr>
        <w:pStyle w:val="FirstParagraph"/>
      </w:pPr>
      <w:r>
        <w:t xml:space="preserve">Charleston County is</w:t>
      </w:r>
      <w:r>
        <w:t xml:space="preserve"> </w:t>
      </w:r>
      <w:r>
        <w:rPr>
          <w:bCs/>
          <w:b/>
        </w:rPr>
        <w:t xml:space="preserve">not</w:t>
      </w:r>
      <w:r>
        <w:t xml:space="preserve"> </w:t>
      </w:r>
      <w:r>
        <w:t xml:space="preserve">a monolith of healthy births. County-level preterm and infant mortality compare favorably to South Carolina, but</w:t>
      </w:r>
      <w:r>
        <w:t xml:space="preserve"> </w:t>
      </w:r>
      <w:r>
        <w:rPr>
          <w:bCs/>
          <w:b/>
        </w:rPr>
        <w:t xml:space="preserve">trends are worsening</w:t>
      </w:r>
      <w:r>
        <w:t xml:space="preserve">,</w:t>
      </w:r>
      <w:r>
        <w:t xml:space="preserve"> </w:t>
      </w:r>
      <w:r>
        <w:rPr>
          <w:bCs/>
          <w:b/>
        </w:rPr>
        <w:t xml:space="preserve">racial disparities are large</w:t>
      </w:r>
      <w:r>
        <w:t xml:space="preserve">,</w:t>
      </w:r>
      <w:r>
        <w:t xml:space="preserve"> </w:t>
      </w:r>
      <w:r>
        <w:rPr>
          <w:bCs/>
          <w:b/>
        </w:rPr>
        <w:t xml:space="preserve">one in seven</w:t>
      </w:r>
      <w:r>
        <w:t xml:space="preserve"> </w:t>
      </w:r>
      <w:r>
        <w:t xml:space="preserve">pregnancies receives inadequate prenatal care, and</w:t>
      </w:r>
      <w:r>
        <w:t xml:space="preserve"> </w:t>
      </w:r>
      <w:r>
        <w:rPr>
          <w:bCs/>
          <w:b/>
        </w:rPr>
        <w:t xml:space="preserve">half</w:t>
      </w:r>
      <w:r>
        <w:t xml:space="preserve"> </w:t>
      </w:r>
      <w:r>
        <w:t xml:space="preserve">of births rely on Medicaid in a state with persistent uninsurance and housing stress. The region’s Level IV NICU capacity saves the highest-acuity newborns while</w:t>
      </w:r>
      <w:r>
        <w:t xml:space="preserve"> </w:t>
      </w:r>
      <w:r>
        <w:rPr>
          <w:bCs/>
          <w:b/>
        </w:rPr>
        <w:t xml:space="preserve">upstream prevention</w:t>
      </w:r>
      <w:r>
        <w:t xml:space="preserve">—WIC, early prenatal care, environmental justice, and obstetric equity—remains under-resourced.</w:t>
      </w:r>
    </w:p>
    <w:p>
      <w:pPr>
        <w:pStyle w:val="BodyText"/>
      </w:pPr>
      <w:r>
        <w:t xml:space="preserve">This package provides the</w:t>
      </w:r>
      <w:r>
        <w:t xml:space="preserve"> </w:t>
      </w:r>
      <w:r>
        <w:rPr>
          <w:bCs/>
          <w:b/>
        </w:rPr>
        <w:t xml:space="preserve">cited evidentiary foundation</w:t>
      </w:r>
      <w:r>
        <w:t xml:space="preserve"> </w:t>
      </w:r>
      <w:r>
        <w:t xml:space="preserve">for investigative journalism, IRB-ready research proposals, and community advocacy. The next step is primary data: hospital-level C-section and complication rates stratified by race, ZIP code, and payer; qualitative interviews with Black birthing people in North Charleston; and geospatial linkage of flood/heat exposure to birth outcomes.</w:t>
      </w:r>
    </w:p>
    <w:p>
      <w:r>
        <w:pict>
          <v:rect style="width:0;height:1.5pt" o:hralign="center" o:hrstd="t" o:hr="t"/>
        </w:pict>
      </w:r>
    </w:p>
    <w:bookmarkEnd w:id="63"/>
    <w:bookmarkStart w:id="64" w:name="references-primary-data-sources"/>
    <w:p>
      <w:pPr>
        <w:pStyle w:val="Heading2"/>
      </w:pPr>
      <w:r>
        <w:t xml:space="preserve">References (primary data sources)</w:t>
      </w:r>
    </w:p>
    <w:p>
      <w:pPr>
        <w:numPr>
          <w:ilvl w:val="0"/>
          <w:numId w:val="1002"/>
        </w:numPr>
        <w:pStyle w:val="Compact"/>
      </w:pPr>
      <w:r>
        <w:t xml:space="preserve">South Carolina Department of Public Health.</w:t>
      </w:r>
      <w:r>
        <w:t xml:space="preserve"> </w:t>
      </w:r>
      <w:r>
        <w:rPr>
          <w:iCs/>
          <w:i/>
        </w:rPr>
        <w:t xml:space="preserve">Vital Metrics Summary 2023</w:t>
      </w:r>
      <w:r>
        <w:t xml:space="preserve">. November 2025. https://dph.sc.gov/sites/scdph/files/2025-11/VMS-2023.pdf</w:t>
      </w:r>
      <w:r>
        <w:br/>
      </w:r>
    </w:p>
    <w:p>
      <w:pPr>
        <w:numPr>
          <w:ilvl w:val="0"/>
          <w:numId w:val="1002"/>
        </w:numPr>
        <w:pStyle w:val="Compact"/>
      </w:pPr>
      <w:r>
        <w:t xml:space="preserve">March of Dimes.</w:t>
      </w:r>
      <w:r>
        <w:t xml:space="preserve"> </w:t>
      </w:r>
      <w:r>
        <w:rPr>
          <w:iCs/>
          <w:i/>
        </w:rPr>
        <w:t xml:space="preserve">PeriStats</w:t>
      </w:r>
      <w:r>
        <w:t xml:space="preserve"> </w:t>
      </w:r>
      <w:r>
        <w:t xml:space="preserve">(Charleston County creg=45019). https://www.marchofdimes.org/peristats/</w:t>
      </w:r>
      <w:r>
        <w:br/>
      </w:r>
    </w:p>
    <w:p>
      <w:pPr>
        <w:numPr>
          <w:ilvl w:val="0"/>
          <w:numId w:val="1002"/>
        </w:numPr>
        <w:pStyle w:val="Compact"/>
      </w:pPr>
      <w:r>
        <w:t xml:space="preserve">March of Dimes.</w:t>
      </w:r>
      <w:r>
        <w:t xml:space="preserve"> </w:t>
      </w:r>
      <w:r>
        <w:rPr>
          <w:iCs/>
          <w:i/>
        </w:rPr>
        <w:t xml:space="preserve">2025 Report Card: South Carolina</w:t>
      </w:r>
      <w:r>
        <w:t xml:space="preserve">. https://www.marchofdimes.org/peristats/reports/south-carolina/report-card</w:t>
      </w:r>
      <w:r>
        <w:br/>
      </w:r>
    </w:p>
    <w:p>
      <w:pPr>
        <w:numPr>
          <w:ilvl w:val="0"/>
          <w:numId w:val="1002"/>
        </w:numPr>
        <w:pStyle w:val="Compact"/>
      </w:pPr>
      <w:r>
        <w:t xml:space="preserve">CDC PLACES. Local Data for Better Health, Census Tract 2025 release. https://data.cdc.gov/resource/cwsq-ngmh.json</w:t>
      </w:r>
      <w:r>
        <w:br/>
      </w:r>
    </w:p>
    <w:p>
      <w:pPr>
        <w:numPr>
          <w:ilvl w:val="0"/>
          <w:numId w:val="1002"/>
        </w:numPr>
        <w:pStyle w:val="Compact"/>
      </w:pPr>
      <w:r>
        <w:t xml:space="preserve">CDC/ATSDR Social Vulnerability Index 2022. https://www.atsdr.cdc.gov/placeandhealth/svi/index.html</w:t>
      </w:r>
      <w:r>
        <w:br/>
      </w:r>
    </w:p>
    <w:p>
      <w:pPr>
        <w:numPr>
          <w:ilvl w:val="0"/>
          <w:numId w:val="1002"/>
        </w:numPr>
        <w:pStyle w:val="Compact"/>
      </w:pPr>
      <w:r>
        <w:t xml:space="preserve">County Health Rankings &amp; Roadmaps. Charleston County, SC 2025. https://www.countyhealthrankings.org/health-data/south-carolina/charleston</w:t>
      </w:r>
      <w:r>
        <w:br/>
      </w:r>
    </w:p>
    <w:p>
      <w:pPr>
        <w:numPr>
          <w:ilvl w:val="0"/>
          <w:numId w:val="1002"/>
        </w:numPr>
        <w:pStyle w:val="Compact"/>
      </w:pPr>
      <w:r>
        <w:t xml:space="preserve">U.S. Department of Health and Human Services.</w:t>
      </w:r>
      <w:r>
        <w:t xml:space="preserve"> </w:t>
      </w:r>
      <w:r>
        <w:rPr>
          <w:iCs/>
          <w:i/>
        </w:rPr>
        <w:t xml:space="preserve">Healthy People 2030</w:t>
      </w:r>
      <w:r>
        <w:t xml:space="preserve"> </w:t>
      </w:r>
      <w:r>
        <w:t xml:space="preserve">MICH objectives. https://health.gov/healthypeople</w:t>
      </w:r>
      <w:r>
        <w:br/>
      </w:r>
    </w:p>
    <w:p>
      <w:pPr>
        <w:numPr>
          <w:ilvl w:val="0"/>
          <w:numId w:val="1002"/>
        </w:numPr>
        <w:pStyle w:val="Compact"/>
      </w:pPr>
      <w:r>
        <w:t xml:space="preserve">MUSC Children’s Health. Neonatal Intensive Care Unit. https://musckids.org/health-care-services/childrens-health/neonatal-intensive-care</w:t>
      </w:r>
      <w:r>
        <w:br/>
      </w:r>
    </w:p>
    <w:p>
      <w:pPr>
        <w:numPr>
          <w:ilvl w:val="0"/>
          <w:numId w:val="1002"/>
        </w:numPr>
        <w:pStyle w:val="Compact"/>
      </w:pPr>
      <w:r>
        <w:t xml:space="preserve">SC DPH SCAN — Infant Mortality. https://apps.dhec.sc.gov/Health/Scan/scan/mch/infantmortality/</w:t>
      </w:r>
      <w:r>
        <w:br/>
      </w:r>
    </w:p>
    <w:p>
      <w:pPr>
        <w:numPr>
          <w:ilvl w:val="0"/>
          <w:numId w:val="1002"/>
        </w:numPr>
        <w:pStyle w:val="Compact"/>
      </w:pPr>
      <w:r>
        <w:t xml:space="preserve">SC DPH County Health Profile. https://dataviz.dph.sc.gov/chp/</w:t>
      </w:r>
    </w:p>
    <w:p>
      <w:r>
        <w:pict>
          <v:rect style="width:0;height:1.5pt" o:hralign="center" o:hrstd="t" o:hr="t"/>
        </w:pict>
      </w:r>
    </w:p>
    <w:p>
      <w:pPr>
        <w:pStyle w:val="FirstParagraph"/>
      </w:pPr>
      <w:r>
        <w:rPr>
          <w:iCs/>
          <w:i/>
        </w:rPr>
        <w:t xml:space="preserve">Document version 1.0 — August 2026. For corrections or updated vital statistics, re-run the pipeline after SC DPH releases VMS 2024.</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AUDIT.docx" TargetMode="External" /><Relationship Type="http://schemas.openxmlformats.org/officeDocument/2006/relationships/hyperlink" Id="rId60" Target="FACTOR_FRAMEWORK.docx" TargetMode="External" /><Relationship Type="http://schemas.openxmlformats.org/officeDocument/2006/relationships/hyperlink" Id="rId21" Target="LITERATURE_BACKED_SOLUTIONS.docx" TargetMode="External" /><Relationship Type="http://schemas.openxmlformats.org/officeDocument/2006/relationships/hyperlink" Id="rId20" Target="STATEWIDE_ANALYSIS.docx" TargetMode="External" /><Relationship Type="http://schemas.openxmlformats.org/officeDocument/2006/relationships/hyperlink" Id="rId25" Target="https://dph.sc.gov/sites/scdph/files/2025-11/VMS-2023.pdf" TargetMode="External" /><Relationship Type="http://schemas.openxmlformats.org/officeDocument/2006/relationships/hyperlink" Id="rId41" Target="https://musckids.org/health-care-services/childrens-health/neonatal-intensive-care" TargetMode="External" /><Relationship Type="http://schemas.openxmlformats.org/officeDocument/2006/relationships/hyperlink" Id="rId46" Target="https://www.countyhealthrankings.org/health-data/south-carolina/charleston" TargetMode="External" /><Relationship Type="http://schemas.openxmlformats.org/officeDocument/2006/relationships/hyperlink" Id="rId30" Target="https://www.marchofdimes.org/peristats/data?creg=45019&amp;top=3&amp;stop=55" TargetMode="External" /><Relationship Type="http://schemas.openxmlformats.org/officeDocument/2006/relationships/hyperlink" Id="rId32" Target="https://www.marchofdimes.org/peristats/data?creg=45019&amp;top=4&amp;stop=75" TargetMode="External" /><Relationship Type="http://schemas.openxmlformats.org/officeDocument/2006/relationships/hyperlink" Id="rId35" Target="https://www.marchofdimes.org/peristats/data?creg=45019&amp;top=5&amp;stop=105" TargetMode="External" /><Relationship Type="http://schemas.openxmlformats.org/officeDocument/2006/relationships/hyperlink" Id="rId34" Target="https://www.marchofdimes.org/peristats/data?creg=45019&amp;top=6&amp;stop=91" TargetMode="External" /><Relationship Type="http://schemas.openxmlformats.org/officeDocument/2006/relationships/hyperlink" Id="rId56" Target="https://www.marchofdimes.org/peristats/data?creg=45019&amp;top=8&amp;stop=130" TargetMode="External" /><Relationship Type="http://schemas.openxmlformats.org/officeDocument/2006/relationships/hyperlink" Id="rId26" Target="https://www.marchofdimes.org/peristats/data?reg=45019&amp;top=2&amp;stop=1&amp;lev=3&amp;slev=1&amp;obj=1" TargetMode="External" /><Relationship Type="http://schemas.openxmlformats.org/officeDocument/2006/relationships/hyperlink" Id="rId29" Target="https://www.marchofdimes.org/peristats/reports/south-carolina/report-card" TargetMode="External" /></Relationships>
</file>

<file path=word/_rels/footnotes.xml.rels><?xml version="1.0" encoding="UTF-8"?><Relationships xmlns="http://schemas.openxmlformats.org/package/2006/relationships"><Relationship Type="http://schemas.openxmlformats.org/officeDocument/2006/relationships/hyperlink" Id="rId22" Target="AUDIT.docx" TargetMode="External" /><Relationship Type="http://schemas.openxmlformats.org/officeDocument/2006/relationships/hyperlink" Id="rId60" Target="FACTOR_FRAMEWORK.docx" TargetMode="External" /><Relationship Type="http://schemas.openxmlformats.org/officeDocument/2006/relationships/hyperlink" Id="rId21" Target="LITERATURE_BACKED_SOLUTIONS.docx" TargetMode="External" /><Relationship Type="http://schemas.openxmlformats.org/officeDocument/2006/relationships/hyperlink" Id="rId20" Target="STATEWIDE_ANALYSIS.docx" TargetMode="External" /><Relationship Type="http://schemas.openxmlformats.org/officeDocument/2006/relationships/hyperlink" Id="rId25" Target="https://dph.sc.gov/sites/scdph/files/2025-11/VMS-2023.pdf" TargetMode="External" /><Relationship Type="http://schemas.openxmlformats.org/officeDocument/2006/relationships/hyperlink" Id="rId41" Target="https://musckids.org/health-care-services/childrens-health/neonatal-intensive-care" TargetMode="External" /><Relationship Type="http://schemas.openxmlformats.org/officeDocument/2006/relationships/hyperlink" Id="rId46" Target="https://www.countyhealthrankings.org/health-data/south-carolina/charleston" TargetMode="External" /><Relationship Type="http://schemas.openxmlformats.org/officeDocument/2006/relationships/hyperlink" Id="rId30" Target="https://www.marchofdimes.org/peristats/data?creg=45019&amp;top=3&amp;stop=55" TargetMode="External" /><Relationship Type="http://schemas.openxmlformats.org/officeDocument/2006/relationships/hyperlink" Id="rId32" Target="https://www.marchofdimes.org/peristats/data?creg=45019&amp;top=4&amp;stop=75" TargetMode="External" /><Relationship Type="http://schemas.openxmlformats.org/officeDocument/2006/relationships/hyperlink" Id="rId35" Target="https://www.marchofdimes.org/peristats/data?creg=45019&amp;top=5&amp;stop=105" TargetMode="External" /><Relationship Type="http://schemas.openxmlformats.org/officeDocument/2006/relationships/hyperlink" Id="rId34" Target="https://www.marchofdimes.org/peristats/data?creg=45019&amp;top=6&amp;stop=91" TargetMode="External" /><Relationship Type="http://schemas.openxmlformats.org/officeDocument/2006/relationships/hyperlink" Id="rId56" Target="https://www.marchofdimes.org/peristats/data?creg=45019&amp;top=8&amp;stop=130" TargetMode="External" /><Relationship Type="http://schemas.openxmlformats.org/officeDocument/2006/relationships/hyperlink" Id="rId26" Target="https://www.marchofdimes.org/peristats/data?reg=45019&amp;top=2&amp;stop=1&amp;lev=3&amp;slev=1&amp;obj=1" TargetMode="External" /><Relationship Type="http://schemas.openxmlformats.org/officeDocument/2006/relationships/hyperlink" Id="rId29" Target="https://www.marchofdimes.org/peristats/reports/south-carolina/report-c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RESEARCH_FOUNDATION</dc:title>
  <dc:creator/>
  <cp:keywords/>
  <dcterms:created xsi:type="dcterms:W3CDTF">2026-08-10T01:42:10Z</dcterms:created>
  <dcterms:modified xsi:type="dcterms:W3CDTF">2026-08-10T01:42:10Z</dcterms:modified>
</cp:coreProperties>
</file>

<file path=docProps/custom.xml><?xml version="1.0" encoding="utf-8"?>
<Properties xmlns="http://schemas.openxmlformats.org/officeDocument/2006/custom-properties" xmlns:vt="http://schemas.openxmlformats.org/officeDocument/2006/docPropsVTypes"/>
</file>