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LITERATURE_BACKED_SOLUTIONS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2" w:name="X844ebfd2dc58a0456a04cdd10bcf3977ed4abb1"/>
    <w:p>
      <w:pPr>
        <w:pStyle w:val="Heading1"/>
      </w:pPr>
      <w:r>
        <w:t xml:space="preserve">Literature-Backed Solutions: What Actually Works (and What the Evidence Does Not Support)</w:t>
      </w:r>
    </w:p>
    <w:p>
      <w:pPr>
        <w:pStyle w:val="FirstParagraph"/>
      </w:pPr>
      <w:r>
        <w:t xml:space="preserve">Every intervention below is tied to a specific trial, meta-analysis, or systematic review — including</w:t>
      </w:r>
      <w:r>
        <w:t xml:space="preserve"> </w:t>
      </w:r>
      <w:r>
        <w:rPr>
          <w:bCs/>
          <w:b/>
        </w:rPr>
        <w:t xml:space="preserve">negative and mixed findings</w:t>
      </w:r>
      <w:r>
        <w:t xml:space="preserve">, because a research paper that only cites positive studies is not credible. Effect sizes, confidence intervals, and sample sizes are reported wherever available so a reader can judge the strength of evidence for themselves.</w:t>
      </w:r>
    </w:p>
    <w:p>
      <w:pPr>
        <w:pStyle w:val="BodyText"/>
      </w:pPr>
      <w:r>
        <w:rPr>
          <w:bCs/>
          <w:b/>
        </w:rPr>
        <w:t xml:space="preserve">Evidence grading used throughout:</w:t>
      </w:r>
      <w:r>
        <w:t xml:space="preserve"> </w:t>
      </w:r>
      <w:r>
        <w:t xml:space="preserve">- 🟢</w:t>
      </w:r>
      <w:r>
        <w:t xml:space="preserve"> </w:t>
      </w:r>
      <w:r>
        <w:rPr>
          <w:bCs/>
          <w:b/>
        </w:rPr>
        <w:t xml:space="preserve">Strong</w:t>
      </w:r>
      <w:r>
        <w:t xml:space="preserve"> </w:t>
      </w:r>
      <w:r>
        <w:t xml:space="preserve">— RCT or meta-analysis of RCTs, consistent effect, adequate sample size</w:t>
      </w:r>
      <w:r>
        <w:t xml:space="preserve"> </w:t>
      </w:r>
      <w:r>
        <w:t xml:space="preserve">- 🟡</w:t>
      </w:r>
      <w:r>
        <w:t xml:space="preserve"> </w:t>
      </w:r>
      <w:r>
        <w:rPr>
          <w:bCs/>
          <w:b/>
        </w:rPr>
        <w:t xml:space="preserve">Moderate</w:t>
      </w:r>
      <w:r>
        <w:t xml:space="preserve"> </w:t>
      </w:r>
      <w:r>
        <w:t xml:space="preserve">— RCT with mixed/null primary result but subgroup signal, or well-designed cohort study</w:t>
      </w:r>
      <w:r>
        <w:t xml:space="preserve"> </w:t>
      </w:r>
      <w:r>
        <w:t xml:space="preserve">- 🟠</w:t>
      </w:r>
      <w:r>
        <w:t xml:space="preserve"> </w:t>
      </w:r>
      <w:r>
        <w:rPr>
          <w:bCs/>
          <w:b/>
        </w:rPr>
        <w:t xml:space="preserve">Preliminary/context-dependent</w:t>
      </w:r>
      <w:r>
        <w:t xml:space="preserve"> </w:t>
      </w:r>
      <w:r>
        <w:t xml:space="preserve">— single cohort study, policy still new, or effect not yet replicated</w:t>
      </w:r>
      <w:r>
        <w:t xml:space="preserve"> </w:t>
      </w:r>
      <w:r>
        <w:t xml:space="preserve">- 🔴</w:t>
      </w:r>
      <w:r>
        <w:t xml:space="preserve"> </w:t>
      </w:r>
      <w:r>
        <w:rPr>
          <w:bCs/>
          <w:b/>
        </w:rPr>
        <w:t xml:space="preserve">Contested/null</w:t>
      </w:r>
      <w:r>
        <w:t xml:space="preserve"> </w:t>
      </w:r>
      <w:r>
        <w:t xml:space="preserve">— RCT found no significant effect on the outcome of interest</w:t>
      </w:r>
    </w:p>
    <w:p>
      <w:r>
        <w:pict>
          <v:rect style="width:0;height:1.5pt" o:hralign="center" o:hrstd="t" o:hr="t"/>
        </w:pict>
      </w:r>
    </w:p>
    <w:bookmarkStart w:id="20" w:name="Xbe338d8e4670c9e704a38f24d89fcb53774b6a0"/>
    <w:p>
      <w:pPr>
        <w:pStyle w:val="Heading2"/>
      </w:pPr>
      <w:r>
        <w:t xml:space="preserve">1. Group prenatal care (CenteringPregnancy) — 🟡 Moderate, evidence is genuinely mixed</w:t>
      </w:r>
    </w:p>
    <w:p>
      <w:pPr>
        <w:pStyle w:val="FirstParagraph"/>
      </w:pPr>
      <w:r>
        <w:t xml:space="preserve">This is the most important evidence story in the whole package, because it shows how program evaluation evolves and why a single positive study should never be the last word.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Study</w:t>
            </w:r>
          </w:p>
        </w:tc>
        <w:tc>
          <w:tcPr/>
          <w:p>
            <w:pPr>
              <w:pStyle w:val="Compact"/>
              <w:jc w:val="left"/>
            </w:pPr>
            <w:r>
              <w:t xml:space="preserve">Design</w:t>
            </w:r>
          </w:p>
        </w:tc>
        <w:tc>
          <w:tcPr/>
          <w:p>
            <w:pPr>
              <w:pStyle w:val="Compact"/>
              <w:jc w:val="left"/>
            </w:pPr>
            <w:r>
              <w:t xml:space="preserve">Location</w:t>
            </w:r>
          </w:p>
        </w:tc>
        <w:tc>
          <w:tcPr/>
          <w:p>
            <w:pPr>
              <w:pStyle w:val="Compact"/>
              <w:jc w:val="left"/>
            </w:pPr>
            <w:r>
              <w:t xml:space="preserve">Preterm birth result</w:t>
            </w:r>
          </w:p>
        </w:tc>
        <w:tc>
          <w:tcPr/>
          <w:p>
            <w:pPr>
              <w:pStyle w:val="Compact"/>
              <w:jc w:val="left"/>
            </w:pPr>
            <w:r>
              <w:t xml:space="preserve">Low birthweight result</w:t>
            </w:r>
          </w:p>
        </w:tc>
      </w:tr>
      <w:tr>
        <w:tc>
          <w:tcPr/>
          <w:p>
            <w:pPr>
              <w:pStyle w:val="Compact"/>
              <w:jc w:val="left"/>
            </w:pPr>
            <w:r>
              <w:t xml:space="preserve">Picklesimer et al. 2012,</w:t>
            </w:r>
            <w:r>
              <w:t xml:space="preserve"> </w:t>
            </w:r>
            <w:r>
              <w:rPr>
                <w:iCs/>
                <w:i/>
              </w:rPr>
              <w:t xml:space="preserve">AJOG</w:t>
            </w:r>
          </w:p>
        </w:tc>
        <w:tc>
          <w:tcPr/>
          <w:p>
            <w:pPr>
              <w:pStyle w:val="Compact"/>
              <w:jc w:val="left"/>
            </w:pPr>
            <w:r>
              <w:t xml:space="preserve">Retrospective cohort, Medicaid patients</w:t>
            </w:r>
          </w:p>
        </w:tc>
        <w:tc>
          <w:tcPr/>
          <w:p>
            <w:pPr>
              <w:pStyle w:val="Compact"/>
              <w:jc w:val="left"/>
            </w:pPr>
            <w:r>
              <w:t xml:space="preserve">Greenville Health System, SC</w:t>
            </w:r>
          </w:p>
        </w:tc>
        <w:tc>
          <w:tcPr/>
          <w:p>
            <w:pPr>
              <w:pStyle w:val="Compact"/>
              <w:jc w:val="left"/>
            </w:pPr>
            <w:r>
              <w:rPr>
                <w:bCs/>
                <w:b/>
              </w:rPr>
              <w:t xml:space="preserve">9.8% group vs 14.8% traditional</w:t>
            </w:r>
            <w:r>
              <w:t xml:space="preserve"> </w:t>
            </w:r>
            <w:r>
              <w:t xml:space="preserve">(33% relative reduction, p=0.01); &lt;32wk: 1.3% vs 3.1% (p=0.03)</w:t>
            </w:r>
          </w:p>
        </w:tc>
        <w:tc>
          <w:tcPr/>
          <w:p>
            <w:pPr>
              <w:pStyle w:val="Compact"/>
              <w:jc w:val="left"/>
            </w:pPr>
            <w:r>
              <w:t xml:space="preserve">8.9% vs 11.4% (not significant, p=0.20)</w:t>
            </w:r>
          </w:p>
        </w:tc>
      </w:tr>
      <w:tr>
        <w:tc>
          <w:tcPr/>
          <w:p>
            <w:pPr>
              <w:pStyle w:val="Compact"/>
              <w:jc w:val="left"/>
            </w:pPr>
            <w:r>
              <w:t xml:space="preserve">Gareau et al. 2016,</w:t>
            </w:r>
            <w:r>
              <w:t xml:space="preserve"> </w:t>
            </w:r>
            <w:r>
              <w:rPr>
                <w:iCs/>
                <w:i/>
              </w:rPr>
              <w:t xml:space="preserve">Matern Child Health J</w:t>
            </w:r>
          </w:p>
        </w:tc>
        <w:tc>
          <w:tcPr/>
          <w:p>
            <w:pPr>
              <w:pStyle w:val="Compact"/>
              <w:jc w:val="left"/>
            </w:pPr>
            <w:r>
              <w:t xml:space="preserve">Propensity-score-matched cohort, 5-year, Medicaid</w:t>
            </w:r>
          </w:p>
        </w:tc>
        <w:tc>
          <w:tcPr/>
          <w:p>
            <w:pPr>
              <w:pStyle w:val="Compact"/>
              <w:jc w:val="left"/>
            </w:pPr>
            <w:r>
              <w:t xml:space="preserve">South Carolina (GHS)</w:t>
            </w:r>
          </w:p>
        </w:tc>
        <w:tc>
          <w:tcPr/>
          <w:p>
            <w:pPr>
              <w:pStyle w:val="Compact"/>
              <w:jc w:val="left"/>
            </w:pPr>
            <w:r>
              <w:rPr>
                <w:bCs/>
                <w:b/>
              </w:rPr>
              <w:t xml:space="preserve">36% relative risk reduction</w:t>
            </w:r>
            <w:r>
              <w:t xml:space="preserve">; $22,667 average savings per case prevented</w:t>
            </w:r>
          </w:p>
        </w:tc>
        <w:tc>
          <w:tcPr/>
          <w:p>
            <w:pPr>
              <w:pStyle w:val="Compact"/>
              <w:jc w:val="left"/>
            </w:pPr>
            <w:r>
              <w:t xml:space="preserve">Included in composite savings estimate</w:t>
            </w:r>
          </w:p>
        </w:tc>
      </w:tr>
      <w:tr>
        <w:tc>
          <w:tcPr/>
          <w:p>
            <w:pPr>
              <w:pStyle w:val="Compact"/>
              <w:jc w:val="left"/>
            </w:pPr>
            <w:r>
              <w:t xml:space="preserve">Robinson et al. 2018,</w:t>
            </w:r>
            <w:r>
              <w:t xml:space="preserve"> </w:t>
            </w:r>
            <w:r>
              <w:rPr>
                <w:iCs/>
                <w:i/>
              </w:rPr>
              <w:t xml:space="preserve">J Womens Health</w:t>
            </w:r>
          </w:p>
        </w:tc>
        <w:tc>
          <w:tcPr/>
          <w:p>
            <w:pPr>
              <w:pStyle w:val="Compact"/>
              <w:jc w:val="left"/>
            </w:pPr>
            <w:r>
              <w:t xml:space="preserve">Retrospective cohort, single institution</w:t>
            </w:r>
          </w:p>
        </w:tc>
        <w:tc>
          <w:tcPr/>
          <w:p>
            <w:pPr>
              <w:pStyle w:val="Compact"/>
              <w:jc w:val="left"/>
            </w:pPr>
            <w:r>
              <w:t xml:space="preserve">South Carolina</w:t>
            </w:r>
          </w:p>
        </w:tc>
        <w:tc>
          <w:tcPr/>
          <w:p>
            <w:pPr>
              <w:pStyle w:val="Compact"/>
              <w:jc w:val="left"/>
            </w:pPr>
            <w:r>
              <w:rPr>
                <w:bCs/>
                <w:b/>
              </w:rPr>
              <w:t xml:space="preserve">RR 0.38 (95% CI 0.31–0.47)</w:t>
            </w:r>
            <w:r>
              <w:t xml:space="preserve"> </w:t>
            </w:r>
            <w:r>
              <w:t xml:space="preserve">— largest effect among non-Hispanic White mothers; weakest among Hispanic mothers</w:t>
            </w:r>
          </w:p>
        </w:tc>
        <w:tc>
          <w:tcPr/>
          <w:p>
            <w:pPr>
              <w:pStyle w:val="Compact"/>
              <w:jc w:val="left"/>
            </w:pPr>
            <w:r>
              <w:t xml:space="preserve">RR 0.46 (95% CI 0.37–0.56)</w:t>
            </w:r>
          </w:p>
        </w:tc>
      </w:tr>
      <w:tr>
        <w:tc>
          <w:tcPr/>
          <w:p>
            <w:pPr>
              <w:pStyle w:val="Compact"/>
              <w:jc w:val="left"/>
            </w:pPr>
            <w:r>
              <w:rPr>
                <w:bCs/>
                <w:b/>
              </w:rPr>
              <w:t xml:space="preserve">CRADLE Trial</w:t>
            </w:r>
            <w:r>
              <w:t xml:space="preserve"> </w:t>
            </w:r>
            <w:r>
              <w:t xml:space="preserve">(Hetherington et al., PMC9729420) — the</w:t>
            </w:r>
            <w:r>
              <w:t xml:space="preserve"> </w:t>
            </w:r>
            <w:r>
              <w:rPr>
                <w:bCs/>
                <w:b/>
              </w:rPr>
              <w:t xml:space="preserve">only RCT</w:t>
            </w:r>
            <w:r>
              <w:t xml:space="preserve"> </w:t>
            </w:r>
            <w:r>
              <w:t xml:space="preserve">on this topic conducted in SC</w:t>
            </w:r>
          </w:p>
        </w:tc>
        <w:tc>
          <w:tcPr/>
          <w:p>
            <w:pPr>
              <w:pStyle w:val="Compact"/>
              <w:jc w:val="left"/>
            </w:pPr>
            <w:r>
              <w:rPr>
                <w:bCs/>
                <w:b/>
              </w:rPr>
              <w:t xml:space="preserve">Randomized controlled trial</w:t>
            </w:r>
            <w:r>
              <w:t xml:space="preserve">, n=2,350 (1,176 group / 1,174 individual)</w:t>
            </w:r>
          </w:p>
        </w:tc>
        <w:tc>
          <w:tcPr/>
          <w:p>
            <w:pPr>
              <w:pStyle w:val="Compact"/>
              <w:jc w:val="left"/>
            </w:pPr>
            <w:r>
              <w:t xml:space="preserve">Prisma Health-Upstate / Clemson University, SC, 2016–2021</w:t>
            </w:r>
          </w:p>
        </w:tc>
        <w:tc>
          <w:tcPr/>
          <w:p>
            <w:pPr>
              <w:pStyle w:val="Compact"/>
              <w:jc w:val="left"/>
            </w:pPr>
            <w:r>
              <w:rPr>
                <w:bCs/>
                <w:b/>
              </w:rPr>
              <w:t xml:space="preserve">10.4% group vs 8.7% individual — NOT significant</w:t>
            </w:r>
            <w:r>
              <w:t xml:space="preserve"> </w:t>
            </w:r>
            <w:r>
              <w:t xml:space="preserve">(OR 1.22, 95% CI 0.92–1.63, p=0.17)</w:t>
            </w:r>
          </w:p>
        </w:tc>
        <w:tc>
          <w:tcPr/>
          <w:p>
            <w:pPr>
              <w:pStyle w:val="Compact"/>
              <w:jc w:val="left"/>
            </w:pPr>
            <w:r>
              <w:t xml:space="preserve">9.6% vs 8.9% — NOT significant (OR 1.08, 95% CI 0.80–1.45, p=0.62)</w:t>
            </w:r>
          </w:p>
        </w:tc>
      </w:tr>
      <w:tr>
        <w:tc>
          <w:tcPr/>
          <w:p>
            <w:pPr>
              <w:pStyle w:val="Compact"/>
              <w:jc w:val="left"/>
            </w:pPr>
            <w:r>
              <w:t xml:space="preserve">CRADLE subgroup analysis</w:t>
            </w:r>
          </w:p>
        </w:tc>
        <w:tc>
          <w:tcPr/>
          <w:p>
            <w:pPr>
              <w:pStyle w:val="Compact"/>
              <w:jc w:val="left"/>
            </w:pPr>
            <w:r>
              <w:t xml:space="preserve">Per-compliance, Black participants only</w:t>
            </w:r>
          </w:p>
        </w:tc>
        <w:tc>
          <w:tcPr/>
          <w:p>
            <w:pPr>
              <w:pStyle w:val="Compact"/>
              <w:jc w:val="left"/>
            </w:pPr>
            <w:r>
              <w:t xml:space="preserve">Same</w:t>
            </w:r>
          </w:p>
        </w:tc>
        <w:tc>
          <w:tcPr/>
          <w:p>
            <w:pPr>
              <w:pStyle w:val="Compact"/>
              <w:jc w:val="left"/>
            </w:pPr>
            <w:r>
              <w:t xml:space="preserve">Not separately reported</w:t>
            </w:r>
          </w:p>
        </w:tc>
        <w:tc>
          <w:tcPr/>
          <w:p>
            <w:pPr>
              <w:pStyle w:val="Compact"/>
              <w:jc w:val="left"/>
            </w:pPr>
            <w:r>
              <w:rPr>
                <w:bCs/>
                <w:b/>
              </w:rPr>
              <w:t xml:space="preserve">8.3%</w:t>
            </w:r>
            <w:r>
              <w:t xml:space="preserve"> </w:t>
            </w:r>
            <w:r>
              <w:t xml:space="preserve">(high attendance) vs population average — suggests</w:t>
            </w:r>
            <w:r>
              <w:t xml:space="preserve"> </w:t>
            </w:r>
            <w:r>
              <w:rPr>
                <w:bCs/>
                <w:b/>
              </w:rPr>
              <w:t xml:space="preserve">dose-response benefit concentrated in high-attendance Black participants</w:t>
            </w:r>
          </w:p>
        </w:tc>
      </w:tr>
    </w:tbl>
    <w:p>
      <w:pPr>
        <w:pStyle w:val="BodyText"/>
      </w:pPr>
      <w:r>
        <w:rPr>
          <w:bCs/>
          <w:b/>
        </w:rPr>
        <w:t xml:space="preserve">What this means for a research paper:</w:t>
      </w:r>
      <w:r>
        <w:t xml:space="preserve"> </w:t>
      </w:r>
      <w:r>
        <w:t xml:space="preserve">Retrospective, non-randomized South Carolina studies from the 2010s reported large (33–36%) reductions in preterm birth with group prenatal care. When the</w:t>
      </w:r>
      <w:r>
        <w:t xml:space="preserve"> </w:t>
      </w:r>
      <w:r>
        <w:rPr>
          <w:iCs/>
          <w:i/>
        </w:rPr>
        <w:t xml:space="preserve">same care model</w:t>
      </w:r>
      <w:r>
        <w:t xml:space="preserve"> </w:t>
      </w:r>
      <w:r>
        <w:t xml:space="preserve">was tested with the field’s only randomized design (CRADLE, completed 2021), the overall effect</w:t>
      </w:r>
      <w:r>
        <w:t xml:space="preserve"> </w:t>
      </w:r>
      <w:r>
        <w:rPr>
          <w:bCs/>
          <w:b/>
        </w:rPr>
        <w:t xml:space="preserve">disappeared</w:t>
      </w:r>
      <w:r>
        <w:t xml:space="preserve"> </w:t>
      </w:r>
      <w:r>
        <w:t xml:space="preserve">— but a benefit persisted for Black participants who attended more sessions. The honest conclusion is:</w:t>
      </w:r>
      <w:r>
        <w:t xml:space="preserve"> </w:t>
      </w:r>
      <w:r>
        <w:rPr>
          <w:bCs/>
          <w:b/>
        </w:rPr>
        <w:t xml:space="preserve">group prenatal care is not proven to reduce preterm birth for the average patient, but attendance-dependent, race-stratified benefits remain plausible and merit further RCT investigation</w:t>
      </w:r>
      <w:r>
        <w:t xml:space="preserve"> </w:t>
      </w:r>
      <w:r>
        <w:t xml:space="preserve">— exactly the kind of nuanced, defensible claim that strengthens rather than weakens a research paper’s credibility.</w:t>
      </w:r>
    </w:p>
    <w:p>
      <w:pPr>
        <w:pStyle w:val="BodyText"/>
      </w:pPr>
      <w:r>
        <w:rPr>
          <w:bCs/>
          <w:b/>
        </w:rPr>
        <w:t xml:space="preserve">Policy note:</w:t>
      </w:r>
      <w:r>
        <w:t xml:space="preserve"> </w:t>
      </w:r>
      <w:r>
        <w:t xml:space="preserve">South Carolina Medicaid was an early national adopter of enhanced reimbursement for CenteringPregnancy specifically because of the earlier (pre-RCT) cohort studies. This is a live case study in how program funding can outpace RCT-level evidence — itself a legitimate research angle (</w:t>
      </w:r>
      <w:r>
        <w:t xml:space="preserve">“</w:t>
      </w:r>
      <w:r>
        <w:t xml:space="preserve">evidence-policy lag</w:t>
      </w:r>
      <w:r>
        <w:t xml:space="preserve">”</w:t>
      </w:r>
      <w:r>
        <w:t xml:space="preserve">).</w:t>
      </w:r>
    </w:p>
    <w:p>
      <w:r>
        <w:pict>
          <v:rect style="width:0;height:1.5pt" o:hralign="center" o:hrstd="t" o:hr="t"/>
        </w:pict>
      </w:r>
    </w:p>
    <w:bookmarkEnd w:id="20"/>
    <w:bookmarkStart w:id="22" w:name="Xd618efbcd393a406401daa9dfc8100ff898454f"/>
    <w:p>
      <w:pPr>
        <w:pStyle w:val="Heading2"/>
      </w:pPr>
      <w:r>
        <w:t xml:space="preserve">2. Continuous labor support / doula care — 🟢 Strong for process outcomes, 🟡 moderate for birthweight</w:t>
      </w:r>
    </w:p>
    <w:p>
      <w:pPr>
        <w:pStyle w:val="FirstParagraph"/>
      </w:pPr>
      <w:r>
        <w:rPr>
          <w:bCs/>
          <w:b/>
        </w:rPr>
        <w:t xml:space="preserve">Cochrane systematic review</w:t>
      </w:r>
      <w:r>
        <w:t xml:space="preserve"> </w:t>
      </w:r>
      <w:r>
        <w:t xml:space="preserve">(Bohren et al. 2017, 27 trials, 15,858 women,</w:t>
      </w:r>
      <w:r>
        <w:t xml:space="preserve"> </w:t>
      </w:r>
      <w:hyperlink r:id="rId21">
        <w:r>
          <w:rPr>
            <w:rStyle w:val="Hyperlink"/>
          </w:rPr>
          <w:t xml:space="preserve">Cochrane summary</w:t>
        </w:r>
      </w:hyperlink>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Outcome</w:t>
            </w:r>
          </w:p>
        </w:tc>
        <w:tc>
          <w:tcPr/>
          <w:p>
            <w:pPr>
              <w:pStyle w:val="Compact"/>
              <w:jc w:val="left"/>
            </w:pPr>
            <w:r>
              <w:t xml:space="preserve">Effect</w:t>
            </w:r>
          </w:p>
        </w:tc>
        <w:tc>
          <w:tcPr/>
          <w:p>
            <w:pPr>
              <w:pStyle w:val="Compact"/>
              <w:jc w:val="left"/>
            </w:pPr>
            <w:r>
              <w:t xml:space="preserve">Evidence quality</w:t>
            </w:r>
          </w:p>
        </w:tc>
      </w:tr>
      <w:tr>
        <w:tc>
          <w:tcPr/>
          <w:p>
            <w:pPr>
              <w:pStyle w:val="Compact"/>
              <w:jc w:val="left"/>
            </w:pPr>
            <w:r>
              <w:t xml:space="preserve">Spontaneous vaginal birth</w:t>
            </w:r>
          </w:p>
        </w:tc>
        <w:tc>
          <w:tcPr/>
          <w:p>
            <w:pPr>
              <w:pStyle w:val="Compact"/>
              <w:jc w:val="left"/>
            </w:pPr>
            <w:r>
              <w:t xml:space="preserve">RR 1.08 (95% CI 1.04–1.12)</w:t>
            </w:r>
          </w:p>
        </w:tc>
        <w:tc>
          <w:tcPr/>
          <w:p>
            <w:pPr>
              <w:pStyle w:val="Compact"/>
              <w:jc w:val="left"/>
            </w:pPr>
            <w:r>
              <w:t xml:space="preserve">Low</w:t>
            </w:r>
          </w:p>
        </w:tc>
      </w:tr>
      <w:tr>
        <w:tc>
          <w:tcPr/>
          <w:p>
            <w:pPr>
              <w:pStyle w:val="Compact"/>
              <w:jc w:val="left"/>
            </w:pPr>
            <w:r>
              <w:t xml:space="preserve">Cesarean birth</w:t>
            </w:r>
          </w:p>
        </w:tc>
        <w:tc>
          <w:tcPr/>
          <w:p>
            <w:pPr>
              <w:pStyle w:val="Compact"/>
              <w:jc w:val="left"/>
            </w:pPr>
            <w:r>
              <w:t xml:space="preserve">RR 0.75 (95% CI 0.64–0.88) —</w:t>
            </w:r>
            <w:r>
              <w:t xml:space="preserve"> </w:t>
            </w:r>
            <w:r>
              <w:rPr>
                <w:bCs/>
                <w:b/>
              </w:rPr>
              <w:t xml:space="preserve">25% relative reduction</w:t>
            </w:r>
          </w:p>
        </w:tc>
        <w:tc>
          <w:tcPr/>
          <w:p>
            <w:pPr>
              <w:pStyle w:val="Compact"/>
              <w:jc w:val="left"/>
            </w:pPr>
            <w:r>
              <w:t xml:space="preserve">Low</w:t>
            </w:r>
          </w:p>
        </w:tc>
      </w:tr>
      <w:tr>
        <w:tc>
          <w:tcPr/>
          <w:p>
            <w:pPr>
              <w:pStyle w:val="Compact"/>
              <w:jc w:val="left"/>
            </w:pPr>
            <w:r>
              <w:t xml:space="preserve">Low 5-minute Apgar score</w:t>
            </w:r>
          </w:p>
        </w:tc>
        <w:tc>
          <w:tcPr/>
          <w:p>
            <w:pPr>
              <w:pStyle w:val="Compact"/>
              <w:jc w:val="left"/>
            </w:pPr>
            <w:r>
              <w:t xml:space="preserve">RR 0.62 (95% CI 0.46–0.85)</w:t>
            </w:r>
          </w:p>
        </w:tc>
        <w:tc>
          <w:tcPr/>
          <w:p>
            <w:pPr>
              <w:pStyle w:val="Compact"/>
              <w:jc w:val="left"/>
            </w:pPr>
            <w:r>
              <w:t xml:space="preserve">—</w:t>
            </w:r>
          </w:p>
        </w:tc>
      </w:tr>
      <w:tr>
        <w:tc>
          <w:tcPr/>
          <w:p>
            <w:pPr>
              <w:pStyle w:val="Compact"/>
              <w:jc w:val="left"/>
            </w:pPr>
            <w:r>
              <w:t xml:space="preserve">Negative birth experience</w:t>
            </w:r>
          </w:p>
        </w:tc>
        <w:tc>
          <w:tcPr/>
          <w:p>
            <w:pPr>
              <w:pStyle w:val="Compact"/>
              <w:jc w:val="left"/>
            </w:pPr>
            <w:r>
              <w:t xml:space="preserve">RR 0.69 (95% CI 0.59–0.79)</w:t>
            </w:r>
          </w:p>
        </w:tc>
        <w:tc>
          <w:tcPr/>
          <w:p>
            <w:pPr>
              <w:pStyle w:val="Compact"/>
              <w:jc w:val="left"/>
            </w:pPr>
            <w:r>
              <w:t xml:space="preserve">Low</w:t>
            </w:r>
          </w:p>
        </w:tc>
      </w:tr>
      <w:tr>
        <w:tc>
          <w:tcPr/>
          <w:p>
            <w:pPr>
              <w:pStyle w:val="Compact"/>
              <w:jc w:val="left"/>
            </w:pPr>
            <w:r>
              <w:t xml:space="preserve">NICU/special-care admission</w:t>
            </w:r>
          </w:p>
        </w:tc>
        <w:tc>
          <w:tcPr/>
          <w:p>
            <w:pPr>
              <w:pStyle w:val="Compact"/>
              <w:jc w:val="left"/>
            </w:pPr>
            <w:r>
              <w:t xml:space="preserve">RR 0.97 (95% CI 0.76–1.25) —</w:t>
            </w:r>
            <w:r>
              <w:t xml:space="preserve"> </w:t>
            </w:r>
            <w:r>
              <w:rPr>
                <w:bCs/>
                <w:b/>
              </w:rPr>
              <w:t xml:space="preserve">no significant effect</w:t>
            </w:r>
          </w:p>
        </w:tc>
        <w:tc>
          <w:tcPr/>
          <w:p>
            <w:pPr>
              <w:pStyle w:val="Compact"/>
              <w:jc w:val="left"/>
            </w:pPr>
            <w:r>
              <w:t xml:space="preserve">Low</w:t>
            </w:r>
          </w:p>
        </w:tc>
      </w:tr>
    </w:tbl>
    <w:p>
      <w:pPr>
        <w:pStyle w:val="BodyText"/>
      </w:pPr>
      <w:r>
        <w:t xml:space="preserve">The Cochrane review did</w:t>
      </w:r>
      <w:r>
        <w:t xml:space="preserve"> </w:t>
      </w:r>
      <w:r>
        <w:rPr>
          <w:bCs/>
          <w:b/>
        </w:rPr>
        <w:t xml:space="preserve">not</w:t>
      </w:r>
      <w:r>
        <w:t xml:space="preserve"> </w:t>
      </w:r>
      <w:r>
        <w:t xml:space="preserve">find a significant effect on NICU admission and did not report preterm birth or low birthweight as primary outcomes.</w:t>
      </w:r>
    </w:p>
    <w:p>
      <w:pPr>
        <w:pStyle w:val="BodyText"/>
      </w:pPr>
      <w:r>
        <w:rPr>
          <w:bCs/>
          <w:b/>
        </w:rPr>
        <w:t xml:space="preserve">Separate meta-analysis of doula care specifically in minority populations</w:t>
      </w:r>
      <w:r>
        <w:t xml:space="preserve"> </w:t>
      </w:r>
      <w:r>
        <w:t xml:space="preserve">(8 observational studies, n=799,775; presented at SMFM 2021):</w:t>
      </w:r>
      <w:r>
        <w:t xml:space="preserve"> </w:t>
      </w:r>
      <w:r>
        <w:t xml:space="preserve">- Low birthweight:</w:t>
      </w:r>
      <w:r>
        <w:t xml:space="preserve"> </w:t>
      </w:r>
      <w:r>
        <w:rPr>
          <w:bCs/>
          <w:b/>
        </w:rPr>
        <w:t xml:space="preserve">OR 0.51 (95% CI 0.36–0.71)</w:t>
      </w:r>
      <w:r>
        <w:t xml:space="preserve"> </w:t>
      </w:r>
      <w:r>
        <w:t xml:space="preserve">— 49% lower odds with doula care</w:t>
      </w:r>
      <w:r>
        <w:t xml:space="preserve"> </w:t>
      </w:r>
      <w:r>
        <w:t xml:space="preserve">- Cesarean section: OR 0.78 (95% CI 0.59–1.02) — 22% lower, borderline significance</w:t>
      </w:r>
      <w:r>
        <w:t xml:space="preserve"> </w:t>
      </w:r>
      <w:r>
        <w:t xml:space="preserve">-</w:t>
      </w:r>
      <w:r>
        <w:t xml:space="preserve"> </w:t>
      </w:r>
      <w:r>
        <w:rPr>
          <w:bCs/>
          <w:b/>
        </w:rPr>
        <w:t xml:space="preserve">Preterm birth: OR 0.91 (95% CI 0.57–1.44) — NOT significant</w:t>
      </w:r>
    </w:p>
    <w:p>
      <w:pPr>
        <w:pStyle w:val="BodyText"/>
      </w:pPr>
      <w:r>
        <w:rPr>
          <w:bCs/>
          <w:b/>
        </w:rPr>
        <w:t xml:space="preserve">Bottom line:</w:t>
      </w:r>
      <w:r>
        <w:t xml:space="preserve"> </w:t>
      </w:r>
      <w:r>
        <w:t xml:space="preserve">Doula/continuous-support evidence is strong for labor-process outcomes (Cesarean rate, birth experience, Apgar) and observationally promising for low birthweight in minority populations, but</w:t>
      </w:r>
      <w:r>
        <w:t xml:space="preserve"> </w:t>
      </w:r>
      <w:r>
        <w:rPr>
          <w:bCs/>
          <w:b/>
        </w:rPr>
        <w:t xml:space="preserve">not yet proven</w:t>
      </w:r>
      <w:r>
        <w:t xml:space="preserve"> </w:t>
      </w:r>
      <w:r>
        <w:t xml:space="preserve">to reduce preterm birth specifically. This nuance matters because South Carolina is actively building doula-access policy (see below) — the paper should recommend it on the strength of process/equity outcomes and observational LBW signal, not oversell a preterm-birth guarantee.</w:t>
      </w:r>
    </w:p>
    <w:p>
      <w:pPr>
        <w:pStyle w:val="BodyText"/>
      </w:pPr>
      <w:r>
        <w:rPr>
          <w:bCs/>
          <w:b/>
        </w:rPr>
        <w:t xml:space="preserve">South Carolina policy status (as of this audit):</w:t>
      </w:r>
      <w:r>
        <w:t xml:space="preserve"> </w:t>
      </w:r>
      <w:r>
        <w:t xml:space="preserve">-</w:t>
      </w:r>
      <w:r>
        <w:t xml:space="preserve"> </w:t>
      </w:r>
      <w:r>
        <w:rPr>
          <w:bCs/>
          <w:b/>
        </w:rPr>
        <w:t xml:space="preserve">September 2024:</w:t>
      </w:r>
      <w:r>
        <w:t xml:space="preserve"> </w:t>
      </w:r>
      <w:r>
        <w:t xml:space="preserve">SC Healthy Connections Medicaid launched a 24-month doula pilot (under H.3592, 2023), reimbursing</w:t>
      </w:r>
      <w:r>
        <w:t xml:space="preserve"> </w:t>
      </w:r>
      <w:r>
        <w:rPr>
          <w:bCs/>
          <w:b/>
        </w:rPr>
        <w:t xml:space="preserve">up to $1,000 per full perinatal package</w:t>
      </w:r>
      <w:r>
        <w:t xml:space="preserve"> </w:t>
      </w:r>
      <w:r>
        <w:t xml:space="preserve">in the Upstate, Midlands, and Lowcountry regions.</w:t>
      </w:r>
      <w:r>
        <w:t xml:space="preserve"> </w:t>
      </w:r>
      <w:r>
        <w:t xml:space="preserve">-</w:t>
      </w:r>
      <w:r>
        <w:t xml:space="preserve"> </w:t>
      </w:r>
      <w:r>
        <w:rPr>
          <w:bCs/>
          <w:b/>
        </w:rPr>
        <w:t xml:space="preserve">January 1, 2026:</w:t>
      </w:r>
      <w:r>
        <w:t xml:space="preserve"> </w:t>
      </w:r>
      <w:r>
        <w:t xml:space="preserve">SC Bill 3108 takes effect, mandating both Medicaid and private insurance cover certified doula services with a</w:t>
      </w:r>
      <w:r>
        <w:t xml:space="preserve"> </w:t>
      </w:r>
      <w:r>
        <w:rPr>
          <w:bCs/>
          <w:b/>
        </w:rPr>
        <w:t xml:space="preserve">minimum reimbursement of $850 per pregnancy</w:t>
      </w:r>
      <w:r>
        <w:t xml:space="preserve">, covering antepartum through 12 months postpartum.</w:t>
      </w:r>
      <w:r>
        <w:t xml:space="preserve"> </w:t>
      </w:r>
      <w:r>
        <w:t xml:space="preserve">- Charleston-area organizations coordinating Black birth-worker training:</w:t>
      </w:r>
      <w:r>
        <w:t xml:space="preserve"> </w:t>
      </w:r>
      <w:r>
        <w:rPr>
          <w:bCs/>
          <w:b/>
        </w:rPr>
        <w:t xml:space="preserve">Charleston Birth Place</w:t>
      </w:r>
      <w:r>
        <w:t xml:space="preserve"> </w:t>
      </w:r>
      <w:r>
        <w:t xml:space="preserve">and</w:t>
      </w:r>
      <w:r>
        <w:t xml:space="preserve"> </w:t>
      </w:r>
      <w:r>
        <w:rPr>
          <w:bCs/>
          <w:b/>
        </w:rPr>
        <w:t xml:space="preserve">Reaching Our Sisters Everywhere (ROSE)</w:t>
      </w:r>
      <w:r>
        <w:t xml:space="preserve">.</w:t>
      </w:r>
    </w:p>
    <w:p>
      <w:r>
        <w:pict>
          <v:rect style="width:0;height:1.5pt" o:hralign="center" o:hrstd="t" o:hr="t"/>
        </w:pict>
      </w:r>
    </w:p>
    <w:bookmarkEnd w:id="22"/>
    <w:bookmarkStart w:id="23" w:name="X6a7c3ed6daedc454f23801e73c682c5f0b711a0"/>
    <w:p>
      <w:pPr>
        <w:pStyle w:val="Heading2"/>
      </w:pPr>
      <w:r>
        <w:t xml:space="preserve">3. Nurse home visiting (Nurse-Family Partnership) — 🟡 Moderate, effect sizes vary by trial and are smaller than commonly cited</w:t>
      </w:r>
    </w:p>
    <w:p>
      <w:pPr>
        <w:pStyle w:val="FirstParagraph"/>
      </w:pPr>
      <w:r>
        <w:t xml:space="preserve">Five well-designed RCTs (Elmira NY, Memphis TN, Denver CO, Netherlands, UK) have tested NFP. Results are</w:t>
      </w:r>
      <w:r>
        <w:t xml:space="preserve"> </w:t>
      </w:r>
      <w:r>
        <w:rPr>
          <w:bCs/>
          <w:b/>
        </w:rPr>
        <w:t xml:space="preserve">not uniformly positive</w:t>
      </w:r>
      <w:r>
        <w:t xml:space="preserve">:</w:t>
      </w:r>
    </w:p>
    <w:p>
      <w:pPr>
        <w:numPr>
          <w:ilvl w:val="0"/>
          <w:numId w:val="1001"/>
        </w:numPr>
        <w:pStyle w:val="Compact"/>
      </w:pPr>
      <w:r>
        <w:t xml:space="preserve">The UK trial (Robling et al.) found</w:t>
      </w:r>
      <w:r>
        <w:t xml:space="preserve"> </w:t>
      </w:r>
      <w:r>
        <w:rPr>
          <w:bCs/>
          <w:b/>
        </w:rPr>
        <w:t xml:space="preserve">no significant effect</w:t>
      </w:r>
      <w:r>
        <w:t xml:space="preserve"> </w:t>
      </w:r>
      <w:r>
        <w:t xml:space="preserve">on any primary outcome, including birthweight — likely because the control group already received unusually comprehensive standard care (16 nurse visits).</w:t>
      </w:r>
    </w:p>
    <w:p>
      <w:pPr>
        <w:numPr>
          <w:ilvl w:val="0"/>
          <w:numId w:val="1001"/>
        </w:numPr>
        <w:pStyle w:val="Compact"/>
      </w:pPr>
      <w:r>
        <w:t xml:space="preserve">The Memphis trial (primarily African American, high-disadvantage sample) is the most relevant to SC’s population profile. A</w:t>
      </w:r>
      <w:r>
        <w:t xml:space="preserve"> </w:t>
      </w:r>
      <w:r>
        <w:rPr>
          <w:bCs/>
          <w:b/>
        </w:rPr>
        <w:t xml:space="preserve">2-decade follow-up</w:t>
      </w:r>
      <w:r>
        <w:t xml:space="preserve"> </w:t>
      </w:r>
      <w:r>
        <w:t xml:space="preserve">(Olds et al.,</w:t>
      </w:r>
      <w:r>
        <w:t xml:space="preserve"> </w:t>
      </w:r>
      <w:r>
        <w:rPr>
          <w:iCs/>
          <w:i/>
        </w:rPr>
        <w:t xml:space="preserve">JAMA Pediatrics</w:t>
      </w:r>
      <w:r>
        <w:t xml:space="preserve"> </w:t>
      </w:r>
      <w:r>
        <w:t xml:space="preserve">2014) found:</w:t>
      </w:r>
    </w:p>
    <w:p>
      <w:pPr>
        <w:numPr>
          <w:ilvl w:val="1"/>
          <w:numId w:val="1002"/>
        </w:numPr>
        <w:pStyle w:val="Compact"/>
      </w:pPr>
      <w:r>
        <w:t xml:space="preserve">21-year maternal all-cause mortality: 0.4–2.2% (nurse-visited groups) vs 3.7% (control) — statistically significant contrast (p=0.007–0.008)</w:t>
      </w:r>
    </w:p>
    <w:p>
      <w:pPr>
        <w:numPr>
          <w:ilvl w:val="1"/>
          <w:numId w:val="1002"/>
        </w:numPr>
        <w:pStyle w:val="Compact"/>
      </w:pPr>
      <w:r>
        <w:t xml:space="preserve">Preventable-cause child mortality by age 20:</w:t>
      </w:r>
      <w:r>
        <w:t xml:space="preserve"> </w:t>
      </w:r>
      <w:r>
        <w:rPr>
          <w:bCs/>
          <w:b/>
        </w:rPr>
        <w:t xml:space="preserve">0.0%</w:t>
      </w:r>
      <w:r>
        <w:t xml:space="preserve"> </w:t>
      </w:r>
      <w:r>
        <w:t xml:space="preserve">(highest-intensity treatment) vs 1.6% (lower-intensity comparator) —</w:t>
      </w:r>
      <w:r>
        <w:t xml:space="preserve"> </w:t>
      </w:r>
      <w:r>
        <w:rPr>
          <w:bCs/>
          <w:b/>
        </w:rPr>
        <w:t xml:space="preserve">marginally significant</w:t>
      </w:r>
      <w:r>
        <w:t xml:space="preserve"> </w:t>
      </w:r>
      <w:r>
        <w:t xml:space="preserve">(p=0.04)</w:t>
      </w:r>
    </w:p>
    <w:p>
      <w:pPr>
        <w:numPr>
          <w:ilvl w:val="0"/>
          <w:numId w:val="1001"/>
        </w:numPr>
        <w:pStyle w:val="Compact"/>
      </w:pPr>
      <w:r>
        <w:t xml:space="preserve">A</w:t>
      </w:r>
      <w:r>
        <w:t xml:space="preserve"> </w:t>
      </w:r>
      <w:r>
        <w:rPr>
          <w:bCs/>
          <w:b/>
        </w:rPr>
        <w:t xml:space="preserve">pooled analysis of all 3 major US trials</w:t>
      </w:r>
      <w:r>
        <w:t xml:space="preserve"> </w:t>
      </w:r>
      <w:r>
        <w:t xml:space="preserve">(Kahn &amp; Moore,</w:t>
      </w:r>
      <w:r>
        <w:t xml:space="preserve"> </w:t>
      </w:r>
      <w:r>
        <w:rPr>
          <w:iCs/>
          <w:i/>
        </w:rPr>
        <w:t xml:space="preserve">Am J Prev Med</w:t>
      </w:r>
      <w:r>
        <w:t xml:space="preserve"> </w:t>
      </w:r>
      <w:r>
        <w:t xml:space="preserve">2021) found only a</w:t>
      </w:r>
      <w:r>
        <w:t xml:space="preserve"> </w:t>
      </w:r>
      <w:r>
        <w:rPr>
          <w:bCs/>
          <w:b/>
        </w:rPr>
        <w:t xml:space="preserve">marginally significant</w:t>
      </w:r>
      <w:r>
        <w:t xml:space="preserve"> </w:t>
      </w:r>
      <w:r>
        <w:t xml:space="preserve">reduction in preventable-cause child mortality (p=0.09) and</w:t>
      </w:r>
      <w:r>
        <w:t xml:space="preserve"> </w:t>
      </w:r>
      <w:r>
        <w:rPr>
          <w:bCs/>
          <w:b/>
        </w:rPr>
        <w:t xml:space="preserve">no significant effect on maternal mortality</w:t>
      </w:r>
      <w:r>
        <w:t xml:space="preserve"> </w:t>
      </w:r>
      <w:r>
        <w:t xml:space="preserve">in two of three trials.</w:t>
      </w:r>
    </w:p>
    <w:p>
      <w:pPr>
        <w:numPr>
          <w:ilvl w:val="0"/>
          <w:numId w:val="1001"/>
        </w:numPr>
        <w:pStyle w:val="Compact"/>
      </w:pPr>
      <w:r>
        <w:t xml:space="preserve">Widely cited marketing estimates of</w:t>
      </w:r>
      <w:r>
        <w:t xml:space="preserve"> </w:t>
      </w:r>
      <w:r>
        <w:t xml:space="preserve">“</w:t>
      </w:r>
      <w:r>
        <w:t xml:space="preserve">45% infant mortality reduction</w:t>
      </w:r>
      <w:r>
        <w:t xml:space="preserve">”</w:t>
      </w:r>
      <w:r>
        <w:t xml:space="preserve"> </w:t>
      </w:r>
      <w:r>
        <w:t xml:space="preserve">derive from a modeling exercise (Miller, 2015, projecting outcomes for 1996–2013 NFP enrollees) that combines trial data with statistical adjustment and a</w:t>
      </w:r>
      <w:r>
        <w:t xml:space="preserve"> </w:t>
      </w:r>
      <w:r>
        <w:t xml:space="preserve">“</w:t>
      </w:r>
      <w:r>
        <w:t xml:space="preserve">replication factor</w:t>
      </w:r>
      <w:r>
        <w:t xml:space="preserve">”</w:t>
      </w:r>
      <w:r>
        <w:t xml:space="preserve"> </w:t>
      </w:r>
      <w:r>
        <w:t xml:space="preserve">—</w:t>
      </w:r>
      <w:r>
        <w:t xml:space="preserve"> </w:t>
      </w:r>
      <w:r>
        <w:rPr>
          <w:bCs/>
          <w:b/>
        </w:rPr>
        <w:t xml:space="preserve">not a direct RCT finding on infant mortality</w:t>
      </w:r>
      <w:r>
        <w:t xml:space="preserve">. This audit cites the RCT evidence directly rather than the rounded marketing figure.</w:t>
      </w:r>
    </w:p>
    <w:p>
      <w:pPr>
        <w:pStyle w:val="FirstParagraph"/>
      </w:pPr>
      <w:r>
        <w:rPr>
          <w:bCs/>
          <w:b/>
        </w:rPr>
        <w:t xml:space="preserve">Bottom line for a research paper:</w:t>
      </w:r>
      <w:r>
        <w:t xml:space="preserve"> </w:t>
      </w:r>
      <w:r>
        <w:t xml:space="preserve">Nurse home visiting has a credible, if modest and heterogeneous, evidence base for reducing child maltreatment, repeat teen pregnancy, and — in the highest-disadvantage subgroups — preventable child mortality. It should be described as</w:t>
      </w:r>
      <w:r>
        <w:t xml:space="preserve"> </w:t>
      </w:r>
      <w:r>
        <w:t xml:space="preserve">“</w:t>
      </w:r>
      <w:r>
        <w:t xml:space="preserve">promising, particularly for first-time, high-disadvantage mothers</w:t>
      </w:r>
      <w:r>
        <w:t xml:space="preserve">”</w:t>
      </w:r>
      <w:r>
        <w:t xml:space="preserve"> </w:t>
      </w:r>
      <w:r>
        <w:t xml:space="preserve">rather than a proven infant-mortality cure.</w:t>
      </w:r>
      <w:r>
        <w:t xml:space="preserve"> </w:t>
      </w:r>
      <w:r>
        <w:rPr>
          <w:bCs/>
          <w:b/>
        </w:rPr>
        <w:t xml:space="preserve">South Carolina is a documented NFP RCT site</w:t>
      </w:r>
      <w:r>
        <w:t xml:space="preserve"> </w:t>
      </w:r>
      <w:r>
        <w:t xml:space="preserve">(a registered protocol exists —</w:t>
      </w:r>
      <w:r>
        <w:t xml:space="preserve"> </w:t>
      </w:r>
      <w:r>
        <w:rPr>
          <w:iCs/>
          <w:i/>
        </w:rPr>
        <w:t xml:space="preserve">“</w:t>
      </w:r>
      <w:r>
        <w:rPr>
          <w:iCs/>
          <w:i/>
        </w:rPr>
        <w:t xml:space="preserve">Protocol for a randomized controlled trial evaluating the impact of the Nurse-Family Partnership’s home visiting program in South Carolina</w:t>
      </w:r>
      <w:r>
        <w:rPr>
          <w:iCs/>
          <w:i/>
        </w:rPr>
        <w:t xml:space="preserve">”</w:t>
      </w:r>
      <w:r>
        <w:t xml:space="preserve"> </w:t>
      </w:r>
      <w:r>
        <w:t xml:space="preserve">— meaning SC-specific outcome data may become available and should be tracked as this research paper is developed further).</w:t>
      </w:r>
    </w:p>
    <w:p>
      <w:r>
        <w:pict>
          <v:rect style="width:0;height:1.5pt" o:hralign="center" o:hrstd="t" o:hr="t"/>
        </w:pict>
      </w:r>
    </w:p>
    <w:bookmarkEnd w:id="23"/>
    <w:bookmarkStart w:id="24" w:name="Xce10df6bfce318051591b0420df511b9f2c82d9"/>
    <w:p>
      <w:pPr>
        <w:pStyle w:val="Heading2"/>
      </w:pPr>
      <w:r>
        <w:t xml:space="preserve">4. Medicaid postpartum extension — 🟢 Strong, policy already implemented and showing measurable effect in SC</w:t>
      </w:r>
    </w:p>
    <w:p>
      <w:pPr>
        <w:pStyle w:val="FirstParagraph"/>
      </w:pPr>
      <w:r>
        <w:t xml:space="preserve">South Carolina extended Medicaid postpartum coverage from 60 days to</w:t>
      </w:r>
      <w:r>
        <w:t xml:space="preserve"> </w:t>
      </w:r>
      <w:r>
        <w:rPr>
          <w:bCs/>
          <w:b/>
        </w:rPr>
        <w:t xml:space="preserve">12 months, effective April 1, 2022</w:t>
      </w:r>
      <w:r>
        <w:t xml:space="preserve">. The SCMMMRC’s own data shows a plausible effect:</w:t>
      </w:r>
    </w:p>
    <w:p>
      <w:pPr>
        <w:numPr>
          <w:ilvl w:val="0"/>
          <w:numId w:val="1003"/>
        </w:numPr>
        <w:pStyle w:val="Compact"/>
      </w:pPr>
      <w:r>
        <w:t xml:space="preserve">Pregnancy-related mortality rate among Medicaid recipients:</w:t>
      </w:r>
      <w:r>
        <w:t xml:space="preserve"> </w:t>
      </w:r>
      <w:r>
        <w:rPr>
          <w:bCs/>
          <w:b/>
        </w:rPr>
        <w:t xml:space="preserve">51.0 per 100,000 (2022) → 37.8 per 100,000 (2023)</w:t>
      </w:r>
      <w:r>
        <w:t xml:space="preserve"> </w:t>
      </w:r>
      <w:r>
        <w:t xml:space="preserve">— a 26% one-year drop, occurring in the same window the extension matured to cover a full annual cohort.</w:t>
      </w:r>
    </w:p>
    <w:p>
      <w:pPr>
        <w:numPr>
          <w:ilvl w:val="0"/>
          <w:numId w:val="1003"/>
        </w:numPr>
        <w:pStyle w:val="Compact"/>
      </w:pPr>
      <w:r>
        <w:t xml:space="preserve">The SCMMMRC explicitly attributes part of the broader statewide PRMR decline (47.2 in 2021 → 29.5 in 2023, the lowest since surveillance began) to the extension providing continued access to primary/mental health care beyond the historic 6-week cutoff.</w:t>
      </w:r>
    </w:p>
    <w:p>
      <w:pPr>
        <w:pStyle w:val="FirstParagraph"/>
      </w:pPr>
      <w:r>
        <w:rPr>
          <w:bCs/>
          <w:b/>
        </w:rPr>
        <w:t xml:space="preserve">This is the strongest</w:t>
      </w:r>
      <w:r>
        <w:rPr>
          <w:bCs/>
          <w:b/>
        </w:rPr>
        <w:t xml:space="preserve"> </w:t>
      </w:r>
      <w:r>
        <w:rPr>
          <w:bCs/>
          <w:b/>
        </w:rPr>
        <w:t xml:space="preserve">“</w:t>
      </w:r>
      <w:r>
        <w:rPr>
          <w:bCs/>
          <w:b/>
        </w:rPr>
        <w:t xml:space="preserve">solution already working</w:t>
      </w:r>
      <w:r>
        <w:rPr>
          <w:bCs/>
          <w:b/>
        </w:rPr>
        <w:t xml:space="preserve">”</w:t>
      </w:r>
      <w:r>
        <w:rPr>
          <w:bCs/>
          <w:b/>
        </w:rPr>
        <w:t xml:space="preserve"> </w:t>
      </w:r>
      <w:r>
        <w:rPr>
          <w:bCs/>
          <w:b/>
        </w:rPr>
        <w:t xml:space="preserve">story in this entire package</w:t>
      </w:r>
      <w:r>
        <w:t xml:space="preserve"> </w:t>
      </w:r>
      <w:r>
        <w:t xml:space="preserve">— it is real, SC-specific, already implemented, and has a before/after signal in the state’s own official surveillance data. A research paper can cite this as evidence that</w:t>
      </w:r>
      <w:r>
        <w:t xml:space="preserve"> </w:t>
      </w:r>
      <w:r>
        <w:rPr>
          <w:bCs/>
          <w:b/>
        </w:rPr>
        <w:t xml:space="preserve">insurance policy design, not just clinical intervention, materially changes outcomes.</w:t>
      </w:r>
    </w:p>
    <w:p>
      <w:r>
        <w:pict>
          <v:rect style="width:0;height:1.5pt" o:hralign="center" o:hrstd="t" o:hr="t"/>
        </w:pict>
      </w:r>
    </w:p>
    <w:bookmarkEnd w:id="24"/>
    <w:bookmarkStart w:id="25" w:name="Xa4a01a6cdef8339ca51bdcaab3e55fa5577995c"/>
    <w:p>
      <w:pPr>
        <w:pStyle w:val="Heading2"/>
      </w:pPr>
      <w:r>
        <w:t xml:space="preserve">5. Safety bundles for hemorrhage and hypertension — 🟢 Strong, directly tied to SC’s leading causes of death</w:t>
      </w:r>
    </w:p>
    <w:p>
      <w:pPr>
        <w:pStyle w:val="FirstParagraph"/>
      </w:pPr>
      <w:r>
        <w:t xml:space="preserve">Given that hemorrhage, hypertensive disorders, and mental health/SUD were determined</w:t>
      </w:r>
      <w:r>
        <w:t xml:space="preserve"> </w:t>
      </w:r>
      <w:r>
        <w:rPr>
          <w:bCs/>
          <w:b/>
        </w:rPr>
        <w:t xml:space="preserve">100% preventable</w:t>
      </w:r>
      <w:r>
        <w:t xml:space="preserve"> </w:t>
      </w:r>
      <w:r>
        <w:t xml:space="preserve">by the SCMMMRC for 2022–2023 deaths, the Committee’s own implemented interventions carry direct policy weight:</w:t>
      </w:r>
    </w:p>
    <w:p>
      <w:pPr>
        <w:numPr>
          <w:ilvl w:val="0"/>
          <w:numId w:val="1004"/>
        </w:numPr>
        <w:pStyle w:val="Compact"/>
      </w:pPr>
      <w:r>
        <w:rPr>
          <w:bCs/>
          <w:b/>
        </w:rPr>
        <w:t xml:space="preserve">Standardized hemorrhage and hypertension safety bundles</w:t>
      </w:r>
      <w:r>
        <w:t xml:space="preserve"> </w:t>
      </w:r>
      <w:r>
        <w:t xml:space="preserve">are now in use in SC hospitals (Alliance for Innovation on Maternal Health / AIM bundles) — a nationally validated, evidence-based quality-improvement framework.</w:t>
      </w:r>
    </w:p>
    <w:p>
      <w:pPr>
        <w:numPr>
          <w:ilvl w:val="0"/>
          <w:numId w:val="1004"/>
        </w:numPr>
        <w:pStyle w:val="Compact"/>
      </w:pPr>
      <w:r>
        <w:rPr>
          <w:bCs/>
          <w:b/>
        </w:rPr>
        <w:t xml:space="preserve">PALMETTO-BIRTH Band initiative:</w:t>
      </w:r>
      <w:r>
        <w:t xml:space="preserve"> </w:t>
      </w:r>
      <w:r>
        <w:t xml:space="preserve">a postpartum alert wristband program (SC Maternal Health Taskforce) to ensure ED and other providers recognize recent pregnancy status and can rapidly identify warning signs — directly responsive to the finding that a large share of deaths occur in the 7–365 day postpartum window.</w:t>
      </w:r>
    </w:p>
    <w:p>
      <w:pPr>
        <w:numPr>
          <w:ilvl w:val="0"/>
          <w:numId w:val="1004"/>
        </w:numPr>
        <w:pStyle w:val="Compact"/>
      </w:pPr>
      <w:r>
        <w:rPr>
          <w:bCs/>
          <w:b/>
        </w:rPr>
        <w:t xml:space="preserve">Obstetric simulation training for emergency department staff</w:t>
      </w:r>
      <w:r>
        <w:t xml:space="preserve"> </w:t>
      </w:r>
      <w:r>
        <w:t xml:space="preserve">— responsive to the SCMMMRC recommendation that ED providers are frequently the first point of contact for postpartum complications but are not always trained to recognize them.</w:t>
      </w:r>
    </w:p>
    <w:p>
      <w:pPr>
        <w:pStyle w:val="FirstParagraph"/>
      </w:pPr>
      <w:r>
        <w:rPr>
          <w:bCs/>
          <w:b/>
        </w:rPr>
        <w:t xml:space="preserve">Evidence base for AIM bundles nationally:</w:t>
      </w:r>
      <w:r>
        <w:t xml:space="preserve"> </w:t>
      </w:r>
      <w:r>
        <w:t xml:space="preserve">California’s AIM-based hemorrhage bundle rollout was associated with a</w:t>
      </w:r>
      <w:r>
        <w:t xml:space="preserve"> </w:t>
      </w:r>
      <w:r>
        <w:rPr>
          <w:bCs/>
          <w:b/>
        </w:rPr>
        <w:t xml:space="preserve">21% relative reduction in severe maternal morbidity from hemorrhage</w:t>
      </w:r>
      <w:r>
        <w:t xml:space="preserve"> </w:t>
      </w:r>
      <w:r>
        <w:t xml:space="preserve">in participating hospitals (Main et al.,</w:t>
      </w:r>
      <w:r>
        <w:t xml:space="preserve"> </w:t>
      </w:r>
      <w:r>
        <w:rPr>
          <w:iCs/>
          <w:i/>
        </w:rPr>
        <w:t xml:space="preserve">Obstet Gynecol</w:t>
      </w:r>
      <w:r>
        <w:t xml:space="preserve"> </w:t>
      </w:r>
      <w:r>
        <w:t xml:space="preserve">2017) — one of the most robust state-level quality-improvement evaluations in the maternal health literature.</w:t>
      </w:r>
    </w:p>
    <w:p>
      <w:r>
        <w:pict>
          <v:rect style="width:0;height:1.5pt" o:hralign="center" o:hrstd="t" o:hr="t"/>
        </w:pict>
      </w:r>
    </w:p>
    <w:bookmarkEnd w:id="25"/>
    <w:bookmarkStart w:id="26" w:name="Xdc523b56b6f82e7abdb453cede2576d60246f67"/>
    <w:p>
      <w:pPr>
        <w:pStyle w:val="Heading2"/>
      </w:pPr>
      <w:r>
        <w:t xml:space="preserve">6. Rural OB access — telehealth, mobile units, and freestanding birth centers — 🟠 Preliminary but directly responsive to documented closures</w:t>
      </w:r>
    </w:p>
    <w:p>
      <w:pPr>
        <w:pStyle w:val="FirstParagraph"/>
      </w:pPr>
      <w:r>
        <w:t xml:space="preserve">Given the documented closure of 11+ OB units since 2011 and 46.2% of SC rural hospitals losing obstetric services (2010–2022):</w:t>
      </w:r>
    </w:p>
    <w:p>
      <w:pPr>
        <w:numPr>
          <w:ilvl w:val="0"/>
          <w:numId w:val="1005"/>
        </w:numPr>
        <w:pStyle w:val="Compact"/>
      </w:pPr>
      <w:r>
        <w:rPr>
          <w:bCs/>
          <w:b/>
        </w:rPr>
        <w:t xml:space="preserve">SCMMMRC’s own top recommendation category is</w:t>
      </w:r>
      <w:r>
        <w:rPr>
          <w:bCs/>
          <w:b/>
        </w:rPr>
        <w:t xml:space="preserve"> </w:t>
      </w:r>
      <w:r>
        <w:rPr>
          <w:bCs/>
          <w:b/>
        </w:rPr>
        <w:t xml:space="preserve">“</w:t>
      </w:r>
      <w:r>
        <w:rPr>
          <w:bCs/>
          <w:b/>
        </w:rPr>
        <w:t xml:space="preserve">Access</w:t>
      </w:r>
      <w:r>
        <w:rPr>
          <w:bCs/>
          <w:b/>
        </w:rPr>
        <w:t xml:space="preserve">”</w:t>
      </w:r>
      <w:r>
        <w:t xml:space="preserve">: fund mobile units providing prenatal/postpartum care in rural communities; assist with transportation and childcare for appointment attendance.</w:t>
      </w:r>
    </w:p>
    <w:p>
      <w:pPr>
        <w:numPr>
          <w:ilvl w:val="0"/>
          <w:numId w:val="1005"/>
        </w:numPr>
        <w:pStyle w:val="Compact"/>
      </w:pPr>
      <w:r>
        <w:rPr>
          <w:bCs/>
          <w:b/>
        </w:rPr>
        <w:t xml:space="preserve">Telehealth for high-risk pregnancy</w:t>
      </w:r>
      <w:r>
        <w:t xml:space="preserve"> </w:t>
      </w:r>
      <w:r>
        <w:t xml:space="preserve">(HRSA, 2022) is associated with improved patient engagement and treatment adherence, though rigorous RCT evidence specific to rural maternal outcomes is still emerging — March of Dimes explicitly calls this</w:t>
      </w:r>
      <w:r>
        <w:t xml:space="preserve"> </w:t>
      </w:r>
      <w:r>
        <w:t xml:space="preserve">“</w:t>
      </w:r>
      <w:r>
        <w:t xml:space="preserve">preliminary but promising</w:t>
      </w:r>
      <w:r>
        <w:t xml:space="preserve">”</w:t>
      </w:r>
      <w:r>
        <w:t xml:space="preserve"> </w:t>
      </w:r>
      <w:r>
        <w:t xml:space="preserve">in its SC maternity care report.</w:t>
      </w:r>
    </w:p>
    <w:p>
      <w:pPr>
        <w:numPr>
          <w:ilvl w:val="0"/>
          <w:numId w:val="1005"/>
        </w:numPr>
        <w:pStyle w:val="Compact"/>
      </w:pPr>
      <w:r>
        <w:rPr>
          <w:bCs/>
          <w:b/>
        </w:rPr>
        <w:t xml:space="preserve">Evidence on driving distance and outcomes:</w:t>
      </w:r>
      <w:r>
        <w:t xml:space="preserve"> </w:t>
      </w:r>
      <w:r>
        <w:t xml:space="preserve">Kozhimannil et al. (</w:t>
      </w:r>
      <w:r>
        <w:rPr>
          <w:iCs/>
          <w:i/>
        </w:rPr>
        <w:t xml:space="preserve">JAMA</w:t>
      </w:r>
      <w:r>
        <w:t xml:space="preserve">, 2018) found loss of hospital-based obstetric services in rural US counties was associated with</w:t>
      </w:r>
      <w:r>
        <w:t xml:space="preserve"> </w:t>
      </w:r>
      <w:r>
        <w:rPr>
          <w:bCs/>
          <w:b/>
        </w:rPr>
        <w:t xml:space="preserve">increased out-of-hospital and preterm births</w:t>
      </w:r>
      <w:r>
        <w:t xml:space="preserve"> </w:t>
      </w:r>
      <w:r>
        <w:t xml:space="preserve">in the following year — directly relevant to SC’s Laurens and Kershaw closures.</w:t>
      </w:r>
    </w:p>
    <w:p>
      <w:pPr>
        <w:numPr>
          <w:ilvl w:val="0"/>
          <w:numId w:val="1005"/>
        </w:numPr>
        <w:pStyle w:val="Compact"/>
      </w:pPr>
      <w:r>
        <w:t xml:space="preserve">Minion et al. (</w:t>
      </w:r>
      <w:r>
        <w:rPr>
          <w:iCs/>
          <w:i/>
        </w:rPr>
        <w:t xml:space="preserve">Obstet Gynecol</w:t>
      </w:r>
      <w:r>
        <w:t xml:space="preserve">, 2022) found longer driving distance to maternity hospitals was associated with increased maternal and perinatal complications, providing a dose-response rationale for the SC-specific finding that rural women travel 25.2 miles on average vs 9.7 for urban women.</w:t>
      </w:r>
    </w:p>
    <w:p>
      <w:pPr>
        <w:pStyle w:val="FirstParagraph"/>
      </w:pPr>
      <w:r>
        <w:rPr>
          <w:bCs/>
          <w:b/>
        </w:rPr>
        <w:t xml:space="preserve">Recommendation for the paper:</w:t>
      </w:r>
      <w:r>
        <w:t xml:space="preserve"> </w:t>
      </w:r>
      <w:r>
        <w:t xml:space="preserve">frame rural access solutions (telehealth, mobile units, SC Office of Rural Health’s Revolving Loan Fund, SC Rural Physician Incentive Grant Program) as urgently needed and directionally supported by national evidence on distance-outcome relationships, while being honest that SC-specific outcome evaluations of these exact programs are not yet published.</w:t>
      </w:r>
    </w:p>
    <w:p>
      <w:r>
        <w:pict>
          <v:rect style="width:0;height:1.5pt" o:hralign="center" o:hrstd="t" o:hr="t"/>
        </w:pict>
      </w:r>
    </w:p>
    <w:bookmarkEnd w:id="26"/>
    <w:bookmarkStart w:id="27" w:name="Xc91fc136fa93f8a9db03ad194cf56080eb11d1c"/>
    <w:p>
      <w:pPr>
        <w:pStyle w:val="Heading2"/>
      </w:pPr>
      <w:r>
        <w:t xml:space="preserve">7. WIC and nutrition support — 🟢 Strong for birthweight, evidence decades-deep</w:t>
      </w:r>
    </w:p>
    <w:p>
      <w:pPr>
        <w:pStyle w:val="FirstParagraph"/>
      </w:pPr>
      <w:r>
        <w:t xml:space="preserve">WIC (Special Supplemental Nutrition Program for Women, Infants, and Children) has one of the longest and most consistent evaluation histories in US public health:</w:t>
      </w:r>
    </w:p>
    <w:p>
      <w:pPr>
        <w:numPr>
          <w:ilvl w:val="0"/>
          <w:numId w:val="1006"/>
        </w:numPr>
        <w:pStyle w:val="Compact"/>
      </w:pPr>
      <w:r>
        <w:t xml:space="preserve">USDA-commissioned and peer-reviewed studies consistently associate WIC participation during pregnancy with</w:t>
      </w:r>
      <w:r>
        <w:t xml:space="preserve"> </w:t>
      </w:r>
      <w:r>
        <w:rPr>
          <w:bCs/>
          <w:b/>
        </w:rPr>
        <w:t xml:space="preserve">higher birthweight and reduced very-low-birthweight risk</w:t>
      </w:r>
      <w:r>
        <w:t xml:space="preserve">, particularly among Black participants (Hoynes, Page &amp; Stevens,</w:t>
      </w:r>
      <w:r>
        <w:t xml:space="preserve"> </w:t>
      </w:r>
      <w:r>
        <w:rPr>
          <w:iCs/>
          <w:i/>
        </w:rPr>
        <w:t xml:space="preserve">NBER</w:t>
      </w:r>
      <w:r>
        <w:t xml:space="preserve">; Devaney et al., USDA).</w:t>
      </w:r>
    </w:p>
    <w:p>
      <w:pPr>
        <w:numPr>
          <w:ilvl w:val="0"/>
          <w:numId w:val="1006"/>
        </w:numPr>
        <w:pStyle w:val="Compact"/>
      </w:pPr>
      <w:r>
        <w:t xml:space="preserve">In Charleston specifically, only</w:t>
      </w:r>
      <w:r>
        <w:t xml:space="preserve"> </w:t>
      </w:r>
      <w:r>
        <w:rPr>
          <w:bCs/>
          <w:b/>
        </w:rPr>
        <w:t xml:space="preserve">34.6%</w:t>
      </w:r>
      <w:r>
        <w:t xml:space="preserve"> </w:t>
      </w:r>
      <w:r>
        <w:t xml:space="preserve">of mothers received WIC during pregnancy in 2023 (SC DPH VMS Table C-34) despite</w:t>
      </w:r>
      <w:r>
        <w:t xml:space="preserve"> </w:t>
      </w:r>
      <w:r>
        <w:rPr>
          <w:bCs/>
          <w:b/>
        </w:rPr>
        <w:t xml:space="preserve">50.3%</w:t>
      </w:r>
      <w:r>
        <w:t xml:space="preserve"> </w:t>
      </w:r>
      <w:r>
        <w:t xml:space="preserve">delivering on Medicaid — a substantial</w:t>
      </w:r>
      <w:r>
        <w:t xml:space="preserve"> </w:t>
      </w:r>
      <w:r>
        <w:t xml:space="preserve">“</w:t>
      </w:r>
      <w:r>
        <w:t xml:space="preserve">enrollment gap</w:t>
      </w:r>
      <w:r>
        <w:t xml:space="preserve">”</w:t>
      </w:r>
      <w:r>
        <w:t xml:space="preserve"> </w:t>
      </w:r>
      <w:r>
        <w:t xml:space="preserve">between two income-linked programs that should be a priority target for outreach.</w:t>
      </w:r>
    </w:p>
    <w:p>
      <w:r>
        <w:pict>
          <v:rect style="width:0;height:1.5pt" o:hralign="center" o:hrstd="t" o:hr="t"/>
        </w:pict>
      </w:r>
    </w:p>
    <w:bookmarkEnd w:id="27"/>
    <w:bookmarkStart w:id="28" w:name="Xf8ef50e23c4b70b16adc92c4a218dc96a69de77"/>
    <w:p>
      <w:pPr>
        <w:pStyle w:val="Heading2"/>
      </w:pPr>
      <w:r>
        <w:t xml:space="preserve">8. Breastfeeding support — 🟡 Moderate, equity-focused framing needed</w:t>
      </w:r>
    </w:p>
    <w:p>
      <w:pPr>
        <w:numPr>
          <w:ilvl w:val="0"/>
          <w:numId w:val="1007"/>
        </w:numPr>
        <w:pStyle w:val="Compact"/>
      </w:pPr>
      <w:r>
        <w:t xml:space="preserve">Baby-Friendly Hospital designation and lactation-consultant access are associated with higher breastfeeding initiation and duration (CDC, multiple state evaluations), though effect sizes vary by implementation fidelity.</w:t>
      </w:r>
    </w:p>
    <w:p>
      <w:pPr>
        <w:numPr>
          <w:ilvl w:val="0"/>
          <w:numId w:val="1007"/>
        </w:numPr>
        <w:pStyle w:val="Compact"/>
      </w:pPr>
      <w:r>
        <w:t xml:space="preserve">SC’s WIC breastfeeding rate gap (Black 23.6% vs Asian 42.6%, FFY2024) suggests targeted, culturally specific lactation support (e.g., community-based Black breastfeeding peer counselors) is a higher-leverage intervention than generic promotion campaigns, consistent with CDC’s own equity guidance on breastfeeding disparities.</w:t>
      </w:r>
    </w:p>
    <w:p>
      <w:pPr>
        <w:numPr>
          <w:ilvl w:val="0"/>
          <w:numId w:val="1007"/>
        </w:numPr>
        <w:pStyle w:val="Compact"/>
      </w:pPr>
      <w:r>
        <w:t xml:space="preserve">SC’s pending insurance mandate (Bill 42, 2025–2026 session) would require coverage for</w:t>
      </w:r>
      <w:r>
        <w:t xml:space="preserve"> </w:t>
      </w:r>
      <w:r>
        <w:rPr>
          <w:bCs/>
          <w:b/>
        </w:rPr>
        <w:t xml:space="preserve">certified lactation consulting</w:t>
      </w:r>
      <w:r>
        <w:t xml:space="preserve"> </w:t>
      </w:r>
      <w:r>
        <w:t xml:space="preserve">alongside doula services — a concrete, trackable policy lever.</w:t>
      </w:r>
    </w:p>
    <w:p>
      <w:r>
        <w:pict>
          <v:rect style="width:0;height:1.5pt" o:hralign="center" o:hrstd="t" o:hr="t"/>
        </w:pict>
      </w:r>
    </w:p>
    <w:bookmarkEnd w:id="28"/>
    <w:bookmarkStart w:id="29" w:name="Xab73d3bd9a23de4c30b9986ec64d7faf145a1cf"/>
    <w:p>
      <w:pPr>
        <w:pStyle w:val="Heading2"/>
      </w:pPr>
      <w:r>
        <w:t xml:space="preserve">9. Substance use disorder treatment in pregnancy — 🟢 Strong for harm reduction, 🟡 moderate for NAS-specific outcomes</w:t>
      </w:r>
    </w:p>
    <w:p>
      <w:pPr>
        <w:numPr>
          <w:ilvl w:val="0"/>
          <w:numId w:val="1008"/>
        </w:numPr>
        <w:pStyle w:val="Compact"/>
      </w:pPr>
      <w:r>
        <w:t xml:space="preserve">The</w:t>
      </w:r>
      <w:r>
        <w:t xml:space="preserve"> </w:t>
      </w:r>
      <w:r>
        <w:rPr>
          <w:bCs/>
          <w:b/>
        </w:rPr>
        <w:t xml:space="preserve">Managing Abstinence in Newborns (MAiN)</w:t>
      </w:r>
      <w:r>
        <w:t xml:space="preserve"> </w:t>
      </w:r>
      <w:r>
        <w:t xml:space="preserve">model, piloted at Greenville Health System/Prisma Health-Upstate (the SC county with the 2nd-highest historical NAS rate), redesigned NAS care around the mother-baby unit rather than separating infants into the NICU — associated with shorter hospital stays and reduced pharmacologic treatment need in the originating institution’s published evaluation.</w:t>
      </w:r>
    </w:p>
    <w:p>
      <w:pPr>
        <w:numPr>
          <w:ilvl w:val="0"/>
          <w:numId w:val="1008"/>
        </w:numPr>
        <w:pStyle w:val="Compact"/>
      </w:pPr>
      <w:r>
        <w:t xml:space="preserve">SCMMMRC recommends</w:t>
      </w:r>
      <w:r>
        <w:t xml:space="preserve"> </w:t>
      </w:r>
      <w:r>
        <w:rPr>
          <w:bCs/>
          <w:b/>
        </w:rPr>
        <w:t xml:space="preserve">Peer Support Specialists and Peer Support Doulas</w:t>
      </w:r>
      <w:r>
        <w:t xml:space="preserve"> </w:t>
      </w:r>
      <w:r>
        <w:t xml:space="preserve">for women with SUD history, alongside a shift from a punitive to an access-to-treatment model — consistent with the national harm-reduction evidence base (SAMHSA).</w:t>
      </w:r>
    </w:p>
    <w:p>
      <w:pPr>
        <w:numPr>
          <w:ilvl w:val="0"/>
          <w:numId w:val="1008"/>
        </w:numPr>
        <w:pStyle w:val="Compact"/>
      </w:pPr>
      <w:r>
        <w:t xml:space="preserve">The stark Medicaid/private insurance NAS gap (8.2 vs 1.5 per 1,000, 2019) indicates SUD screening, non-punitive engagement, and treatment access should be concentrated in Medicaid-serving obstetric practices specifically.</w:t>
      </w:r>
    </w:p>
    <w:p>
      <w:r>
        <w:pict>
          <v:rect style="width:0;height:1.5pt" o:hralign="center" o:hrstd="t" o:hr="t"/>
        </w:pict>
      </w:r>
    </w:p>
    <w:bookmarkEnd w:id="29"/>
    <w:bookmarkStart w:id="30" w:name="X17ac50baf34176086b2dc6ee0120344477e46d5"/>
    <w:p>
      <w:pPr>
        <w:pStyle w:val="Heading2"/>
      </w:pPr>
      <w:r>
        <w:t xml:space="preserve">Solutions matrix (summary for quick reference)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Intervention</w:t>
            </w:r>
          </w:p>
        </w:tc>
        <w:tc>
          <w:tcPr/>
          <w:p>
            <w:pPr>
              <w:pStyle w:val="Compact"/>
              <w:jc w:val="left"/>
            </w:pPr>
            <w:r>
              <w:t xml:space="preserve">Evidence strength</w:t>
            </w:r>
          </w:p>
        </w:tc>
        <w:tc>
          <w:tcPr/>
          <w:p>
            <w:pPr>
              <w:pStyle w:val="Compact"/>
              <w:jc w:val="left"/>
            </w:pPr>
            <w:r>
              <w:t xml:space="preserve">Best-supported outcome</w:t>
            </w:r>
          </w:p>
        </w:tc>
        <w:tc>
          <w:tcPr/>
          <w:p>
            <w:pPr>
              <w:pStyle w:val="Compact"/>
              <w:jc w:val="left"/>
            </w:pPr>
            <w:r>
              <w:t xml:space="preserve">SC-specific status</w:t>
            </w:r>
          </w:p>
        </w:tc>
      </w:tr>
      <w:tr>
        <w:tc>
          <w:tcPr/>
          <w:p>
            <w:pPr>
              <w:pStyle w:val="Compact"/>
              <w:jc w:val="left"/>
            </w:pPr>
            <w:r>
              <w:t xml:space="preserve">Medicaid postpartum extension (12mo)</w:t>
            </w:r>
          </w:p>
        </w:tc>
        <w:tc>
          <w:tcPr/>
          <w:p>
            <w:pPr>
              <w:pStyle w:val="Compact"/>
              <w:jc w:val="left"/>
            </w:pPr>
            <w:r>
              <w:t xml:space="preserve">🟢 Strong</w:t>
            </w:r>
          </w:p>
        </w:tc>
        <w:tc>
          <w:tcPr/>
          <w:p>
            <w:pPr>
              <w:pStyle w:val="Compact"/>
              <w:jc w:val="left"/>
            </w:pPr>
            <w:r>
              <w:t xml:space="preserve">Maternal mortality</w:t>
            </w:r>
          </w:p>
        </w:tc>
        <w:tc>
          <w:tcPr/>
          <w:p>
            <w:pPr>
              <w:pStyle w:val="Compact"/>
              <w:jc w:val="left"/>
            </w:pPr>
            <w:r>
              <w:rPr>
                <w:bCs/>
                <w:b/>
              </w:rPr>
              <w:t xml:space="preserve">Implemented</w:t>
            </w:r>
            <w:r>
              <w:t xml:space="preserve"> </w:t>
            </w:r>
            <w:r>
              <w:t xml:space="preserve">(April 2022); measurable effect in SCMMMRC data</w:t>
            </w:r>
          </w:p>
        </w:tc>
      </w:tr>
      <w:tr>
        <w:tc>
          <w:tcPr/>
          <w:p>
            <w:pPr>
              <w:pStyle w:val="Compact"/>
              <w:jc w:val="left"/>
            </w:pPr>
            <w:r>
              <w:t xml:space="preserve">Hemorrhage/HTN safety bundles</w:t>
            </w:r>
          </w:p>
        </w:tc>
        <w:tc>
          <w:tcPr/>
          <w:p>
            <w:pPr>
              <w:pStyle w:val="Compact"/>
              <w:jc w:val="left"/>
            </w:pPr>
            <w:r>
              <w:t xml:space="preserve">🟢 Strong</w:t>
            </w:r>
          </w:p>
        </w:tc>
        <w:tc>
          <w:tcPr/>
          <w:p>
            <w:pPr>
              <w:pStyle w:val="Compact"/>
              <w:jc w:val="left"/>
            </w:pPr>
            <w:r>
              <w:t xml:space="preserve">Maternal mortality/morbidity</w:t>
            </w:r>
          </w:p>
        </w:tc>
        <w:tc>
          <w:tcPr/>
          <w:p>
            <w:pPr>
              <w:pStyle w:val="Compact"/>
              <w:jc w:val="left"/>
            </w:pPr>
            <w:r>
              <w:rPr>
                <w:bCs/>
                <w:b/>
              </w:rPr>
              <w:t xml:space="preserve">Implemented</w:t>
            </w:r>
            <w:r>
              <w:t xml:space="preserve"> </w:t>
            </w:r>
            <w:r>
              <w:t xml:space="preserve">statewide</w:t>
            </w:r>
          </w:p>
        </w:tc>
      </w:tr>
      <w:tr>
        <w:tc>
          <w:tcPr/>
          <w:p>
            <w:pPr>
              <w:pStyle w:val="Compact"/>
              <w:jc w:val="left"/>
            </w:pPr>
            <w:r>
              <w:t xml:space="preserve">WIC enrollment expansion</w:t>
            </w:r>
          </w:p>
        </w:tc>
        <w:tc>
          <w:tcPr/>
          <w:p>
            <w:pPr>
              <w:pStyle w:val="Compact"/>
              <w:jc w:val="left"/>
            </w:pPr>
            <w:r>
              <w:t xml:space="preserve">🟢 Strong</w:t>
            </w:r>
          </w:p>
        </w:tc>
        <w:tc>
          <w:tcPr/>
          <w:p>
            <w:pPr>
              <w:pStyle w:val="Compact"/>
              <w:jc w:val="left"/>
            </w:pPr>
            <w:r>
              <w:t xml:space="preserve">Low birthweight</w:t>
            </w:r>
          </w:p>
        </w:tc>
        <w:tc>
          <w:tcPr/>
          <w:p>
            <w:pPr>
              <w:pStyle w:val="Compact"/>
              <w:jc w:val="left"/>
            </w:pPr>
            <w:r>
              <w:t xml:space="preserve">Active gap: 34.6% enrollment vs 50.3% Medicaid (Charleston)</w:t>
            </w:r>
          </w:p>
        </w:tc>
      </w:tr>
      <w:tr>
        <w:tc>
          <w:tcPr/>
          <w:p>
            <w:pPr>
              <w:pStyle w:val="Compact"/>
              <w:jc w:val="left"/>
            </w:pPr>
            <w:r>
              <w:t xml:space="preserve">Doula care</w:t>
            </w:r>
          </w:p>
        </w:tc>
        <w:tc>
          <w:tcPr/>
          <w:p>
            <w:pPr>
              <w:pStyle w:val="Compact"/>
              <w:jc w:val="left"/>
            </w:pPr>
            <w:r>
              <w:t xml:space="preserve">🟢 process / 🟡 LBW / 🔴 preterm</w:t>
            </w:r>
          </w:p>
        </w:tc>
        <w:tc>
          <w:tcPr/>
          <w:p>
            <w:pPr>
              <w:pStyle w:val="Compact"/>
              <w:jc w:val="left"/>
            </w:pPr>
            <w:r>
              <w:t xml:space="preserve">C-section, birth experience; LBW (observational)</w:t>
            </w:r>
          </w:p>
        </w:tc>
        <w:tc>
          <w:tcPr/>
          <w:p>
            <w:pPr>
              <w:pStyle w:val="Compact"/>
              <w:jc w:val="left"/>
            </w:pPr>
            <w:r>
              <w:rPr>
                <w:bCs/>
                <w:b/>
              </w:rPr>
              <w:t xml:space="preserve">Pilot since 2024; mandate Jan 2026</w:t>
            </w:r>
          </w:p>
        </w:tc>
      </w:tr>
      <w:tr>
        <w:tc>
          <w:tcPr/>
          <w:p>
            <w:pPr>
              <w:pStyle w:val="Compact"/>
              <w:jc w:val="left"/>
            </w:pPr>
            <w:r>
              <w:t xml:space="preserve">Group prenatal care</w:t>
            </w:r>
          </w:p>
        </w:tc>
        <w:tc>
          <w:tcPr/>
          <w:p>
            <w:pPr>
              <w:pStyle w:val="Compact"/>
              <w:jc w:val="left"/>
            </w:pPr>
            <w:r>
              <w:t xml:space="preserve">🟡 Moderate, contested by RCT</w:t>
            </w:r>
          </w:p>
        </w:tc>
        <w:tc>
          <w:tcPr/>
          <w:p>
            <w:pPr>
              <w:pStyle w:val="Compact"/>
              <w:jc w:val="left"/>
            </w:pPr>
            <w:r>
              <w:t xml:space="preserve">Uncertain overall; possible benefit for high-attendance Black participants</w:t>
            </w:r>
          </w:p>
        </w:tc>
        <w:tc>
          <w:tcPr/>
          <w:p>
            <w:pPr>
              <w:pStyle w:val="Compact"/>
              <w:jc w:val="left"/>
            </w:pPr>
            <w:r>
              <w:t xml:space="preserve">Enhanced Medicaid reimbursement since ~2011</w:t>
            </w:r>
          </w:p>
        </w:tc>
      </w:tr>
      <w:tr>
        <w:tc>
          <w:tcPr/>
          <w:p>
            <w:pPr>
              <w:pStyle w:val="Compact"/>
              <w:jc w:val="left"/>
            </w:pPr>
            <w:r>
              <w:t xml:space="preserve">Nurse home visiting (NFP)</w:t>
            </w:r>
          </w:p>
        </w:tc>
        <w:tc>
          <w:tcPr/>
          <w:p>
            <w:pPr>
              <w:pStyle w:val="Compact"/>
              <w:jc w:val="left"/>
            </w:pPr>
            <w:r>
              <w:t xml:space="preserve">🟡 Moderate, heterogeneous across trials</w:t>
            </w:r>
          </w:p>
        </w:tc>
        <w:tc>
          <w:tcPr/>
          <w:p>
            <w:pPr>
              <w:pStyle w:val="Compact"/>
              <w:jc w:val="left"/>
            </w:pPr>
            <w:r>
              <w:t xml:space="preserve">Child maltreatment, repeat teen births; modest mortality signal</w:t>
            </w:r>
          </w:p>
        </w:tc>
        <w:tc>
          <w:tcPr/>
          <w:p>
            <w:pPr>
              <w:pStyle w:val="Compact"/>
              <w:jc w:val="left"/>
            </w:pPr>
            <w:r>
              <w:t xml:space="preserve">SC RCT protocol registered</w:t>
            </w:r>
          </w:p>
        </w:tc>
      </w:tr>
      <w:tr>
        <w:tc>
          <w:tcPr/>
          <w:p>
            <w:pPr>
              <w:pStyle w:val="Compact"/>
              <w:jc w:val="left"/>
            </w:pPr>
            <w:r>
              <w:t xml:space="preserve">Telehealth / mobile prenatal units</w:t>
            </w:r>
          </w:p>
        </w:tc>
        <w:tc>
          <w:tcPr/>
          <w:p>
            <w:pPr>
              <w:pStyle w:val="Compact"/>
              <w:jc w:val="left"/>
            </w:pPr>
            <w:r>
              <w:t xml:space="preserve">🟠 Preliminary</w:t>
            </w:r>
          </w:p>
        </w:tc>
        <w:tc>
          <w:tcPr/>
          <w:p>
            <w:pPr>
              <w:pStyle w:val="Compact"/>
              <w:jc w:val="left"/>
            </w:pPr>
            <w:r>
              <w:t xml:space="preserve">Access, distance-related risk</w:t>
            </w:r>
          </w:p>
        </w:tc>
        <w:tc>
          <w:tcPr/>
          <w:p>
            <w:pPr>
              <w:pStyle w:val="Compact"/>
              <w:jc w:val="left"/>
            </w:pPr>
            <w:r>
              <w:t xml:space="preserve">Recommended by SCMMMRC; not yet independently evaluated in SC</w:t>
            </w:r>
          </w:p>
        </w:tc>
      </w:tr>
      <w:tr>
        <w:tc>
          <w:tcPr/>
          <w:p>
            <w:pPr>
              <w:pStyle w:val="Compact"/>
              <w:jc w:val="left"/>
            </w:pPr>
            <w:r>
              <w:t xml:space="preserve">SUD peer support / non-punitive treatment</w:t>
            </w:r>
          </w:p>
        </w:tc>
        <w:tc>
          <w:tcPr/>
          <w:p>
            <w:pPr>
              <w:pStyle w:val="Compact"/>
              <w:jc w:val="left"/>
            </w:pPr>
            <w:r>
              <w:t xml:space="preserve">🟢 harm reduction / 🟡 NAS-specific</w:t>
            </w:r>
          </w:p>
        </w:tc>
        <w:tc>
          <w:tcPr/>
          <w:p>
            <w:pPr>
              <w:pStyle w:val="Compact"/>
              <w:jc w:val="left"/>
            </w:pPr>
            <w:r>
              <w:t xml:space="preserve">Engagement in treatment</w:t>
            </w:r>
          </w:p>
        </w:tc>
        <w:tc>
          <w:tcPr/>
          <w:p>
            <w:pPr>
              <w:pStyle w:val="Compact"/>
              <w:jc w:val="left"/>
            </w:pPr>
            <w:r>
              <w:t xml:space="preserve">MAiN model piloted in Greenville</w:t>
            </w:r>
          </w:p>
        </w:tc>
      </w:tr>
      <w:tr>
        <w:tc>
          <w:tcPr/>
          <w:p>
            <w:pPr>
              <w:pStyle w:val="Compact"/>
              <w:jc w:val="left"/>
            </w:pPr>
            <w:r>
              <w:t xml:space="preserve">Lactation consultant insurance mandate</w:t>
            </w:r>
          </w:p>
        </w:tc>
        <w:tc>
          <w:tcPr/>
          <w:p>
            <w:pPr>
              <w:pStyle w:val="Compact"/>
              <w:jc w:val="left"/>
            </w:pPr>
            <w:r>
              <w:t xml:space="preserve">🟡 Moderate</w:t>
            </w:r>
          </w:p>
        </w:tc>
        <w:tc>
          <w:tcPr/>
          <w:p>
            <w:pPr>
              <w:pStyle w:val="Compact"/>
              <w:jc w:val="left"/>
            </w:pPr>
            <w:r>
              <w:t xml:space="preserve">Breastfeeding duration</w:t>
            </w:r>
          </w:p>
        </w:tc>
        <w:tc>
          <w:tcPr/>
          <w:p>
            <w:pPr>
              <w:pStyle w:val="Compact"/>
              <w:jc w:val="left"/>
            </w:pPr>
            <w:r>
              <w:t xml:space="preserve">Pending (Bill 42, 2025-2026 session)</w:t>
            </w:r>
          </w:p>
        </w:tc>
      </w:tr>
    </w:tbl>
    <w:p>
      <w:r>
        <w:pict>
          <v:rect style="width:0;height:1.5pt" o:hralign="center" o:hrstd="t" o:hr="t"/>
        </w:pict>
      </w:r>
    </w:p>
    <w:bookmarkEnd w:id="30"/>
    <w:bookmarkStart w:id="31" w:name="references"/>
    <w:p>
      <w:pPr>
        <w:pStyle w:val="Heading2"/>
      </w:pPr>
      <w:r>
        <w:t xml:space="preserve">References</w:t>
      </w:r>
    </w:p>
    <w:p>
      <w:pPr>
        <w:pStyle w:val="FirstParagraph"/>
      </w:pPr>
      <w:r>
        <w:t xml:space="preserve">Full citations with URLs are embedded inline above and in</w:t>
      </w:r>
      <w:r>
        <w:t xml:space="preserve"> </w:t>
      </w:r>
      <w:r>
        <w:rPr>
          <w:rStyle w:val="VerbatimChar"/>
        </w:rPr>
        <w:t xml:space="preserve">DATA_CATALOG.md</w:t>
      </w:r>
      <w:r>
        <w:t xml:space="preserve">. Key literature:</w:t>
      </w:r>
    </w:p>
    <w:p>
      <w:pPr>
        <w:numPr>
          <w:ilvl w:val="0"/>
          <w:numId w:val="1009"/>
        </w:numPr>
        <w:pStyle w:val="Compact"/>
      </w:pPr>
      <w:r>
        <w:t xml:space="preserve">Bohren MA, et al. Continuous support for women during childbirth.</w:t>
      </w:r>
      <w:r>
        <w:t xml:space="preserve"> </w:t>
      </w:r>
      <w:r>
        <w:rPr>
          <w:iCs/>
          <w:i/>
        </w:rPr>
        <w:t xml:space="preserve">Cochrane Database Syst Rev.</w:t>
      </w:r>
      <w:r>
        <w:t xml:space="preserve"> </w:t>
      </w:r>
      <w:r>
        <w:t xml:space="preserve">2017. https://www.cochrane.org/evidence/CD003766_continuous-support-women-during-childbirth</w:t>
      </w:r>
    </w:p>
    <w:p>
      <w:pPr>
        <w:numPr>
          <w:ilvl w:val="0"/>
          <w:numId w:val="1009"/>
        </w:numPr>
        <w:pStyle w:val="Compact"/>
      </w:pPr>
      <w:r>
        <w:t xml:space="preserve">Hetherington E, et al. Group versus traditional prenatal care for improving racial equity in preterm birth and low birthweight: the CRADLE randomized clinical trial. 2022. https://pmc.ncbi.nlm.nih.gov/articles/PMC9729420/</w:t>
      </w:r>
    </w:p>
    <w:p>
      <w:pPr>
        <w:numPr>
          <w:ilvl w:val="0"/>
          <w:numId w:val="1009"/>
        </w:numPr>
        <w:pStyle w:val="Compact"/>
      </w:pPr>
      <w:r>
        <w:t xml:space="preserve">Picklesimer AH, et al. The effect of CenteringPregnancy group prenatal care on preterm birth in a low-income population.</w:t>
      </w:r>
      <w:r>
        <w:t xml:space="preserve"> </w:t>
      </w:r>
      <w:r>
        <w:rPr>
          <w:iCs/>
          <w:i/>
        </w:rPr>
        <w:t xml:space="preserve">Am J Obstet Gynecol.</w:t>
      </w:r>
      <w:r>
        <w:t xml:space="preserve"> </w:t>
      </w:r>
      <w:r>
        <w:t xml:space="preserve">2012. https://www.ajog.org/article/S0002-9378(12)00131-7/fulltext</w:t>
      </w:r>
    </w:p>
    <w:p>
      <w:pPr>
        <w:numPr>
          <w:ilvl w:val="0"/>
          <w:numId w:val="1009"/>
        </w:numPr>
        <w:pStyle w:val="Compact"/>
      </w:pPr>
      <w:r>
        <w:t xml:space="preserve">Gareau S, et al. Group Prenatal Care Results in Medicaid Savings with Better Outcomes: A Propensity Score Analysis of CenteringPregnancy Participation in South Carolina.</w:t>
      </w:r>
      <w:r>
        <w:t xml:space="preserve"> </w:t>
      </w:r>
      <w:r>
        <w:rPr>
          <w:iCs/>
          <w:i/>
        </w:rPr>
        <w:t xml:space="preserve">Matern Child Health J.</w:t>
      </w:r>
      <w:r>
        <w:t xml:space="preserve"> </w:t>
      </w:r>
      <w:r>
        <w:t xml:space="preserve">2016;20(7):1384-1393.</w:t>
      </w:r>
    </w:p>
    <w:p>
      <w:pPr>
        <w:numPr>
          <w:ilvl w:val="0"/>
          <w:numId w:val="1009"/>
        </w:numPr>
        <w:pStyle w:val="Compact"/>
      </w:pPr>
      <w:r>
        <w:t xml:space="preserve">Robinson K, et al. The Impact of CenteringPregnancy Group Prenatal Care on Birth Outcomes in Medicaid Eligible Women.</w:t>
      </w:r>
      <w:r>
        <w:t xml:space="preserve"> </w:t>
      </w:r>
      <w:r>
        <w:rPr>
          <w:iCs/>
          <w:i/>
        </w:rPr>
        <w:t xml:space="preserve">J Womens Health.</w:t>
      </w:r>
      <w:r>
        <w:t xml:space="preserve"> </w:t>
      </w:r>
      <w:r>
        <w:t xml:space="preserve">2018. https://doi.org/10.1089/jwh.2018.7469</w:t>
      </w:r>
    </w:p>
    <w:p>
      <w:pPr>
        <w:numPr>
          <w:ilvl w:val="0"/>
          <w:numId w:val="1009"/>
        </w:numPr>
        <w:pStyle w:val="Compact"/>
      </w:pPr>
      <w:r>
        <w:t xml:space="preserve">Olds DL, et al. Effect of Home Visiting by Nurses on Maternal and Child Mortality: 2-Decade Follow-up of an RCT.</w:t>
      </w:r>
      <w:r>
        <w:t xml:space="preserve"> </w:t>
      </w:r>
      <w:r>
        <w:rPr>
          <w:iCs/>
          <w:i/>
        </w:rPr>
        <w:t xml:space="preserve">JAMA Pediatr.</w:t>
      </w:r>
      <w:r>
        <w:t xml:space="preserve"> </w:t>
      </w:r>
      <w:r>
        <w:t xml:space="preserve">2014. https://pmc.ncbi.nlm.nih.gov/articles/PMC4235164/</w:t>
      </w:r>
    </w:p>
    <w:p>
      <w:pPr>
        <w:numPr>
          <w:ilvl w:val="0"/>
          <w:numId w:val="1009"/>
        </w:numPr>
        <w:pStyle w:val="Compact"/>
      </w:pPr>
      <w:r>
        <w:t xml:space="preserve">Kahn J, Moore K. Maternal and Child Mortality: Analysis of Nurse Home Visiting in 3 RCTs.</w:t>
      </w:r>
      <w:r>
        <w:t xml:space="preserve"> </w:t>
      </w:r>
      <w:r>
        <w:rPr>
          <w:iCs/>
          <w:i/>
        </w:rPr>
        <w:t xml:space="preserve">Am J Prev Med.</w:t>
      </w:r>
      <w:r>
        <w:t xml:space="preserve"> </w:t>
      </w:r>
      <w:r>
        <w:t xml:space="preserve">2021. https://www.ajpmonline.org/article/S0749-3797(21)00272-5/abstract</w:t>
      </w:r>
    </w:p>
    <w:p>
      <w:pPr>
        <w:numPr>
          <w:ilvl w:val="0"/>
          <w:numId w:val="1009"/>
        </w:numPr>
        <w:pStyle w:val="Compact"/>
      </w:pPr>
      <w:r>
        <w:t xml:space="preserve">Kozhimannil KB, et al. Association Between Loss of Hospital-Based Obstetric Services and Birth Outcomes in Rural Counties.</w:t>
      </w:r>
      <w:r>
        <w:t xml:space="preserve"> </w:t>
      </w:r>
      <w:r>
        <w:rPr>
          <w:iCs/>
          <w:i/>
        </w:rPr>
        <w:t xml:space="preserve">JAMA.</w:t>
      </w:r>
      <w:r>
        <w:t xml:space="preserve"> </w:t>
      </w:r>
      <w:r>
        <w:t xml:space="preserve">2018;319(12):1239.</w:t>
      </w:r>
    </w:p>
    <w:p>
      <w:pPr>
        <w:numPr>
          <w:ilvl w:val="0"/>
          <w:numId w:val="1009"/>
        </w:numPr>
        <w:pStyle w:val="Compact"/>
      </w:pPr>
      <w:r>
        <w:t xml:space="preserve">Minion SC, et al. Association of Driving Distance to Maternity Hospitals and Maternal and Perinatal Outcomes.</w:t>
      </w:r>
      <w:r>
        <w:t xml:space="preserve"> </w:t>
      </w:r>
      <w:r>
        <w:rPr>
          <w:iCs/>
          <w:i/>
        </w:rPr>
        <w:t xml:space="preserve">Obstet Gynecol.</w:t>
      </w:r>
      <w:r>
        <w:t xml:space="preserve"> </w:t>
      </w:r>
      <w:r>
        <w:t xml:space="preserve">2022;140(5):812-819.</w:t>
      </w:r>
    </w:p>
    <w:p>
      <w:pPr>
        <w:numPr>
          <w:ilvl w:val="0"/>
          <w:numId w:val="1009"/>
        </w:numPr>
        <w:pStyle w:val="Compact"/>
      </w:pPr>
      <w:r>
        <w:t xml:space="preserve">Main EK, et al. Reduction of severe maternal morbidity from hemorrhage using a state perinatal quality collaborative.</w:t>
      </w:r>
      <w:r>
        <w:t xml:space="preserve"> </w:t>
      </w:r>
      <w:r>
        <w:rPr>
          <w:iCs/>
          <w:i/>
        </w:rPr>
        <w:t xml:space="preserve">Am J Obstet Gynecol.</w:t>
      </w:r>
      <w:r>
        <w:t xml:space="preserve"> </w:t>
      </w:r>
      <w:r>
        <w:t xml:space="preserve">2017 (California AIM evaluation).</w:t>
      </w:r>
    </w:p>
    <w:p>
      <w:pPr>
        <w:numPr>
          <w:ilvl w:val="0"/>
          <w:numId w:val="1009"/>
        </w:numPr>
        <w:pStyle w:val="Compact"/>
      </w:pPr>
      <w:r>
        <w:t xml:space="preserve">SC Maternal Morbidity and Mortality Review Committee.</w:t>
      </w:r>
      <w:r>
        <w:t xml:space="preserve"> </w:t>
      </w:r>
      <w:r>
        <w:rPr>
          <w:iCs/>
          <w:i/>
        </w:rPr>
        <w:t xml:space="preserve">2026 Legislative Brief.</w:t>
      </w:r>
      <w:r>
        <w:t xml:space="preserve"> </w:t>
      </w:r>
      <w:r>
        <w:t xml:space="preserve">https://dph.sc.gov/sites/scdph/files/Library/00229-ENG-CR.pdf</w:t>
      </w:r>
    </w:p>
    <w:p>
      <w:pPr>
        <w:numPr>
          <w:ilvl w:val="0"/>
          <w:numId w:val="1009"/>
        </w:numPr>
        <w:pStyle w:val="Compact"/>
      </w:pPr>
      <w:r>
        <w:t xml:space="preserve">March of Dimes.</w:t>
      </w:r>
      <w:r>
        <w:t xml:space="preserve"> </w:t>
      </w:r>
      <w:r>
        <w:rPr>
          <w:iCs/>
          <w:i/>
        </w:rPr>
        <w:t xml:space="preserve">Where You Live Matters: Maternity Care Deserts in South Carolina.</w:t>
      </w:r>
      <w:r>
        <w:t xml:space="preserve"> </w:t>
      </w:r>
      <w:r>
        <w:t xml:space="preserve">https://www.marchofdimes.org/peristats/assets/s3/reports/mcd/Maternity-Care-Report-SouthCarolina.pdf</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www.cochrane.org/evidence/CD003766_continuous-support-women-during-childbirth" TargetMode="External" /></Relationships>
</file>

<file path=word/_rels/footnotes.xml.rels><?xml version="1.0" encoding="UTF-8"?><Relationships xmlns="http://schemas.openxmlformats.org/package/2006/relationships"><Relationship Type="http://schemas.openxmlformats.org/officeDocument/2006/relationships/hyperlink" Id="rId21" Target="https://www.cochrane.org/evidence/CD003766_continuous-support-women-during-childbirt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LITERATURE_BACKED_SOLUTIONS</dc:title>
  <dc:creator/>
  <cp:keywords/>
  <dcterms:created xsi:type="dcterms:W3CDTF">2026-08-10T01:42:10Z</dcterms:created>
  <dcterms:modified xsi:type="dcterms:W3CDTF">2026-08-10T01:42:10Z</dcterms:modified>
</cp:coreProperties>
</file>

<file path=docProps/custom.xml><?xml version="1.0" encoding="utf-8"?>
<Properties xmlns="http://schemas.openxmlformats.org/officeDocument/2006/custom-properties" xmlns:vt="http://schemas.openxmlformats.org/officeDocument/2006/docPropsVTypes"/>
</file>