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B4F72"/>
          <w:sz w:val="56"/>
          <w:szCs w:val="56"/>
        </w:rPr>
        <w:t xml:space="preserve">NEXAMART OPERATIONS DATABASE</w:t>
      </w:r>
    </w:p>
    <w:p>
      <w:pPr>
        <w:spacing w:after="200"/>
      </w:pPr>
    </w:p>
    <w:p>
      <w:pPr>
        <w:jc w:val="center"/>
      </w:pPr>
      <w:r>
        <w:rPr>
          <w:rFonts w:ascii="Arial" w:cs="Arial" w:eastAsia="Arial" w:hAnsi="Arial"/>
          <w:color w:val="2E86C1"/>
          <w:sz w:val="34"/>
          <w:szCs w:val="34"/>
        </w:rPr>
        <w:t xml:space="preserve">Comprehensive Data &amp; Schema Reference</w:t>
      </w:r>
    </w:p>
    <w:p>
      <w:pPr>
        <w:spacing w:after="600"/>
      </w:pPr>
    </w:p>
    <w:p>
      <w:pPr>
        <w:pBdr>
          <w:bottom w:val="single" w:color="2E86C1" w:sz="4" w:space="1"/>
        </w:pBdr>
      </w:pPr>
    </w:p>
    <w:p>
      <w:pPr>
        <w:spacing w:after="300"/>
      </w:pPr>
    </w:p>
    <w:p>
      <w:pPr>
        <w:jc w:val="center"/>
      </w:pPr>
      <w:r>
        <w:rPr>
          <w:rFonts w:ascii="Arial" w:cs="Arial" w:eastAsia="Arial" w:hAnsi="Arial"/>
          <w:i/>
          <w:iCs/>
          <w:color w:val="666666"/>
          <w:sz w:val="24"/>
          <w:szCs w:val="24"/>
        </w:rPr>
        <w:t xml:space="preserve">NexaMart Milestone 1  |  Data Warehousing Assignment</w:t>
      </w:r>
    </w:p>
    <w:p>
      <w:pPr>
        <w:spacing w:after="200"/>
      </w:pPr>
    </w:p>
    <w:p>
      <w:pPr>
        <w:jc w:val="center"/>
      </w:pPr>
      <w:r>
        <w:rPr>
          <w:rFonts w:ascii="Arial" w:cs="Arial" w:eastAsia="Arial" w:hAnsi="Arial"/>
          <w:color w:val="666666"/>
          <w:sz w:val="22"/>
          <w:szCs w:val="22"/>
        </w:rPr>
        <w:t xml:space="preserve">Source: nexamart_operations.db  +  nexamart_data_dictionary_student.xlsx</w:t>
      </w:r>
    </w:p>
    <w:p>
      <w:pPr>
        <w:spacing w:after="200"/>
      </w:pPr>
    </w:p>
    <w:p>
      <w:pPr>
        <w:jc w:val="center"/>
      </w:pPr>
      <w:r>
        <w:rPr>
          <w:rFonts w:ascii="Arial" w:cs="Arial" w:eastAsia="Arial" w:hAnsi="Arial"/>
          <w:b/>
          <w:bCs/>
          <w:color w:val="1B4F72"/>
          <w:sz w:val="24"/>
          <w:szCs w:val="24"/>
        </w:rPr>
        <w:t xml:space="preserve">61 Tables  ·  15 Source Systems  ·  495 Columns  ·  843,304 Total Rows</w:t>
      </w:r>
    </w:p>
    <w:p>
      <w:pPr>
        <w:spacing w:after="600"/>
      </w:pPr>
    </w:p>
    <w:p>
      <w:pPr>
        <w:pBdr>
          <w:bottom w:val="single" w:color="2E86C1" w:sz="4" w:space="1"/>
        </w:pBdr>
      </w:pPr>
    </w:p>
    <w:p>
      <w:pPr>
        <w:spacing w:after="400"/>
      </w:pPr>
    </w:p>
    <w:p>
      <w:pPr>
        <w:jc w:val="center"/>
      </w:pPr>
      <w:r>
        <w:rPr>
          <w:rFonts w:ascii="Arial" w:cs="Arial" w:eastAsia="Arial" w:hAnsi="Arial"/>
          <w:color w:val="666666"/>
          <w:sz w:val="22"/>
          <w:szCs w:val="22"/>
        </w:rPr>
        <w:t xml:space="preserve">Campaign Coverage: 1 March 2024 – 14 September 2024</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4F72"/>
          <w:sz w:val="32"/>
          <w:szCs w:val="32"/>
        </w:rPr>
        <w:t xml:space="preserve">1. Database Overview</w:t>
      </w:r>
    </w:p>
    <w:p>
      <w:pPr>
        <w:pBdr>
          <w:bottom w:val="single" w:color="2E86C1" w:sz="4" w:space="1"/>
        </w:pBdr>
      </w:pPr>
    </w:p>
    <w:p>
      <w:pPr>
        <w:spacing w:after="120"/>
      </w:pPr>
    </w:p>
    <w:p>
      <w:pPr>
        <w:spacing w:after="80"/>
      </w:pPr>
      <w:r>
        <w:rPr>
          <w:rFonts w:ascii="Arial" w:cs="Arial" w:eastAsia="Arial" w:hAnsi="Arial"/>
          <w:color w:val="1A1A1A"/>
          <w:sz w:val="20"/>
          <w:szCs w:val="20"/>
        </w:rPr>
        <w:t xml:space="preserve">The nexamart_operations.db file is a SQLite 3.x database (56 MB) containing the complete operational data for NexaMart — a fictional omnichannel retail platform modelled after real Indian e-commerce operations. The database spans 15 source systems across 61 tables with 843,304 total rows, covering the period from 1 March 2024 to 14 September 2024.</w:t>
      </w:r>
    </w:p>
    <w:p>
      <w:pPr>
        <w:spacing w:after="100"/>
      </w:pPr>
    </w:p>
    <w:p>
      <w:pPr>
        <w:spacing w:after="80"/>
      </w:pPr>
      <w:r>
        <w:rPr>
          <w:rFonts w:ascii="Arial" w:cs="Arial" w:eastAsia="Arial" w:hAnsi="Arial"/>
          <w:color w:val="1A1A1A"/>
          <w:sz w:val="20"/>
          <w:szCs w:val="20"/>
        </w:rPr>
        <w:t xml:space="preserve">The data dictionary (nexamart_data_dictionary_student.xlsx) accompanies the database and documents every column, foreign key relationship, date format, and expected row count for Bronze layer validation. Together these files form the foundation for a Snowflake Medallion Architecture pipeline (Bronze → Silver → Gold).</w:t>
      </w:r>
    </w:p>
    <w:p>
      <w:pPr>
        <w:spacing w:after="200"/>
      </w:pPr>
    </w:p>
    <w:p>
      <w:pPr>
        <w:pStyle w:val="Heading2"/>
      </w:pPr>
      <w:r>
        <w:rPr>
          <w:rFonts w:ascii="Arial" w:cs="Arial" w:eastAsia="Arial" w:hAnsi="Arial"/>
          <w:b/>
          <w:bCs/>
          <w:color w:val="2E86C1"/>
          <w:sz w:val="26"/>
          <w:szCs w:val="26"/>
        </w:rPr>
        <w:t xml:space="preserve">1.1 Key Statistics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Database File</w:t>
            </w:r>
          </w:p>
        </w:tc>
        <w:tc>
          <w:tcPr>
            <w:tcW w:type="dxa" w:w="24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nexamart_operations.db (SQLite 3.x)</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File Size</w:t>
            </w:r>
          </w:p>
        </w:tc>
        <w:tc>
          <w:tcPr>
            <w:tcW w:type="dxa" w:w="24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~56 MB (59,154,432 bytes)</w:t>
            </w:r>
          </w:p>
        </w:tc>
      </w:tr>
      <w:tr>
        <w:tc>
          <w:tcPr>
            <w:tcW w:type="dxa" w:w="22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Tables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61 tables</w:t>
            </w:r>
          </w:p>
        </w:tc>
        <w:tc>
          <w:tcPr>
            <w:tcW w:type="dxa" w:w="22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Rows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843,304 rows</w:t>
            </w:r>
          </w:p>
        </w:tc>
      </w:tr>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Source Systems</w:t>
            </w:r>
          </w:p>
        </w:tc>
        <w:tc>
          <w:tcPr>
            <w:tcW w:type="dxa" w:w="24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15 distinct systems</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Columns</w:t>
            </w:r>
          </w:p>
        </w:tc>
        <w:tc>
          <w:tcPr>
            <w:tcW w:type="dxa" w:w="24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495 columns across all tables</w:t>
            </w:r>
          </w:p>
        </w:tc>
      </w:tr>
      <w:tr>
        <w:tc>
          <w:tcPr>
            <w:tcW w:type="dxa" w:w="22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Date Coverage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 March – 14 September 2024</w:t>
            </w:r>
          </w:p>
        </w:tc>
        <w:tc>
          <w:tcPr>
            <w:tcW w:type="dxa" w:w="22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Campaign Window</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8–28 August 2024 (Back-to-School)</w:t>
            </w:r>
          </w:p>
        </w:tc>
      </w:tr>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Products (SKUs)</w:t>
            </w:r>
          </w:p>
        </w:tc>
        <w:tc>
          <w:tcPr>
            <w:tcW w:type="dxa" w:w="24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65 active products</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Campaign Products</w:t>
            </w:r>
          </w:p>
        </w:tc>
        <w:tc>
          <w:tcPr>
            <w:tcW w:type="dxa" w:w="24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37 of 65 flagged is_campaign_product=1</w:t>
            </w:r>
          </w:p>
        </w:tc>
      </w:tr>
      <w:tr>
        <w:tc>
          <w:tcPr>
            <w:tcW w:type="dxa" w:w="22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Physical Stores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20 stores across 4 regions</w:t>
            </w:r>
          </w:p>
        </w:tc>
        <w:tc>
          <w:tcPr>
            <w:tcW w:type="dxa" w:w="22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Warehouses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3 regional FCs (Mumbai, Delhi, Bangalore)</w:t>
            </w:r>
          </w:p>
        </w:tc>
      </w:tr>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Loyalty Customers</w:t>
            </w:r>
          </w:p>
        </w:tc>
        <w:tc>
          <w:tcPr>
            <w:tcW w:type="dxa" w:w="24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2,501 registered members</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EC Orders</w:t>
            </w:r>
          </w:p>
        </w:tc>
        <w:tc>
          <w:tcPr>
            <w:tcW w:type="dxa" w:w="24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963 orders (Mar–Sep 2024)</w:t>
            </w:r>
          </w:p>
        </w:tc>
      </w:tr>
      <w:tr>
        <w:tc>
          <w:tcPr>
            <w:tcW w:type="dxa" w:w="22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 Transactions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10,868 transactions</w:t>
            </w:r>
          </w:p>
        </w:tc>
        <w:tc>
          <w:tcPr>
            <w:tcW w:type="dxa" w:w="22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Marketplace Sellers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100 sellers, 400 listings</w:t>
            </w:r>
          </w:p>
        </w:tc>
      </w:tr>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NexaLocal Listings</w:t>
            </w:r>
          </w:p>
        </w:tc>
        <w:tc>
          <w:tcPr>
            <w:tcW w:type="dxa" w:w="24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1,253 classified listings</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Clickstream Sessions</w:t>
            </w:r>
          </w:p>
        </w:tc>
        <w:tc>
          <w:tcPr>
            <w:tcW w:type="dxa" w:w="24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3,370 web/app sessions</w:t>
            </w:r>
          </w:p>
        </w:tc>
      </w:tr>
    </w:tbl>
    <w:p>
      <w:pPr>
        <w:spacing w:after="200"/>
      </w:pPr>
    </w:p>
    <w:p>
      <w:pPr>
        <w:pStyle w:val="Heading2"/>
      </w:pPr>
      <w:r>
        <w:rPr>
          <w:rFonts w:ascii="Arial" w:cs="Arial" w:eastAsia="Arial" w:hAnsi="Arial"/>
          <w:b/>
          <w:bCs/>
          <w:color w:val="2E86C1"/>
          <w:sz w:val="26"/>
          <w:szCs w:val="26"/>
        </w:rPr>
        <w:t xml:space="preserve">1.2 Campaign Timeline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000"/>
        <w:gridCol w:w="4160"/>
      </w:tblGrid>
      <w:tr>
        <w:tc>
          <w:tcPr>
            <w:tcW w:type="dxa" w:w="20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22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Dates</w:t>
            </w:r>
          </w:p>
        </w:tc>
        <w:tc>
          <w:tcPr>
            <w:tcW w:type="dxa" w:w="10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Duration</w:t>
            </w:r>
          </w:p>
        </w:tc>
        <w:tc>
          <w:tcPr>
            <w:tcW w:type="dxa" w:w="416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Baseline Period</w:t>
            </w:r>
          </w:p>
        </w:tc>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 March – 31 July 2024</w:t>
            </w:r>
          </w:p>
        </w:tc>
        <w:tc>
          <w:tcPr>
            <w:tcW w:type="dxa" w:w="1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153 days</w:t>
            </w:r>
          </w:p>
        </w:tc>
        <w:tc>
          <w:tcPr>
            <w:tcW w:type="dxa" w:w="4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Normal operations. Full business-as-usual data.</w:t>
            </w:r>
          </w:p>
        </w:tc>
      </w:tr>
      <w:tr>
        <w:tc>
          <w:tcPr>
            <w:tcW w:type="dxa" w:w="20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Pre-Campaign Ramp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 – 7 August 2024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7 days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Inventory build-up. Some stores activate campaign zones early.</w:t>
            </w:r>
          </w:p>
        </w:tc>
      </w:tr>
      <w:tr>
        <w:tc>
          <w:tcPr>
            <w:tcW w:type="dxa" w:w="2000"/>
            <w:tcBorders>
              <w:top w:val="single" w:color="CCCCCC" w:sz="1"/>
              <w:left w:val="single" w:color="CCCCCC" w:sz="1"/>
              <w:bottom w:val="single" w:color="CCCCCC" w:sz="1"/>
              <w:right w:val="single" w:color="CCCCCC" w:sz="1"/>
            </w:tcBorders>
            <w:shd w:fill="1E844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Campaign Period</w:t>
            </w:r>
          </w:p>
        </w:tc>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8 – 28 August 2024</w:t>
            </w:r>
          </w:p>
        </w:tc>
        <w:tc>
          <w:tcPr>
            <w:tcW w:type="dxa" w:w="1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21 days</w:t>
            </w:r>
          </w:p>
        </w:tc>
        <w:tc>
          <w:tcPr>
            <w:tcW w:type="dxa" w:w="4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Back-to-School Sale. BTS2024 promo codes. Peak volume.</w:t>
            </w:r>
          </w:p>
        </w:tc>
      </w:tr>
      <w:tr>
        <w:tc>
          <w:tcPr>
            <w:tcW w:type="dxa" w:w="2000"/>
            <w:tcBorders>
              <w:top w:val="single" w:color="CCCCCC" w:sz="1"/>
              <w:left w:val="single" w:color="CCCCCC" w:sz="1"/>
              <w:bottom w:val="single" w:color="CCCCCC" w:sz="1"/>
              <w:right w:val="single" w:color="CCCCCC" w:sz="1"/>
            </w:tcBorders>
            <w:shd w:fill="7D660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Post-Campaign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29 August – 14 September 2024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17 days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Returns processing, tail sales, and refund activity.</w:t>
            </w:r>
          </w:p>
        </w:tc>
      </w:tr>
    </w:tbl>
    <w:p>
      <w:pPr>
        <w:spacing w:after="100"/>
      </w:pPr>
    </w:p>
    <w:p>
      <w:pPr>
        <w:spacing w:after="80"/>
      </w:pPr>
      <w:r>
        <w:rPr>
          <w:rFonts w:ascii="Arial" w:cs="Arial" w:eastAsia="Arial" w:hAnsi="Arial"/>
          <w:b/>
          <w:bCs/>
          <w:color w:val="F39C12"/>
          <w:sz w:val="18"/>
          <w:szCs w:val="18"/>
        </w:rPr>
        <w:t xml:space="preserve">⚠ Note: </w:t>
      </w:r>
      <w:r>
        <w:rPr>
          <w:rFonts w:ascii="Arial" w:cs="Arial" w:eastAsia="Arial" w:hAnsi="Arial"/>
          <w:i/>
          <w:iCs/>
          <w:color w:val="7D6608"/>
          <w:sz w:val="18"/>
          <w:szCs w:val="18"/>
        </w:rPr>
        <w:t xml:space="preserve">is_campaign_zone (pos_stores) and is_campaign_product (pc_products) are the primary flags for campaign analysis. Not all 20 stores activated on the same date — check campaign_zone_activation_date per store.</w:t>
      </w:r>
    </w:p>
    <w:p>
      <w:pPr>
        <w:spacing w:after="100"/>
      </w:pPr>
    </w:p>
    <w:p>
      <w:r>
        <w:br w:type="page"/>
      </w:r>
    </w:p>
    <w:p>
      <w:pPr>
        <w:pStyle w:val="Heading1"/>
      </w:pPr>
      <w:r>
        <w:rPr>
          <w:rFonts w:ascii="Arial" w:cs="Arial" w:eastAsia="Arial" w:hAnsi="Arial"/>
          <w:b/>
          <w:bCs/>
          <w:color w:val="1B4F72"/>
          <w:sz w:val="32"/>
          <w:szCs w:val="32"/>
        </w:rPr>
        <w:t xml:space="preserve">2. Source Systems — All 15 Systems</w:t>
      </w:r>
    </w:p>
    <w:p>
      <w:pPr>
        <w:pBdr>
          <w:bottom w:val="single" w:color="2E86C1" w:sz="4" w:space="1"/>
        </w:pBdr>
      </w:pPr>
    </w:p>
    <w:p>
      <w:pPr>
        <w:spacing w:after="120"/>
      </w:pPr>
    </w:p>
    <w:p>
      <w:pPr>
        <w:spacing w:after="80"/>
      </w:pPr>
      <w:r>
        <w:rPr>
          <w:rFonts w:ascii="Arial" w:cs="Arial" w:eastAsia="Arial" w:hAnsi="Arial"/>
          <w:color w:val="1A1A1A"/>
          <w:sz w:val="20"/>
          <w:szCs w:val="20"/>
        </w:rPr>
        <w:t xml:space="preserve">All 61 tables belong to one of 15 source systems. Each system has its own date format conventions, naming conventions, and business logic. The table below provides a complete overview.</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800"/>
        <w:gridCol w:w="4760"/>
      </w:tblGrid>
      <w:tr>
        <w:tc>
          <w:tcPr>
            <w:tcW w:type="dxa" w:w="8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0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System Name</w:t>
            </w:r>
          </w:p>
        </w:tc>
        <w:tc>
          <w:tcPr>
            <w:tcW w:type="dxa" w:w="18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Tables (rows)</w:t>
            </w:r>
          </w:p>
        </w:tc>
        <w:tc>
          <w:tcPr>
            <w:tcW w:type="dxa" w:w="476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Business Purpose</w:t>
            </w:r>
          </w:p>
        </w:tc>
      </w:tr>
      <w:tr>
        <w:tc>
          <w:tcPr>
            <w:tcW w:type="dxa" w:w="800"/>
            <w:tcBorders>
              <w:top w:val="single" w:color="CCCCCC" w:sz="1"/>
              <w:left w:val="single" w:color="CCCCCC" w:sz="1"/>
              <w:bottom w:val="single" w:color="CCCCCC" w:sz="1"/>
              <w:right w:val="single" w:color="CCCCCC" w:sz="1"/>
            </w:tcBorders>
            <w:shd w:fill="1ABC9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Customer &amp; Loyalty</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cl_customers (2,501)
cl_loyalty_tiers (4)
cl_loyalty_transactions (2,860)</w:t>
            </w:r>
          </w:p>
        </w:tc>
        <w:tc>
          <w:tcPr>
            <w:tcW w:type="dxa" w:w="4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Loyalty card member profiles, tier definitions, and points earn/redeem ledger.</w:t>
            </w:r>
          </w:p>
        </w:tc>
      </w:tr>
      <w:tr>
        <w:tc>
          <w:tcPr>
            <w:tcW w:type="dxa" w:w="8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Customer Support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cs_agents (25)
cs_case_events (225)
cs_cases (129)
cs_complaint_categories (12)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Support agents, case lifecycle events, complaint categories and resolution tracking.</w:t>
            </w:r>
          </w:p>
        </w:tc>
      </w:tr>
      <w:tr>
        <w:tc>
          <w:tcPr>
            <w:tcW w:type="dxa" w:w="8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3</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Delivery / Courier</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dc_carriers (5)
dc_delivery_events (3,542)
dc_event_types (10)
dc_shipments (771)</w:t>
            </w:r>
          </w:p>
        </w:tc>
        <w:tc>
          <w:tcPr>
            <w:tcW w:type="dxa" w:w="4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Shipment records, carrier master, and per-parcel scan/milestone events.</w:t>
            </w:r>
          </w:p>
        </w:tc>
      </w:tr>
      <w:tr>
        <w:tc>
          <w:tcPr>
            <w:tcW w:type="dxa" w:w="800"/>
            <w:tcBorders>
              <w:top w:val="single" w:color="CCCCCC" w:sz="1"/>
              <w:left w:val="single" w:color="CCCCCC" w:sz="1"/>
              <w:bottom w:val="single" w:color="CCCCCC" w:sz="1"/>
              <w:right w:val="single" w:color="CCCCCC" w:sz="1"/>
            </w:tcBorders>
            <w:shd w:fill="3498D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Ecommerce Orders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ec_delivery_methods (5)
ec_order_lines (1,840)
ec_order_status_codes (9)
ec_order_status_history (3,307)
ec_orders (963)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Online order headers, line items, delivery methods, and full status audit trail.</w:t>
            </w:r>
          </w:p>
        </w:tc>
      </w:tr>
      <w:tr>
        <w:tc>
          <w:tcPr>
            <w:tcW w:type="dxa" w:w="800"/>
            <w:tcBorders>
              <w:top w:val="single" w:color="CCCCCC" w:sz="1"/>
              <w:left w:val="single" w:color="CCCCCC" w:sz="1"/>
              <w:bottom w:val="single" w:color="CCCCCC" w:sz="1"/>
              <w:right w:val="single" w:color="CCCCCC" w:sz="1"/>
            </w:tcBorders>
            <w:shd w:fill="9B59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5</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NexaLocal Classified</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nl_categories (13)
nl_event_types (14)
nl_listing_events (38,706)
nl_listings (1,253)
nl_user_accounts (356)</w:t>
            </w:r>
          </w:p>
        </w:tc>
        <w:tc>
          <w:tcPr>
            <w:tcW w:type="dxa" w:w="4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C2C marketplace listings, engagement events, and seller/buyer accounts.</w:t>
            </w:r>
          </w:p>
        </w:tc>
      </w:tr>
      <w:tr>
        <w:tc>
          <w:tcPr>
            <w:tcW w:type="dxa" w:w="8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Product Catalogue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pc_brands (30)
pc_categories (27)
pc_condition_codes (10)
pc_price_history (0)
pc_products (65)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Master product catalogue with SKU, brand, category, pricing and campaign flags.</w:t>
            </w:r>
          </w:p>
        </w:tc>
      </w:tr>
      <w:tr>
        <w:tc>
          <w:tcPr>
            <w:tcW w:type="dxa" w:w="8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7</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Payment Gateway</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pg_instrument_types (12)
pg_status_codes (8)
pg_transactions (963)</w:t>
            </w:r>
          </w:p>
        </w:tc>
        <w:tc>
          <w:tcPr>
            <w:tcW w:type="dxa" w:w="4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Payment gateway records with UNIX-epoch timestamps, instrument types, and refund tracking.</w:t>
            </w:r>
          </w:p>
        </w:tc>
      </w:tr>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POS / Store Checkout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pos_cashiers (160)
pos_payment_methods (7)
pos_status_codes (6)
pos_stores (20)
pos_transaction_lines (24,507)
pos_transactions (10,868)</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Physical store transactions, cashiers, store metadata and campaign zone configuration.</w:t>
            </w:r>
          </w:p>
        </w:tc>
      </w:tr>
      <w:tr>
        <w:tc>
          <w:tcPr>
            <w:tcW w:type="dxa" w:w="800"/>
            <w:tcBorders>
              <w:top w:val="single" w:color="CCCCCC" w:sz="1"/>
              <w:left w:val="single" w:color="CCCCCC" w:sz="1"/>
              <w:bottom w:val="single" w:color="CCCCCC" w:sz="1"/>
              <w:right w:val="single" w:color="CCCCCC" w:sz="1"/>
            </w:tcBorders>
            <w:shd w:fill="EC407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9</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Returns &amp; Refunds</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rr_refund_events (74)
rr_return_reasons (12)
rr_return_receipts (74)
rr_return_requests (74)</w:t>
            </w:r>
          </w:p>
        </w:tc>
        <w:tc>
          <w:tcPr>
            <w:tcW w:type="dxa" w:w="4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Return authorisations, physical receipt inspection, and refund processing.</w:t>
            </w:r>
          </w:p>
        </w:tc>
      </w:tr>
      <w:tr>
        <w:tc>
          <w:tcPr>
            <w:tcW w:type="dxa" w:w="800"/>
            <w:tcBorders>
              <w:top w:val="single" w:color="CCCCCC" w:sz="1"/>
              <w:left w:val="single" w:color="CCCCCC" w:sz="1"/>
              <w:bottom w:val="single" w:color="CCCCCC" w:sz="1"/>
              <w:right w:val="single" w:color="CCCCCC" w:sz="1"/>
            </w:tcBorders>
            <w:shd w:fill="00AC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Reviews &amp; Ratings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rv_reviews (377)</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Product, store, and marketplace seller reviews with star ratings and verified purchase flags.</w:t>
            </w:r>
          </w:p>
        </w:tc>
      </w:tr>
      <w:tr>
        <w:tc>
          <w:tcPr>
            <w:tcW w:type="dxa" w:w="800"/>
            <w:tcBorders>
              <w:top w:val="single" w:color="CCCCCC" w:sz="1"/>
              <w:left w:val="single" w:color="CCCCCC" w:sz="1"/>
              <w:bottom w:val="single" w:color="CCCCCC" w:sz="1"/>
              <w:right w:val="single" w:color="CCCCCC" w:sz="1"/>
            </w:tcBorders>
            <w:shd w:fill="8D6E63"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11</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Store Inventory</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si_inventory_movements (438,018)
si_inventory_snapshots (216,645)
si_movement_types (10)</w:t>
            </w:r>
          </w:p>
        </w:tc>
        <w:tc>
          <w:tcPr>
            <w:tcW w:type="dxa" w:w="4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Highest-volume system. Daily end-of-day inventory snapshots and handheld scanner movement events per store.</w:t>
            </w:r>
          </w:p>
        </w:tc>
      </w:tr>
      <w:tr>
        <w:tc>
          <w:tcPr>
            <w:tcW w:type="dxa" w:w="800"/>
            <w:tcBorders>
              <w:top w:val="single" w:color="CCCCCC" w:sz="1"/>
              <w:left w:val="single" w:color="CCCCCC" w:sz="1"/>
              <w:bottom w:val="single" w:color="CCCCCC" w:sz="1"/>
              <w:right w:val="single" w:color="CCCCCC" w:sz="1"/>
            </w:tcBorders>
            <w:shd w:fill="546E7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Marketplace &amp; Trust/Safety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ts_fulfilment_events (593)
ts_marketplace_orders (252)
ts_report_reasons (11)
ts_risk_signals (58)
ts_safety_reports (91)
ts_seller_listings (400)
ts_seller_status_codes (5)
ts_seller_types (4)
ts_sellers (100)
ts_signal_types (10)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Third-party seller accounts, marketplace orders, fulfilment events, and automated risk/safety detection.</w:t>
            </w:r>
          </w:p>
        </w:tc>
      </w:tr>
      <w:tr>
        <w:tc>
          <w:tcPr>
            <w:tcW w:type="dxa" w:w="8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13</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Warehouse &amp; Fulfilment</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wh_inbound_receipts (57)
wh_inventory_movements (30,437)
wh_inventory_snapshots (38,610)
wh_movement_types (12)
wh_warehouses (3)</w:t>
            </w:r>
          </w:p>
        </w:tc>
        <w:tc>
          <w:tcPr>
            <w:tcW w:type="dxa" w:w="4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3 regional fulfilment centres (Mumbai, Delhi NCR, Bangalore), inbound receipts, and warehouse inventory.</w:t>
            </w:r>
          </w:p>
        </w:tc>
      </w:tr>
      <w:tr>
        <w:tc>
          <w:tcPr>
            <w:tcW w:type="dxa" w:w="800"/>
            <w:tcBorders>
              <w:top w:val="single" w:color="CCCCCC" w:sz="1"/>
              <w:left w:val="single" w:color="CCCCCC" w:sz="1"/>
              <w:bottom w:val="single" w:color="CCCCCC" w:sz="1"/>
              <w:right w:val="single" w:color="CCCCCC"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Web Clickstream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ws_event_types (17)
ws_page_events (20,757)
ws_sessions (3,370)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Web and app session data with device, UTM attribution, funnel event types, and individual page events.</w:t>
            </w:r>
          </w:p>
        </w:tc>
      </w:tr>
    </w:tbl>
    <w:p>
      <w:pPr>
        <w:spacing w:after="100"/>
      </w:pPr>
    </w:p>
    <w:p>
      <w:r>
        <w:br w:type="page"/>
      </w:r>
    </w:p>
    <w:p>
      <w:pPr>
        <w:pStyle w:val="Heading1"/>
      </w:pPr>
      <w:r>
        <w:rPr>
          <w:rFonts w:ascii="Arial" w:cs="Arial" w:eastAsia="Arial" w:hAnsi="Arial"/>
          <w:b/>
          <w:bCs/>
          <w:color w:val="1B4F72"/>
          <w:sz w:val="32"/>
          <w:szCs w:val="32"/>
        </w:rPr>
        <w:t xml:space="preserve">3. Detailed Table &amp; Column Reference</w:t>
      </w:r>
    </w:p>
    <w:p>
      <w:pPr>
        <w:pBdr>
          <w:bottom w:val="single" w:color="2E86C1" w:sz="4" w:space="1"/>
        </w:pBdr>
      </w:pPr>
    </w:p>
    <w:p>
      <w:pPr>
        <w:spacing w:after="80"/>
      </w:pPr>
    </w:p>
    <w:p>
      <w:pPr>
        <w:spacing w:after="80"/>
      </w:pPr>
      <w:r>
        <w:rPr>
          <w:rFonts w:ascii="Arial" w:cs="Arial" w:eastAsia="Arial" w:hAnsi="Arial"/>
          <w:color w:val="1A1A1A"/>
          <w:sz w:val="20"/>
          <w:szCs w:val="20"/>
        </w:rPr>
        <w:t xml:space="preserve">This section documents every table group. For each group: purpose, row count, key columns with data types and constraints, and important engineering notes are provided. Six major systems are covered in full column detail; remaining systems are summarised.</w:t>
      </w:r>
    </w:p>
    <w:p>
      <w:pPr>
        <w:spacing w:after="120"/>
      </w:pPr>
    </w:p>
    <w:p>
      <w:pPr>
        <w:pStyle w:val="Heading2"/>
      </w:pPr>
      <w:r>
        <w:rPr>
          <w:rFonts w:ascii="Arial" w:cs="Arial" w:eastAsia="Arial" w:hAnsi="Arial"/>
          <w:b/>
          <w:bCs/>
          <w:color w:val="2E86C1"/>
          <w:sz w:val="26"/>
          <w:szCs w:val="26"/>
        </w:rPr>
        <w:t xml:space="preserve">3.1 Customer &amp; Loyalty (cl_*)</w:t>
      </w:r>
    </w:p>
    <w:p>
      <w:pPr>
        <w:spacing w:after="60"/>
      </w:pPr>
    </w:p>
    <w:p>
      <w:pPr>
        <w:spacing w:after="60"/>
      </w:pPr>
      <w:r>
        <w:rPr>
          <w:rFonts w:ascii="Arial" w:cs="Arial" w:eastAsia="Arial" w:hAnsi="Arial"/>
          <w:b/>
          <w:bCs/>
          <w:color w:val="1B4F72"/>
          <w:sz w:val="20"/>
          <w:szCs w:val="20"/>
        </w:rPr>
        <w:t xml:space="preserve">Tables: </w:t>
      </w:r>
      <w:r>
        <w:rPr>
          <w:rFonts w:ascii="Arial" w:cs="Arial" w:eastAsia="Arial" w:hAnsi="Arial"/>
          <w:color w:val="1A1A1A"/>
          <w:sz w:val="20"/>
          <w:szCs w:val="20"/>
        </w:rPr>
        <w:t xml:space="preserve">cl_customers, cl_loyalty_tiers, cl_loyalty_transactions</w:t>
      </w:r>
    </w:p>
    <w:p>
      <w:pPr>
        <w:spacing w:after="60"/>
      </w:pPr>
      <w:r>
        <w:rPr>
          <w:rFonts w:ascii="Arial" w:cs="Arial" w:eastAsia="Arial" w:hAnsi="Arial"/>
          <w:b/>
          <w:bCs/>
          <w:color w:val="1B4F72"/>
          <w:sz w:val="20"/>
          <w:szCs w:val="20"/>
        </w:rPr>
        <w:t xml:space="preserve">Total Rows: </w:t>
      </w:r>
      <w:r>
        <w:rPr>
          <w:rFonts w:ascii="Arial" w:cs="Arial" w:eastAsia="Arial" w:hAnsi="Arial"/>
          <w:color w:val="1A1A1A"/>
          <w:sz w:val="20"/>
          <w:szCs w:val="20"/>
        </w:rPr>
        <w:t xml:space="preserve">5,365 rows across 3 tables</w:t>
      </w:r>
    </w:p>
    <w:p>
      <w:pPr>
        <w:spacing w:after="80"/>
      </w:pPr>
      <w:r>
        <w:rPr>
          <w:rFonts w:ascii="Arial" w:cs="Arial" w:eastAsia="Arial" w:hAnsi="Arial"/>
          <w:color w:val="1A1A1A"/>
          <w:sz w:val="20"/>
          <w:szCs w:val="20"/>
        </w:rPr>
        <w:t xml:space="preserve">The loyalty system is the customer master for NexaMart. cl_customers is the primary dimension for all customer-related joins across EC orders, POS transactions, web sessions, and marketplace purchases. The loyalty_number field (LY-XXXXXX) is the physical card scanned at POS; the customer_id integer is the canonical FK used in most other systems.</w:t>
      </w:r>
    </w:p>
    <w:p>
      <w:pPr>
        <w:spacing w:after="80"/>
      </w:pPr>
    </w:p>
    <w:p>
      <w:pPr>
        <w:spacing w:after="60"/>
      </w:pPr>
      <w:r>
        <w:rPr>
          <w:rFonts w:ascii="Arial" w:cs="Arial" w:eastAsia="Arial" w:hAnsi="Arial"/>
          <w:color w:val="1A1A1A"/>
          <w:sz w:val="20"/>
          <w:szCs w:val="20"/>
        </w:rPr>
        <w:t xml:space="preserve">Loyalty tiers: SILVER (entry, 1× multiplier) → GOLD (₹25k annual, 1.5×) → PLATINUM (₹75k, 2×) → NEXAELITE (₹200k, 3×). Points balance and total_spend_ytd are pre-calculated at export time.</w:t>
      </w:r>
    </w:p>
    <w:p>
      <w:pPr>
        <w:spacing w:after="100"/>
      </w:pPr>
    </w:p>
    <w:p>
      <w:pPr>
        <w:pStyle w:val="Heading3"/>
      </w:pPr>
      <w:r>
        <w:rPr>
          <w:rFonts w:ascii="Arial" w:cs="Arial" w:eastAsia="Arial" w:hAnsi="Arial"/>
          <w:b/>
          <w:bCs/>
          <w:color w:val="2C3E50"/>
          <w:sz w:val="22"/>
          <w:szCs w:val="22"/>
        </w:rPr>
        <w:t xml:space="preserve">cl_customers — 15 Columns, 2,501 Rows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400"/>
        <w:gridCol w:w="5260"/>
      </w:tblGrid>
      <w:tr>
        <w:tc>
          <w:tcPr>
            <w:tcW w:type="dxa" w:w="18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9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4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Key/Format</w:t>
            </w:r>
          </w:p>
        </w:tc>
        <w:tc>
          <w:tcPr>
            <w:tcW w:type="dxa" w:w="526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customer_id</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PK</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Unique loyalty system customer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loyalty_number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Physical loyalty card number (LY-XXXXXX format). Links to POS.</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first_name / last_name</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 name.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email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Email address. Trim + lowercase before identity matching.</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phone_number</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Local format. Normalise to E.164 for cross-system matching.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date_of_birth</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YYYY-MM-DD.</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registration_date</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Account creation date.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registration_channel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STORE / ONLINE / APP / MARKETPLACE / REFERRAL.</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home_store_id</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FK → pos_stores</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Customer's preferred store.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loyalty_tier_id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FK → cl_loyalty_tiers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Current tier (1=SILVER, 2=GOLD, 3=PLATINUM, 4=NEXAELITE).</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points_balance</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Points balance at DB export time.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total_spend_ytd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Finance-calculated YTD spend. May differ from warehouse calc.</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is_active</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Boolean 1/0.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last_activity_date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Date of last loyalty-linked activity.</w:t>
            </w:r>
          </w:p>
        </w:tc>
      </w:tr>
    </w:tbl>
    <w:p>
      <w:pPr>
        <w:spacing w:after="80"/>
      </w:pPr>
    </w:p>
    <w:p>
      <w:pPr>
        <w:spacing w:after="80"/>
      </w:pPr>
      <w:r>
        <w:rPr>
          <w:rFonts w:ascii="Arial" w:cs="Arial" w:eastAsia="Arial" w:hAnsi="Arial"/>
          <w:b/>
          <w:bCs/>
          <w:color w:val="F39C12"/>
          <w:sz w:val="18"/>
          <w:szCs w:val="18"/>
        </w:rPr>
        <w:t xml:space="preserve">⚠ Note: </w:t>
      </w:r>
      <w:r>
        <w:rPr>
          <w:rFonts w:ascii="Arial" w:cs="Arial" w:eastAsia="Arial" w:hAnsi="Arial"/>
          <w:i/>
          <w:iCs/>
          <w:color w:val="7D6608"/>
          <w:sz w:val="18"/>
          <w:szCs w:val="18"/>
        </w:rPr>
        <w:t xml:space="preserve">email and phone_number may contain format inconsistencies. Always trim + lowercase email before identity matching. Normalise phone to E.164 (+91XXXXXXXXXX) before joining to NexaLocal hashed fields.</w:t>
      </w:r>
    </w:p>
    <w:p>
      <w:pPr>
        <w:spacing w:after="120"/>
      </w:pPr>
    </w:p>
    <w:p>
      <w:pPr>
        <w:pStyle w:val="Heading2"/>
      </w:pPr>
      <w:r>
        <w:rPr>
          <w:rFonts w:ascii="Arial" w:cs="Arial" w:eastAsia="Arial" w:hAnsi="Arial"/>
          <w:b/>
          <w:bCs/>
          <w:color w:val="2E86C1"/>
          <w:sz w:val="26"/>
          <w:szCs w:val="26"/>
        </w:rPr>
        <w:t xml:space="preserve">3.2 Ecommerce Orders (ec_*)</w:t>
      </w:r>
    </w:p>
    <w:p>
      <w:pPr>
        <w:spacing w:after="60"/>
      </w:pPr>
    </w:p>
    <w:p>
      <w:pPr>
        <w:spacing w:after="60"/>
      </w:pPr>
      <w:r>
        <w:rPr>
          <w:rFonts w:ascii="Arial" w:cs="Arial" w:eastAsia="Arial" w:hAnsi="Arial"/>
          <w:b/>
          <w:bCs/>
          <w:color w:val="1B4F72"/>
          <w:sz w:val="20"/>
          <w:szCs w:val="20"/>
        </w:rPr>
        <w:t xml:space="preserve">Tables: </w:t>
      </w:r>
      <w:r>
        <w:rPr>
          <w:rFonts w:ascii="Arial" w:cs="Arial" w:eastAsia="Arial" w:hAnsi="Arial"/>
          <w:color w:val="1A1A1A"/>
          <w:sz w:val="20"/>
          <w:szCs w:val="20"/>
        </w:rPr>
        <w:t xml:space="preserve">ec_orders, ec_order_lines, ec_order_status_codes, ec_order_status_history, ec_delivery_methods</w:t>
      </w:r>
    </w:p>
    <w:p>
      <w:pPr>
        <w:spacing w:after="60"/>
      </w:pPr>
      <w:r>
        <w:rPr>
          <w:rFonts w:ascii="Arial" w:cs="Arial" w:eastAsia="Arial" w:hAnsi="Arial"/>
          <w:b/>
          <w:bCs/>
          <w:color w:val="1B4F72"/>
          <w:sz w:val="20"/>
          <w:szCs w:val="20"/>
        </w:rPr>
        <w:t xml:space="preserve">Total Rows: </w:t>
      </w:r>
      <w:r>
        <w:rPr>
          <w:rFonts w:ascii="Arial" w:cs="Arial" w:eastAsia="Arial" w:hAnsi="Arial"/>
          <w:color w:val="1A1A1A"/>
          <w:sz w:val="20"/>
          <w:szCs w:val="20"/>
        </w:rPr>
        <w:t xml:space="preserve">~6,124 rows (963 order headers)</w:t>
      </w:r>
    </w:p>
    <w:p>
      <w:pPr>
        <w:spacing w:after="80"/>
      </w:pPr>
      <w:r>
        <w:rPr>
          <w:rFonts w:ascii="Arial" w:cs="Arial" w:eastAsia="Arial" w:hAnsi="Arial"/>
          <w:color w:val="1A1A1A"/>
          <w:sz w:val="20"/>
          <w:szCs w:val="20"/>
        </w:rPr>
        <w:t xml:space="preserve">The EC system manages all online orders from NexaMart's website and app. Orders span 1 March to 14 September 2024. The ec_orders table is the fact table hub, linking to the customer, delivery method, and payment gateway. ec_order_lines provides SKU-level line detail with fulfilment_source indicating whether an item ships from warehouse, store (BOPIS), or a marketplace seller.</w:t>
      </w:r>
    </w:p>
    <w:p>
      <w:pPr>
        <w:spacing w:after="80"/>
      </w:pPr>
      <w:r>
        <w:rPr>
          <w:rFonts w:ascii="Arial" w:cs="Arial" w:eastAsia="Arial" w:hAnsi="Arial"/>
          <w:color w:val="1A1A1A"/>
          <w:sz w:val="20"/>
          <w:szCs w:val="20"/>
        </w:rPr>
        <w:t xml:space="preserve">Status distribution: DELIVERED 552 (57%), SHIPPED 155 (16%), CONFIRMED 148 (15%), CANCELLED 94 (10%), RETURNED/RETURN_REQUESTED 14 (1%).</w:t>
      </w:r>
    </w:p>
    <w:p>
      <w:pPr>
        <w:spacing w:after="80"/>
      </w:pPr>
    </w:p>
    <w:p>
      <w:pPr>
        <w:pStyle w:val="Heading3"/>
      </w:pPr>
      <w:r>
        <w:rPr>
          <w:rFonts w:ascii="Arial" w:cs="Arial" w:eastAsia="Arial" w:hAnsi="Arial"/>
          <w:b/>
          <w:bCs/>
          <w:color w:val="2C3E50"/>
          <w:sz w:val="22"/>
          <w:szCs w:val="22"/>
        </w:rPr>
        <w:t xml:space="preserve">ec_orders — 15 Columns, 963 Rows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400"/>
        <w:gridCol w:w="5260"/>
      </w:tblGrid>
      <w:tr>
        <w:tc>
          <w:tcPr>
            <w:tcW w:type="dxa" w:w="18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9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4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Key/Format</w:t>
            </w:r>
          </w:p>
        </w:tc>
        <w:tc>
          <w:tcPr>
            <w:tcW w:type="dxa" w:w="526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order_id</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PK</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Unique integer order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order_number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Human-readable reference (EC-XXXXXXXX). Degenerate dimension.</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customer_id</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FK → cl_customers</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 who placed the order.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session_id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Links to ws_sessions for clickstream attribution.</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order_date</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YYYY-MM-DD</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Order placement date.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order_time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HH:MM:SS. Combine with order_date for full datetime.</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delivery_method_code</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FK → ec_delivery_methods</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BOPIS / STD_DEL / EXP_DEL / FREE_DEL.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pickup_store_id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FK → pos_stores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BOPIS collection store. NULL for non-BOPIS.</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promo_code_applied</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Campaign code. NULL if no promo used.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order_status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DELIVERED / SHIPPED / CONFIRMED / CANCELLED / RETURNED.</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subtotal_excl_tax</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REAL</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Tax-exclusive subtotal. Use for cross-channel NCR.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tax_amount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Tax charged separately.</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shipping_fee</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REAL</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Pass-through to courier. Deduct from NCR.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total_amount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subtotal_excl_tax + tax_amount + shipping_fee.</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created_at</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Full ISO 8601 creation timestamp.</w:t>
            </w:r>
          </w:p>
        </w:tc>
      </w:tr>
    </w:tbl>
    <w:p>
      <w:pPr>
        <w:spacing w:after="80"/>
      </w:pPr>
    </w:p>
    <w:p>
      <w:pPr>
        <w:spacing w:after="80"/>
      </w:pPr>
      <w:r>
        <w:rPr>
          <w:rFonts w:ascii="Arial" w:cs="Arial" w:eastAsia="Arial" w:hAnsi="Arial"/>
          <w:b/>
          <w:bCs/>
          <w:color w:val="F39C12"/>
          <w:sz w:val="18"/>
          <w:szCs w:val="18"/>
        </w:rPr>
        <w:t xml:space="preserve">⚠ Note: </w:t>
      </w:r>
      <w:r>
        <w:rPr>
          <w:rFonts w:ascii="Arial" w:cs="Arial" w:eastAsia="Arial" w:hAnsi="Arial"/>
          <w:i/>
          <w:iCs/>
          <w:color w:val="7D6608"/>
          <w:sz w:val="18"/>
          <w:szCs w:val="18"/>
        </w:rPr>
        <w:t xml:space="preserve">subtotal_excl_tax is tax-exclusive. Use this (not total_amount) for cross-channel NCR calculations, as POS sub_total is also tax-exclusive. shipping_fee is a pass-through cost and should be deducted from NCR.</w:t>
      </w:r>
    </w:p>
    <w:p>
      <w:pPr>
        <w:spacing w:after="120"/>
      </w:pPr>
    </w:p>
    <w:p>
      <w:pPr>
        <w:pStyle w:val="Heading2"/>
      </w:pPr>
      <w:r>
        <w:rPr>
          <w:rFonts w:ascii="Arial" w:cs="Arial" w:eastAsia="Arial" w:hAnsi="Arial"/>
          <w:b/>
          <w:bCs/>
          <w:color w:val="2E86C1"/>
          <w:sz w:val="26"/>
          <w:szCs w:val="26"/>
        </w:rPr>
        <w:t xml:space="preserve">3.3 POS / Store Checkout (pos_*)</w:t>
      </w:r>
    </w:p>
    <w:p>
      <w:pPr>
        <w:spacing w:after="60"/>
      </w:pPr>
    </w:p>
    <w:p>
      <w:pPr>
        <w:spacing w:after="60"/>
      </w:pPr>
      <w:r>
        <w:rPr>
          <w:rFonts w:ascii="Arial" w:cs="Arial" w:eastAsia="Arial" w:hAnsi="Arial"/>
          <w:b/>
          <w:bCs/>
          <w:color w:val="1B4F72"/>
          <w:sz w:val="20"/>
          <w:szCs w:val="20"/>
        </w:rPr>
        <w:t xml:space="preserve">Tables: </w:t>
      </w:r>
      <w:r>
        <w:rPr>
          <w:rFonts w:ascii="Arial" w:cs="Arial" w:eastAsia="Arial" w:hAnsi="Arial"/>
          <w:color w:val="1A1A1A"/>
          <w:sz w:val="20"/>
          <w:szCs w:val="20"/>
        </w:rPr>
        <w:t xml:space="preserve">pos_transactions, pos_transaction_lines, pos_stores, pos_cashiers, pos_payment_methods, pos_status_codes</w:t>
      </w:r>
    </w:p>
    <w:p>
      <w:pPr>
        <w:spacing w:after="60"/>
      </w:pPr>
      <w:r>
        <w:rPr>
          <w:rFonts w:ascii="Arial" w:cs="Arial" w:eastAsia="Arial" w:hAnsi="Arial"/>
          <w:b/>
          <w:bCs/>
          <w:color w:val="1B4F72"/>
          <w:sz w:val="20"/>
          <w:szCs w:val="20"/>
        </w:rPr>
        <w:t xml:space="preserve">Total Rows: </w:t>
      </w:r>
      <w:r>
        <w:rPr>
          <w:rFonts w:ascii="Arial" w:cs="Arial" w:eastAsia="Arial" w:hAnsi="Arial"/>
          <w:color w:val="1A1A1A"/>
          <w:sz w:val="20"/>
          <w:szCs w:val="20"/>
        </w:rPr>
        <w:t xml:space="preserve">~35,568 rows (10,868 transaction headers, 24,507 lines)</w:t>
      </w:r>
    </w:p>
    <w:p>
      <w:pPr>
        <w:spacing w:after="80"/>
      </w:pPr>
      <w:r>
        <w:rPr>
          <w:rFonts w:ascii="Arial" w:cs="Arial" w:eastAsia="Arial" w:hAnsi="Arial"/>
          <w:color w:val="1A1A1A"/>
          <w:sz w:val="20"/>
          <w:szCs w:val="20"/>
        </w:rPr>
        <w:t xml:space="preserve">The highest-volume transactional system after store inventory. Covers physical in-store purchases across 20 stores from 1 March to 31 August 2024. 20 stores span 4 regions (WEST, NORTH, SOUTH, EAST) in 3 formats: HYPERMARKET (large), URBAN (mid-size), EXPRESS (small). 15 stores are designated campaign zones.</w:t>
      </w:r>
    </w:p>
    <w:p>
      <w:pPr>
        <w:spacing w:after="80"/>
      </w:pPr>
    </w:p>
    <w:p>
      <w:pPr>
        <w:pStyle w:val="Heading3"/>
      </w:pPr>
      <w:r>
        <w:rPr>
          <w:rFonts w:ascii="Arial" w:cs="Arial" w:eastAsia="Arial" w:hAnsi="Arial"/>
          <w:b/>
          <w:bCs/>
          <w:color w:val="2C3E50"/>
          <w:sz w:val="22"/>
          <w:szCs w:val="22"/>
        </w:rPr>
        <w:t xml:space="preserve">pos_transactions — 14 Columns, 10,868 Rows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400"/>
        <w:gridCol w:w="5260"/>
      </w:tblGrid>
      <w:tr>
        <w:tc>
          <w:tcPr>
            <w:tcW w:type="dxa" w:w="18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9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4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Key/Format</w:t>
            </w:r>
          </w:p>
        </w:tc>
        <w:tc>
          <w:tcPr>
            <w:tcW w:type="dxa" w:w="526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txn_id</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PK</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Unique transaction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store_id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FK → pos_stores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Store where transaction occurred.</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cashier_id</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FK → pos_cashiers</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Processing cashier.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receipt_number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Human-readable receipt (RCP-XX-XXXXXXX). Degenerate dimension.</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txn_date</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DD/MM/YYYY</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NOT ISO format. Must convert in Silver.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txn_time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HH:MM:SS. Combine with txn_date for datetime.</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loyalty_card_number</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Links to cl_customers.loyalty_number.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payment_method_code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FK → pos_payment_methods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CASH / UPI / CC / DC / etc.</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sub_total</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REAL</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Tax-exclusive subtotal. Use for cross-channel revenue.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tax_amount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Tax stored separately.</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total_amount_incl_tax</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REAL</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TAX-INCLUSIVE total. Do NOT use for cross-channel NCR.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status_code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FK → pos_status_codes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P=Processed, V=Voided, C=Cancelled.</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void_reason</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Reason code for V transactions. NULL otherwise.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created_ts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System creation timestamp.</w:t>
            </w:r>
          </w:p>
        </w:tc>
      </w:tr>
    </w:tbl>
    <w:p>
      <w:pPr>
        <w:spacing w:after="80"/>
      </w:pPr>
    </w:p>
    <w:p>
      <w:pPr>
        <w:spacing w:after="80"/>
      </w:pPr>
      <w:r>
        <w:rPr>
          <w:rFonts w:ascii="Arial" w:cs="Arial" w:eastAsia="Arial" w:hAnsi="Arial"/>
          <w:b/>
          <w:bCs/>
          <w:color w:val="F39C12"/>
          <w:sz w:val="18"/>
          <w:szCs w:val="18"/>
        </w:rPr>
        <w:t xml:space="preserve">⚠ Note: </w:t>
      </w:r>
      <w:r>
        <w:rPr>
          <w:rFonts w:ascii="Arial" w:cs="Arial" w:eastAsia="Arial" w:hAnsi="Arial"/>
          <w:i/>
          <w:iCs/>
          <w:color w:val="7D6608"/>
          <w:sz w:val="18"/>
          <w:szCs w:val="18"/>
        </w:rPr>
        <w:t xml:space="preserve">txn_date is DD/MM/YYYY — not ISO. This is the most common date conversion error. '01/08/2024' = 1 August, NOT 8 January. Always apply to_date(col, 'dd/MM/yyyy') in Silver layer.</w:t>
      </w:r>
    </w:p>
    <w:p>
      <w:pPr>
        <w:spacing w:after="120"/>
      </w:pPr>
    </w:p>
    <w:p>
      <w:pPr>
        <w:pStyle w:val="Heading2"/>
      </w:pPr>
      <w:r>
        <w:rPr>
          <w:rFonts w:ascii="Arial" w:cs="Arial" w:eastAsia="Arial" w:hAnsi="Arial"/>
          <w:b/>
          <w:bCs/>
          <w:color w:val="2E86C1"/>
          <w:sz w:val="26"/>
          <w:szCs w:val="26"/>
        </w:rPr>
        <w:t xml:space="preserve">3.4 Product Catalogue (pc_*)</w:t>
      </w:r>
    </w:p>
    <w:p>
      <w:pPr>
        <w:spacing w:after="60"/>
      </w:pPr>
    </w:p>
    <w:p>
      <w:pPr>
        <w:spacing w:after="60"/>
      </w:pPr>
      <w:r>
        <w:rPr>
          <w:rFonts w:ascii="Arial" w:cs="Arial" w:eastAsia="Arial" w:hAnsi="Arial"/>
          <w:b/>
          <w:bCs/>
          <w:color w:val="1B4F72"/>
          <w:sz w:val="20"/>
          <w:szCs w:val="20"/>
        </w:rPr>
        <w:t xml:space="preserve">Tables: </w:t>
      </w:r>
      <w:r>
        <w:rPr>
          <w:rFonts w:ascii="Arial" w:cs="Arial" w:eastAsia="Arial" w:hAnsi="Arial"/>
          <w:color w:val="1A1A1A"/>
          <w:sz w:val="20"/>
          <w:szCs w:val="20"/>
        </w:rPr>
        <w:t xml:space="preserve">pc_products, pc_brands, pc_categories, pc_condition_codes, pc_price_history</w:t>
      </w:r>
    </w:p>
    <w:p>
      <w:pPr>
        <w:spacing w:after="60"/>
      </w:pPr>
      <w:r>
        <w:rPr>
          <w:rFonts w:ascii="Arial" w:cs="Arial" w:eastAsia="Arial" w:hAnsi="Arial"/>
          <w:b/>
          <w:bCs/>
          <w:color w:val="1B4F72"/>
          <w:sz w:val="20"/>
          <w:szCs w:val="20"/>
        </w:rPr>
        <w:t xml:space="preserve">Total Rows: </w:t>
      </w:r>
      <w:r>
        <w:rPr>
          <w:rFonts w:ascii="Arial" w:cs="Arial" w:eastAsia="Arial" w:hAnsi="Arial"/>
          <w:color w:val="1A1A1A"/>
          <w:sz w:val="20"/>
          <w:szCs w:val="20"/>
        </w:rPr>
        <w:t xml:space="preserve">132 rows (65 products, 30 brands, 27 categories; pc_price_history has 0 rows)</w:t>
      </w:r>
    </w:p>
    <w:p>
      <w:pPr>
        <w:spacing w:after="80"/>
      </w:pPr>
      <w:r>
        <w:rPr>
          <w:rFonts w:ascii="Arial" w:cs="Arial" w:eastAsia="Arial" w:hAnsi="Arial"/>
          <w:color w:val="1A1A1A"/>
          <w:sz w:val="20"/>
          <w:szCs w:val="20"/>
        </w:rPr>
        <w:t xml:space="preserve">The product catalogue is small but central — pc_products.sku is referenced by EC order lines, POS lines, store inventory, warehouse inventory, reviews, returns, and marketplace listings. SKU format is NX-XXXX-XXXX (e.g. NX-TECH-0001).</w:t>
      </w:r>
    </w:p>
    <w:p>
      <w:pPr>
        <w:spacing w:after="80"/>
      </w:pPr>
      <w:r>
        <w:rPr>
          <w:rFonts w:ascii="Arial" w:cs="Arial" w:eastAsia="Arial" w:hAnsi="Arial"/>
          <w:color w:val="1A1A1A"/>
          <w:sz w:val="20"/>
          <w:szCs w:val="20"/>
        </w:rPr>
        <w:t xml:space="preserve">Category hierarchy: 3 levels — Department (level 1: Electronics, Home &amp; Living, Fashion, etc.) → Category (level 2: Laptops, Headphones, etc.) → Sub-category (level 3). The most product-rich categories are Laptops (10), followed by Stationery, Mobiles, Kitchen Appliances, Headphones, and Electronic Accessories (5 each). 37 of 65 products carry the is_campaign_product flag.</w:t>
      </w:r>
    </w:p>
    <w:p>
      <w:pPr>
        <w:spacing w:after="80"/>
      </w:pPr>
      <w:r>
        <w:rPr>
          <w:rFonts w:ascii="Arial" w:cs="Arial" w:eastAsia="Arial" w:hAnsi="Arial"/>
          <w:color w:val="1A1A1A"/>
          <w:sz w:val="20"/>
          <w:szCs w:val="20"/>
        </w:rPr>
        <w:t xml:space="preserve">Brands span 30 entries across PREMIUM (Apple, Sony), MID_PREMIUM (Samsung, Dell), MID_RANGE, and BUDGET segments. pc_price_history has 0 rows — price changes are not tracked historically in this export.</w:t>
      </w:r>
    </w:p>
    <w:p>
      <w:pPr>
        <w:spacing w:after="80"/>
      </w:pPr>
    </w:p>
    <w:p>
      <w:pPr>
        <w:pStyle w:val="Heading3"/>
      </w:pPr>
      <w:r>
        <w:rPr>
          <w:rFonts w:ascii="Arial" w:cs="Arial" w:eastAsia="Arial" w:hAnsi="Arial"/>
          <w:b/>
          <w:bCs/>
          <w:color w:val="2C3E50"/>
          <w:sz w:val="22"/>
          <w:szCs w:val="22"/>
        </w:rPr>
        <w:t xml:space="preserve">pc_products — 14 Columns, 65 Rows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400"/>
        <w:gridCol w:w="5260"/>
      </w:tblGrid>
      <w:tr>
        <w:tc>
          <w:tcPr>
            <w:tcW w:type="dxa" w:w="18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9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4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Key/Format</w:t>
            </w:r>
          </w:p>
        </w:tc>
        <w:tc>
          <w:tcPr>
            <w:tcW w:type="dxa" w:w="526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product_id</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PK (int)</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Internal ID. Use SKU for all joins.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sku</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Canonical PK</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NX-XXXX-XXXX format. Referenced by all order and inventory systems.</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product_name</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Full display name.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category_id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FK → pc_categories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3-level hierarchy (Department→Category→Sub-category).</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brand_id</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FK → pc_brands</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Brand master.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standard_cost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COGS per unit. Use for gross margin calculation.</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rrp</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REAL</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Recommended Retail Price. Reference for discount calc.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weight_kg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Used for shipping cost calculation.</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condition_code</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FK → pc_condition_codes</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NEW / OPEN_BOX / REFURB / USED / DAMAGED.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is_campaign_product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Boolean. 37 of 65 products are campaign-flagged.</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is_active</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Boolean. Whether currently listed.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created_date / last_updated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Dates of creation and last modification.</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supplier_code</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Primary supplier for replenishment.</w:t>
            </w:r>
          </w:p>
        </w:tc>
      </w:tr>
    </w:tbl>
    <w:p>
      <w:pPr>
        <w:spacing w:after="80"/>
      </w:pPr>
    </w:p>
    <w:p>
      <w:pPr>
        <w:spacing w:after="80"/>
      </w:pPr>
      <w:r>
        <w:rPr>
          <w:rFonts w:ascii="Arial" w:cs="Arial" w:eastAsia="Arial" w:hAnsi="Arial"/>
          <w:b/>
          <w:bCs/>
          <w:color w:val="F39C12"/>
          <w:sz w:val="18"/>
          <w:szCs w:val="18"/>
        </w:rPr>
        <w:t xml:space="preserve">⚠ Note: </w:t>
      </w:r>
      <w:r>
        <w:rPr>
          <w:rFonts w:ascii="Arial" w:cs="Arial" w:eastAsia="Arial" w:hAnsi="Arial"/>
          <w:i/>
          <w:iCs/>
          <w:color w:val="7D6608"/>
          <w:sz w:val="18"/>
          <w:szCs w:val="18"/>
        </w:rPr>
        <w:t xml:space="preserve">Use sku (not product_id) as the canonical join key for all cross-system relationships. standard_cost is the COGS value for gross margin calculation. rrp is the reference price for discount percentage calculations.</w:t>
      </w:r>
    </w:p>
    <w:p>
      <w:pPr>
        <w:spacing w:after="120"/>
      </w:pPr>
    </w:p>
    <w:p>
      <w:pPr>
        <w:pStyle w:val="Heading2"/>
      </w:pPr>
      <w:r>
        <w:rPr>
          <w:rFonts w:ascii="Arial" w:cs="Arial" w:eastAsia="Arial" w:hAnsi="Arial"/>
          <w:b/>
          <w:bCs/>
          <w:color w:val="2E86C1"/>
          <w:sz w:val="26"/>
          <w:szCs w:val="26"/>
        </w:rPr>
        <w:t xml:space="preserve">3.5 Payment Gateway (pg_*)</w:t>
      </w:r>
    </w:p>
    <w:p>
      <w:pPr>
        <w:spacing w:after="60"/>
      </w:pPr>
    </w:p>
    <w:p>
      <w:pPr>
        <w:spacing w:after="60"/>
      </w:pPr>
      <w:r>
        <w:rPr>
          <w:rFonts w:ascii="Arial" w:cs="Arial" w:eastAsia="Arial" w:hAnsi="Arial"/>
          <w:b/>
          <w:bCs/>
          <w:color w:val="1B4F72"/>
          <w:sz w:val="20"/>
          <w:szCs w:val="20"/>
        </w:rPr>
        <w:t xml:space="preserve">Tables: </w:t>
      </w:r>
      <w:r>
        <w:rPr>
          <w:rFonts w:ascii="Arial" w:cs="Arial" w:eastAsia="Arial" w:hAnsi="Arial"/>
          <w:color w:val="1A1A1A"/>
          <w:sz w:val="20"/>
          <w:szCs w:val="20"/>
        </w:rPr>
        <w:t xml:space="preserve">pg_transactions, pg_instrument_types, pg_status_codes</w:t>
      </w:r>
    </w:p>
    <w:p>
      <w:pPr>
        <w:spacing w:after="60"/>
      </w:pPr>
      <w:r>
        <w:rPr>
          <w:rFonts w:ascii="Arial" w:cs="Arial" w:eastAsia="Arial" w:hAnsi="Arial"/>
          <w:b/>
          <w:bCs/>
          <w:color w:val="1B4F72"/>
          <w:sz w:val="20"/>
          <w:szCs w:val="20"/>
        </w:rPr>
        <w:t xml:space="preserve">Total Rows: </w:t>
      </w:r>
      <w:r>
        <w:rPr>
          <w:rFonts w:ascii="Arial" w:cs="Arial" w:eastAsia="Arial" w:hAnsi="Arial"/>
          <w:color w:val="1A1A1A"/>
          <w:sz w:val="20"/>
          <w:szCs w:val="20"/>
        </w:rPr>
        <w:t xml:space="preserve">983 rows (963 transactions matching ec_orders)</w:t>
      </w:r>
    </w:p>
    <w:p>
      <w:pPr>
        <w:spacing w:after="80"/>
      </w:pPr>
      <w:r>
        <w:rPr>
          <w:rFonts w:ascii="Arial" w:cs="Arial" w:eastAsia="Arial" w:hAnsi="Arial"/>
          <w:color w:val="1A1A1A"/>
          <w:sz w:val="20"/>
          <w:szCs w:val="20"/>
        </w:rPr>
        <w:t xml:space="preserve">Every EC order has a corresponding payment gateway record. All transactions are INR. Payment instruments include credit cards (Visa, Mastercard, Amex), debit cards (Visa, RuPay), UPI (Google Pay, PhonePe, Paytm), BNPL (ZestMoney, Simpl), Cash on Delivery, and Loyalty Points redemption.</w:t>
      </w:r>
    </w:p>
    <w:p>
      <w:pPr>
        <w:spacing w:after="80"/>
      </w:pPr>
      <w:r>
        <w:rPr>
          <w:rFonts w:ascii="Arial" w:cs="Arial" w:eastAsia="Arial" w:hAnsi="Arial"/>
          <w:color w:val="1A1A1A"/>
          <w:sz w:val="20"/>
          <w:szCs w:val="20"/>
        </w:rPr>
        <w:t xml:space="preserve">Status distribution: 1=INITIATED, 2=CAPTURED (successful payment — ~876 orders), 3=FAILED, 4=REFUNDED, 5=PARTIAL_REFUND, 6=DISPUTED. Captured transactions: average charge ₹85,895, range ₹354 – ₹694,430.</w:t>
      </w:r>
    </w:p>
    <w:p>
      <w:pPr>
        <w:spacing w:after="80"/>
      </w:pPr>
    </w:p>
    <w:p>
      <w:pPr>
        <w:pStyle w:val="Heading3"/>
      </w:pPr>
      <w:r>
        <w:rPr>
          <w:rFonts w:ascii="Arial" w:cs="Arial" w:eastAsia="Arial" w:hAnsi="Arial"/>
          <w:b/>
          <w:bCs/>
          <w:color w:val="2C3E50"/>
          <w:sz w:val="22"/>
          <w:szCs w:val="22"/>
        </w:rPr>
        <w:t xml:space="preserve">pg_transactions — 15 Columns, 963 Rows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400"/>
        <w:gridCol w:w="5260"/>
      </w:tblGrid>
      <w:tr>
        <w:tc>
          <w:tcPr>
            <w:tcW w:type="dxa" w:w="18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9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4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Key/Format</w:t>
            </w:r>
          </w:p>
        </w:tc>
        <w:tc>
          <w:tcPr>
            <w:tcW w:type="dxa" w:w="526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pg_txn_id</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PK</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Unique gateway transaction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pg_reference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Gateway internal reference for bank reconciliation.</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order_ref</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FK → ec_orders.order_number</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Links payment to EC order.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amount_charged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Amount charged to payment instrument.</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currency_code</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Always INR.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instrument_type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FK → pg_instrument_types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CC_VISA / UPI_GPY / BNPL_ZST / CASH / LYP etc.</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card_last4</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Last 4 digits. NULL for non-card instruments.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payment_provider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Razorpay / Juspay / Google / PhonePe / etc.</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initiated_ts</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UNIX Epoch</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Must convert: from_unixtime(col).cast('timestamp').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captured_ts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UNIX Epoch</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NULL if not captured.</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failed_ts</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UNIX Epoch</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NULL if not failed.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refund_amount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Amount refunded. 0 if no refund.</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refund_ts</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UNIX Epoch</w:t>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NULL if not refunded.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status_code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FK → pg_status_codes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INTEGER: 1=INITIATED, 2=CAPTURED, 3=FAILED, 4=REFUNDED.</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failure_reason</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TEXT</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52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Machine-readable failure code.</w:t>
            </w:r>
          </w:p>
        </w:tc>
      </w:tr>
    </w:tbl>
    <w:p>
      <w:pPr>
        <w:spacing w:after="80"/>
      </w:pPr>
    </w:p>
    <w:p>
      <w:pPr>
        <w:spacing w:after="80"/>
      </w:pPr>
      <w:r>
        <w:rPr>
          <w:rFonts w:ascii="Arial" w:cs="Arial" w:eastAsia="Arial" w:hAnsi="Arial"/>
          <w:b/>
          <w:bCs/>
          <w:color w:val="F39C12"/>
          <w:sz w:val="18"/>
          <w:szCs w:val="18"/>
        </w:rPr>
        <w:t xml:space="preserve">⚠ Note: </w:t>
      </w:r>
      <w:r>
        <w:rPr>
          <w:rFonts w:ascii="Arial" w:cs="Arial" w:eastAsia="Arial" w:hAnsi="Arial"/>
          <w:i/>
          <w:iCs/>
          <w:color w:val="7D6608"/>
          <w:sz w:val="18"/>
          <w:szCs w:val="18"/>
        </w:rPr>
        <w:t xml:space="preserve">ALL timestamp columns in pg_transactions (initiated_ts, captured_ts, failed_ts, refund_ts) are stored as UNIX Epoch integers, not strings. This is unique to this table. Always convert: from_unixtime(col).cast('timestamp') before any date comparison or join.</w:t>
      </w:r>
    </w:p>
    <w:p>
      <w:pPr>
        <w:spacing w:after="100"/>
      </w:pPr>
    </w:p>
    <w:p>
      <w:r>
        <w:br w:type="page"/>
      </w:r>
    </w:p>
    <w:p>
      <w:pPr>
        <w:pStyle w:val="Heading2"/>
      </w:pPr>
      <w:r>
        <w:rPr>
          <w:rFonts w:ascii="Arial" w:cs="Arial" w:eastAsia="Arial" w:hAnsi="Arial"/>
          <w:b/>
          <w:bCs/>
          <w:color w:val="2E86C1"/>
          <w:sz w:val="26"/>
          <w:szCs w:val="26"/>
        </w:rPr>
        <w:t xml:space="preserve">3.6 Delivery / Courier (dc_*)</w:t>
      </w:r>
    </w:p>
    <w:p>
      <w:pPr>
        <w:spacing w:after="60"/>
      </w:pPr>
    </w:p>
    <w:p>
      <w:pPr>
        <w:spacing w:after="60"/>
      </w:pPr>
      <w:r>
        <w:rPr>
          <w:rFonts w:ascii="Arial" w:cs="Arial" w:eastAsia="Arial" w:hAnsi="Arial"/>
          <w:b/>
          <w:bCs/>
          <w:color w:val="1B4F72"/>
          <w:sz w:val="20"/>
          <w:szCs w:val="20"/>
        </w:rPr>
        <w:t xml:space="preserve">Tables: </w:t>
      </w:r>
      <w:r>
        <w:rPr>
          <w:rFonts w:ascii="Arial" w:cs="Arial" w:eastAsia="Arial" w:hAnsi="Arial"/>
          <w:color w:val="1A1A1A"/>
          <w:sz w:val="20"/>
          <w:szCs w:val="20"/>
        </w:rPr>
        <w:t xml:space="preserve">dc_shipments (771), dc_delivery_events (3,542), dc_carriers (5), dc_event_types (10)</w:t>
      </w:r>
    </w:p>
    <w:p>
      <w:pPr>
        <w:spacing w:after="80"/>
      </w:pPr>
      <w:r>
        <w:rPr>
          <w:rFonts w:ascii="Arial" w:cs="Arial" w:eastAsia="Arial" w:hAnsi="Arial"/>
          <w:color w:val="1A1A1A"/>
          <w:sz w:val="20"/>
          <w:szCs w:val="20"/>
        </w:rPr>
        <w:t xml:space="preserve">771 shipments link EC orders to courier tracking. 5 carriers: NexaMart Logistics (internal/own fleet), DTDC, BlackBuck, Ecom Express, Xpressbees. Each shipment has an origin warehouse or origin store (BOPIS), a promised_delivery_date for SLA measurement, and a sequence of scan events (CREATED → PICKED_UP → IN_TRANSIT → OUT_FOR_DELIVERY → DELIVERED). Timestamps are ISO 8601 with T separator.</w:t>
      </w:r>
    </w:p>
    <w:p>
      <w:pPr>
        <w:spacing w:after="80"/>
      </w:pPr>
      <w:r>
        <w:rPr>
          <w:rFonts w:ascii="Arial" w:cs="Arial" w:eastAsia="Arial" w:hAnsi="Arial"/>
          <w:b/>
          <w:bCs/>
          <w:color w:val="F39C12"/>
          <w:sz w:val="18"/>
          <w:szCs w:val="18"/>
        </w:rPr>
        <w:t xml:space="preserve">⚠ Note: </w:t>
      </w:r>
      <w:r>
        <w:rPr>
          <w:rFonts w:ascii="Arial" w:cs="Arial" w:eastAsia="Arial" w:hAnsi="Arial"/>
          <w:i/>
          <w:iCs/>
          <w:color w:val="7D6608"/>
          <w:sz w:val="18"/>
          <w:szCs w:val="18"/>
        </w:rPr>
        <w:t xml:space="preserve">scan_device_id in dc_delivery_events can be used to identify clock errors from malfunctioning scanner devices.</w:t>
      </w:r>
    </w:p>
    <w:p>
      <w:pPr>
        <w:spacing w:after="120"/>
      </w:pPr>
    </w:p>
    <w:p>
      <w:pPr>
        <w:pStyle w:val="Heading2"/>
      </w:pPr>
      <w:r>
        <w:rPr>
          <w:rFonts w:ascii="Arial" w:cs="Arial" w:eastAsia="Arial" w:hAnsi="Arial"/>
          <w:b/>
          <w:bCs/>
          <w:color w:val="2E86C1"/>
          <w:sz w:val="26"/>
          <w:szCs w:val="26"/>
        </w:rPr>
        <w:t xml:space="preserve">3.7 NexaLocal Classified (nl_*)</w:t>
      </w:r>
    </w:p>
    <w:p>
      <w:pPr>
        <w:spacing w:after="60"/>
      </w:pPr>
    </w:p>
    <w:p>
      <w:pPr>
        <w:spacing w:after="60"/>
      </w:pPr>
      <w:r>
        <w:rPr>
          <w:rFonts w:ascii="Arial" w:cs="Arial" w:eastAsia="Arial" w:hAnsi="Arial"/>
          <w:b/>
          <w:bCs/>
          <w:color w:val="1B4F72"/>
          <w:sz w:val="20"/>
          <w:szCs w:val="20"/>
        </w:rPr>
        <w:t xml:space="preserve">Tables: </w:t>
      </w:r>
      <w:r>
        <w:rPr>
          <w:rFonts w:ascii="Arial" w:cs="Arial" w:eastAsia="Arial" w:hAnsi="Arial"/>
          <w:color w:val="1A1A1A"/>
          <w:sz w:val="20"/>
          <w:szCs w:val="20"/>
        </w:rPr>
        <w:t xml:space="preserve">nl_listings (1,253), nl_listing_events (38,706), nl_user_accounts (356), nl_categories (13), nl_event_types (14)</w:t>
      </w:r>
    </w:p>
    <w:p>
      <w:pPr>
        <w:spacing w:after="80"/>
      </w:pPr>
      <w:r>
        <w:rPr>
          <w:rFonts w:ascii="Arial" w:cs="Arial" w:eastAsia="Arial" w:hAnsi="Arial"/>
          <w:color w:val="1A1A1A"/>
          <w:sz w:val="20"/>
          <w:szCs w:val="20"/>
        </w:rPr>
        <w:t xml:space="preserve">C2C marketplace where individual sellers list second-hand or new items. 1,253 listings — 538 ACTIVE, 449 SOLD (self-declared), 266 EXPIRED. 38,706 engagement events (views, favourites, chats, phone reveals, offers, status changes) make nl_listing_events one of the higher-volume tables. User accounts hold MD5-hashed phone and email for privacy-safe cross-system identity matching.</w:t>
      </w:r>
    </w:p>
    <w:p>
      <w:pPr>
        <w:spacing w:after="80"/>
      </w:pPr>
      <w:r>
        <w:rPr>
          <w:rFonts w:ascii="Arial" w:cs="Arial" w:eastAsia="Arial" w:hAnsi="Arial"/>
          <w:b/>
          <w:bCs/>
          <w:color w:val="F39C12"/>
          <w:sz w:val="18"/>
          <w:szCs w:val="18"/>
        </w:rPr>
        <w:t xml:space="preserve">⚠ Note: </w:t>
      </w:r>
      <w:r>
        <w:rPr>
          <w:rFonts w:ascii="Arial" w:cs="Arial" w:eastAsia="Arial" w:hAnsi="Arial"/>
          <w:i/>
          <w:iCs/>
          <w:color w:val="7D6608"/>
          <w:sz w:val="18"/>
          <w:szCs w:val="18"/>
        </w:rPr>
        <w:t xml:space="preserve">SELLER_SOLD events are self-declarations by sellers. They do NOT confirm a transaction occurred or payment was received. Do not include in revenue or GMV calculations without careful qualification.</w:t>
      </w:r>
    </w:p>
    <w:p>
      <w:pPr>
        <w:spacing w:after="120"/>
      </w:pPr>
    </w:p>
    <w:p>
      <w:pPr>
        <w:pStyle w:val="Heading2"/>
      </w:pPr>
      <w:r>
        <w:rPr>
          <w:rFonts w:ascii="Arial" w:cs="Arial" w:eastAsia="Arial" w:hAnsi="Arial"/>
          <w:b/>
          <w:bCs/>
          <w:color w:val="2E86C1"/>
          <w:sz w:val="26"/>
          <w:szCs w:val="26"/>
        </w:rPr>
        <w:t xml:space="preserve">3.8 Store Inventory (si_*)</w:t>
      </w:r>
    </w:p>
    <w:p>
      <w:pPr>
        <w:spacing w:after="60"/>
      </w:pPr>
    </w:p>
    <w:p>
      <w:pPr>
        <w:spacing w:after="60"/>
      </w:pPr>
      <w:r>
        <w:rPr>
          <w:rFonts w:ascii="Arial" w:cs="Arial" w:eastAsia="Arial" w:hAnsi="Arial"/>
          <w:b/>
          <w:bCs/>
          <w:color w:val="1B4F72"/>
          <w:sz w:val="20"/>
          <w:szCs w:val="20"/>
        </w:rPr>
        <w:t xml:space="preserve">Tables: </w:t>
      </w:r>
      <w:r>
        <w:rPr>
          <w:rFonts w:ascii="Arial" w:cs="Arial" w:eastAsia="Arial" w:hAnsi="Arial"/>
          <w:color w:val="1A1A1A"/>
          <w:sz w:val="20"/>
          <w:szCs w:val="20"/>
        </w:rPr>
        <w:t xml:space="preserve">si_inventory_movements (438,018), si_inventory_snapshots (216,645), si_movement_types (10)</w:t>
      </w:r>
    </w:p>
    <w:p>
      <w:pPr>
        <w:spacing w:after="80"/>
      </w:pPr>
      <w:r>
        <w:rPr>
          <w:rFonts w:ascii="Arial" w:cs="Arial" w:eastAsia="Arial" w:hAnsi="Arial"/>
          <w:color w:val="1A1A1A"/>
          <w:sz w:val="20"/>
          <w:szCs w:val="20"/>
        </w:rPr>
        <w:t xml:space="preserve">The largest system by volume — si_inventory_movements alone is 438,018 rows (52% of the entire database). Daily end-of-day snapshots per store per SKU capture physical_qty, reserved_qty, damaged_qty, returns_awaiting_insp, and sellable_qty. Movement events are recorded from handheld scanners and include a signed quantity_change (positive = inbound, negative = outbound). Dates are DD/MM/YYYY — same as POS, not ISO.</w:t>
      </w:r>
    </w:p>
    <w:p>
      <w:pPr>
        <w:spacing w:after="80"/>
      </w:pPr>
      <w:r>
        <w:rPr>
          <w:rFonts w:ascii="Arial" w:cs="Arial" w:eastAsia="Arial" w:hAnsi="Arial"/>
          <w:b/>
          <w:bCs/>
          <w:color w:val="F39C12"/>
          <w:sz w:val="18"/>
          <w:szCs w:val="18"/>
        </w:rPr>
        <w:t xml:space="preserve">⚠ Note: </w:t>
      </w:r>
      <w:r>
        <w:rPr>
          <w:rFonts w:ascii="Arial" w:cs="Arial" w:eastAsia="Arial" w:hAnsi="Arial"/>
          <w:i/>
          <w:iCs/>
          <w:color w:val="7D6608"/>
          <w:sz w:val="18"/>
          <w:szCs w:val="18"/>
        </w:rPr>
        <w:t xml:space="preserve">sellable_qty = physical_qty − reserved − damaged − returns_awaiting_insp. This is semi-additive: valid to sum across products on the same date, but INVALID to sum across different dates.</w:t>
      </w:r>
    </w:p>
    <w:p>
      <w:pPr>
        <w:spacing w:after="120"/>
      </w:pPr>
    </w:p>
    <w:p>
      <w:pPr>
        <w:pStyle w:val="Heading2"/>
      </w:pPr>
      <w:r>
        <w:rPr>
          <w:rFonts w:ascii="Arial" w:cs="Arial" w:eastAsia="Arial" w:hAnsi="Arial"/>
          <w:b/>
          <w:bCs/>
          <w:color w:val="2E86C1"/>
          <w:sz w:val="26"/>
          <w:szCs w:val="26"/>
        </w:rPr>
        <w:t xml:space="preserve">3.9 Returns &amp; Refunds (rr_*)</w:t>
      </w:r>
    </w:p>
    <w:p>
      <w:pPr>
        <w:spacing w:after="60"/>
      </w:pPr>
    </w:p>
    <w:p>
      <w:pPr>
        <w:spacing w:after="60"/>
      </w:pPr>
      <w:r>
        <w:rPr>
          <w:rFonts w:ascii="Arial" w:cs="Arial" w:eastAsia="Arial" w:hAnsi="Arial"/>
          <w:b/>
          <w:bCs/>
          <w:color w:val="1B4F72"/>
          <w:sz w:val="20"/>
          <w:szCs w:val="20"/>
        </w:rPr>
        <w:t xml:space="preserve">Tables: </w:t>
      </w:r>
      <w:r>
        <w:rPr>
          <w:rFonts w:ascii="Arial" w:cs="Arial" w:eastAsia="Arial" w:hAnsi="Arial"/>
          <w:color w:val="1A1A1A"/>
          <w:sz w:val="20"/>
          <w:szCs w:val="20"/>
        </w:rPr>
        <w:t xml:space="preserve">rr_return_requests (74), rr_return_receipts (74), rr_refund_events (74), rr_return_reasons (12)</w:t>
      </w:r>
    </w:p>
    <w:p>
      <w:pPr>
        <w:spacing w:after="80"/>
      </w:pPr>
      <w:r>
        <w:rPr>
          <w:rFonts w:ascii="Arial" w:cs="Arial" w:eastAsia="Arial" w:hAnsi="Arial"/>
          <w:color w:val="1A1A1A"/>
          <w:sz w:val="20"/>
          <w:szCs w:val="20"/>
        </w:rPr>
        <w:t xml:space="preserve">74 return requests — all linked to EC orders. Return channels are STORE (BORIS — Bring Online Return In-Store) and ONLINE. Reason codes include DEFECTIVE, WRONG_ITEM, SIZE_FIT, NOT_AS_DESCRIBED, and DAMAGED_IN_TRANSIT. Receipts track physical inspection: condition_on_receipt, restocked_qty, damaged_qty, writeoff_qty. Refunds are FULL or PARTIAL.</w:t>
      </w:r>
    </w:p>
    <w:p>
      <w:pPr>
        <w:spacing w:after="80"/>
      </w:pPr>
      <w:r>
        <w:rPr>
          <w:rFonts w:ascii="Arial" w:cs="Arial" w:eastAsia="Arial" w:hAnsi="Arial"/>
          <w:b/>
          <w:bCs/>
          <w:color w:val="F39C12"/>
          <w:sz w:val="18"/>
          <w:szCs w:val="18"/>
        </w:rPr>
        <w:t xml:space="preserve">⚠ Note: </w:t>
      </w:r>
      <w:r>
        <w:rPr>
          <w:rFonts w:ascii="Arial" w:cs="Arial" w:eastAsia="Arial" w:hAnsi="Arial"/>
          <w:i/>
          <w:iCs/>
          <w:color w:val="7D6608"/>
          <w:sz w:val="18"/>
          <w:szCs w:val="18"/>
        </w:rPr>
        <w:t xml:space="preserve">rr_return_requests.return_request_date uses DD-Mon-YYYY format (e.g. '05-Sep-2024') — unique to this table only. Use to_date(col, 'dd-MMM-yyyy').</w:t>
      </w:r>
    </w:p>
    <w:p>
      <w:pPr>
        <w:spacing w:after="120"/>
      </w:pPr>
    </w:p>
    <w:p>
      <w:pPr>
        <w:pStyle w:val="Heading2"/>
      </w:pPr>
      <w:r>
        <w:rPr>
          <w:rFonts w:ascii="Arial" w:cs="Arial" w:eastAsia="Arial" w:hAnsi="Arial"/>
          <w:b/>
          <w:bCs/>
          <w:color w:val="2E86C1"/>
          <w:sz w:val="26"/>
          <w:szCs w:val="26"/>
        </w:rPr>
        <w:t xml:space="preserve">3.10 Reviews &amp; Ratings (rv_*)</w:t>
      </w:r>
    </w:p>
    <w:p>
      <w:pPr>
        <w:spacing w:after="60"/>
      </w:pPr>
    </w:p>
    <w:p>
      <w:pPr>
        <w:spacing w:after="60"/>
      </w:pPr>
      <w:r>
        <w:rPr>
          <w:rFonts w:ascii="Arial" w:cs="Arial" w:eastAsia="Arial" w:hAnsi="Arial"/>
          <w:b/>
          <w:bCs/>
          <w:color w:val="1B4F72"/>
          <w:sz w:val="20"/>
          <w:szCs w:val="20"/>
        </w:rPr>
        <w:t xml:space="preserve">Tables: </w:t>
      </w:r>
      <w:r>
        <w:rPr>
          <w:rFonts w:ascii="Arial" w:cs="Arial" w:eastAsia="Arial" w:hAnsi="Arial"/>
          <w:color w:val="1A1A1A"/>
          <w:sz w:val="20"/>
          <w:szCs w:val="20"/>
        </w:rPr>
        <w:t xml:space="preserve">rv_reviews (377 rows, 16 columns)</w:t>
      </w:r>
    </w:p>
    <w:p>
      <w:pPr>
        <w:spacing w:after="80"/>
      </w:pPr>
      <w:r>
        <w:rPr>
          <w:rFonts w:ascii="Arial" w:cs="Arial" w:eastAsia="Arial" w:hAnsi="Arial"/>
          <w:color w:val="1A1A1A"/>
          <w:sz w:val="20"/>
          <w:szCs w:val="20"/>
        </w:rPr>
        <w:t xml:space="preserve">377 customer reviews covering products (183), stores (111), and marketplace sellers (83). Star ratings 1–5; average ratings: PRODUCT 3.95, STORE 3.77, SELLER 3.53. Key fields: is_verified_purchase (boolean linking to a confirmed order), days_post_delivery (negative = review before delivery — flag for investigation), helpful_count, reported_flag. Timestamps are ISO 8601 with T.</w:t>
      </w:r>
    </w:p>
    <w:p>
      <w:pPr>
        <w:spacing w:after="120"/>
      </w:pPr>
    </w:p>
    <w:p>
      <w:pPr>
        <w:pStyle w:val="Heading2"/>
      </w:pPr>
      <w:r>
        <w:rPr>
          <w:rFonts w:ascii="Arial" w:cs="Arial" w:eastAsia="Arial" w:hAnsi="Arial"/>
          <w:b/>
          <w:bCs/>
          <w:color w:val="2E86C1"/>
          <w:sz w:val="26"/>
          <w:szCs w:val="26"/>
        </w:rPr>
        <w:t xml:space="preserve">3.11 Marketplace / Trust &amp; Safety (ts_*)</w:t>
      </w:r>
    </w:p>
    <w:p>
      <w:pPr>
        <w:spacing w:after="60"/>
      </w:pPr>
    </w:p>
    <w:p>
      <w:pPr>
        <w:spacing w:after="60"/>
      </w:pPr>
      <w:r>
        <w:rPr>
          <w:rFonts w:ascii="Arial" w:cs="Arial" w:eastAsia="Arial" w:hAnsi="Arial"/>
          <w:b/>
          <w:bCs/>
          <w:color w:val="1B4F72"/>
          <w:sz w:val="20"/>
          <w:szCs w:val="20"/>
        </w:rPr>
        <w:t xml:space="preserve">Tables: </w:t>
      </w:r>
      <w:r>
        <w:rPr>
          <w:rFonts w:ascii="Arial" w:cs="Arial" w:eastAsia="Arial" w:hAnsi="Arial"/>
          <w:color w:val="1A1A1A"/>
          <w:sz w:val="20"/>
          <w:szCs w:val="20"/>
        </w:rPr>
        <w:t xml:space="preserve">10 tables — sellers, listings, orders, fulfilment events, safety reports, risk signals</w:t>
      </w:r>
    </w:p>
    <w:p>
      <w:pPr>
        <w:spacing w:after="80"/>
      </w:pPr>
      <w:r>
        <w:rPr>
          <w:rFonts w:ascii="Arial" w:cs="Arial" w:eastAsia="Arial" w:hAnsi="Arial"/>
          <w:color w:val="1A1A1A"/>
          <w:sz w:val="20"/>
          <w:szCs w:val="20"/>
        </w:rPr>
        <w:t xml:space="preserve">100 third-party marketplace sellers in 4 types: Brand Official, Individual Seller, Reseller/Distributor, Small Business. Commission rates vary by seller type. Fulfilment is either FBN (Fulfilled by NexaMart) or SELLER_FULFILLED. 252 marketplace orders, 400 active/ended seller listings. Trust &amp; Safety: 91 user-submitted safety reports and 58 automated ML-generated risk signals with confidence scores (0–1) and a composite default_weight per signal type.</w:t>
      </w:r>
    </w:p>
    <w:p>
      <w:pPr>
        <w:spacing w:after="80"/>
      </w:pPr>
      <w:r>
        <w:rPr>
          <w:rFonts w:ascii="Arial" w:cs="Arial" w:eastAsia="Arial" w:hAnsi="Arial"/>
          <w:b/>
          <w:bCs/>
          <w:color w:val="F39C12"/>
          <w:sz w:val="18"/>
          <w:szCs w:val="18"/>
        </w:rPr>
        <w:t xml:space="preserve">⚠ Note: </w:t>
      </w:r>
      <w:r>
        <w:rPr>
          <w:rFonts w:ascii="Arial" w:cs="Arial" w:eastAsia="Arial" w:hAnsi="Arial"/>
          <w:i/>
          <w:iCs/>
          <w:color w:val="7D6608"/>
          <w:sz w:val="18"/>
          <w:szCs w:val="18"/>
        </w:rPr>
        <w:t xml:space="preserve">fbn_seller_qty in wh_inventory_snapshots tracks FBN stock stored in NexaMart warehouses. This is seller-owned, not NexaMart-owned — exclude it from NexaMart's own inventory totals.</w:t>
      </w:r>
    </w:p>
    <w:p>
      <w:pPr>
        <w:spacing w:after="120"/>
      </w:pPr>
    </w:p>
    <w:p>
      <w:pPr>
        <w:pStyle w:val="Heading2"/>
      </w:pPr>
      <w:r>
        <w:rPr>
          <w:rFonts w:ascii="Arial" w:cs="Arial" w:eastAsia="Arial" w:hAnsi="Arial"/>
          <w:b/>
          <w:bCs/>
          <w:color w:val="2E86C1"/>
          <w:sz w:val="26"/>
          <w:szCs w:val="26"/>
        </w:rPr>
        <w:t xml:space="preserve">3.12 Warehouse &amp; Fulfilment (wh_*)</w:t>
      </w:r>
    </w:p>
    <w:p>
      <w:pPr>
        <w:spacing w:after="60"/>
      </w:pPr>
    </w:p>
    <w:p>
      <w:pPr>
        <w:spacing w:after="60"/>
      </w:pPr>
      <w:r>
        <w:rPr>
          <w:rFonts w:ascii="Arial" w:cs="Arial" w:eastAsia="Arial" w:hAnsi="Arial"/>
          <w:b/>
          <w:bCs/>
          <w:color w:val="1B4F72"/>
          <w:sz w:val="20"/>
          <w:szCs w:val="20"/>
        </w:rPr>
        <w:t xml:space="preserve">Tables: </w:t>
      </w:r>
      <w:r>
        <w:rPr>
          <w:rFonts w:ascii="Arial" w:cs="Arial" w:eastAsia="Arial" w:hAnsi="Arial"/>
          <w:color w:val="1A1A1A"/>
          <w:sz w:val="20"/>
          <w:szCs w:val="20"/>
        </w:rPr>
        <w:t xml:space="preserve">wh_warehouses (3), wh_inventory_movements (30,437), wh_inventory_snapshots (38,610), wh_inbound_receipts (57), wh_movement_types (12)</w:t>
      </w:r>
    </w:p>
    <w:p>
      <w:pPr>
        <w:spacing w:after="80"/>
      </w:pPr>
      <w:r>
        <w:rPr>
          <w:rFonts w:ascii="Arial" w:cs="Arial" w:eastAsia="Arial" w:hAnsi="Arial"/>
          <w:color w:val="1A1A1A"/>
          <w:sz w:val="20"/>
          <w:szCs w:val="20"/>
        </w:rPr>
        <w:t xml:space="preserve">Three regional fulfilment centres: WH-MUM (Mumbai/Bhiwandi, 2.5M sqft), WH-DEL (Delhi NCR/Greater Noida, 2.2M sqft), WH-BLR (Bangalore/Hosur Road, 1.8M sqft). All are REGIONAL_FC type. 57 inbound receipts track expected vs. received vs. accepted quantities from suppliers. Snapshot fields include in_transit_inbound and quarantine_qty in addition to the standard physical/reserved/damaged breakdown. atp_qty (Available-to-Promise) is semi-additive.</w:t>
      </w:r>
    </w:p>
    <w:p>
      <w:pPr>
        <w:spacing w:after="120"/>
      </w:pPr>
    </w:p>
    <w:p>
      <w:pPr>
        <w:pStyle w:val="Heading2"/>
      </w:pPr>
      <w:r>
        <w:rPr>
          <w:rFonts w:ascii="Arial" w:cs="Arial" w:eastAsia="Arial" w:hAnsi="Arial"/>
          <w:b/>
          <w:bCs/>
          <w:color w:val="2E86C1"/>
          <w:sz w:val="26"/>
          <w:szCs w:val="26"/>
        </w:rPr>
        <w:t xml:space="preserve">3.13 Web Clickstream (ws_*)</w:t>
      </w:r>
    </w:p>
    <w:p>
      <w:pPr>
        <w:spacing w:after="60"/>
      </w:pPr>
    </w:p>
    <w:p>
      <w:pPr>
        <w:spacing w:after="60"/>
      </w:pPr>
      <w:r>
        <w:rPr>
          <w:rFonts w:ascii="Arial" w:cs="Arial" w:eastAsia="Arial" w:hAnsi="Arial"/>
          <w:b/>
          <w:bCs/>
          <w:color w:val="1B4F72"/>
          <w:sz w:val="20"/>
          <w:szCs w:val="20"/>
        </w:rPr>
        <w:t xml:space="preserve">Tables: </w:t>
      </w:r>
      <w:r>
        <w:rPr>
          <w:rFonts w:ascii="Arial" w:cs="Arial" w:eastAsia="Arial" w:hAnsi="Arial"/>
          <w:color w:val="1A1A1A"/>
          <w:sz w:val="20"/>
          <w:szCs w:val="20"/>
        </w:rPr>
        <w:t xml:space="preserve">ws_sessions (3,370), ws_page_events (20,757), ws_event_types (17)</w:t>
      </w:r>
    </w:p>
    <w:p>
      <w:pPr>
        <w:spacing w:after="80"/>
      </w:pPr>
      <w:r>
        <w:rPr>
          <w:rFonts w:ascii="Arial" w:cs="Arial" w:eastAsia="Arial" w:hAnsi="Arial"/>
          <w:color w:val="1A1A1A"/>
          <w:sz w:val="20"/>
          <w:szCs w:val="20"/>
        </w:rPr>
        <w:t xml:space="preserve">3,370 web and app sessions with full UTM attribution (utm_campaign, utm_medium, utm_source, utm_content). Sessions tagged 'BTS2024' in utm_campaign are directly campaign-attributed. Device breakdown: DESKTOP, MOBILE, TABLET. Browsers: Chrome, Safari, Firefox, Edge, App. 17 event types mapped to Kimball funnel stages: AWARENESS → CONSIDERATION → INTENT → CONVERSION → POST_PURCHASE. ws_page_events.session_id links to ws_sessions; ec_orders.session_id also links here for order-to-session attribution.</w:t>
      </w:r>
    </w:p>
    <w:p>
      <w:pPr>
        <w:spacing w:after="80"/>
      </w:pPr>
      <w:r>
        <w:rPr>
          <w:rFonts w:ascii="Arial" w:cs="Arial" w:eastAsia="Arial" w:hAnsi="Arial"/>
          <w:b/>
          <w:bCs/>
          <w:color w:val="F39C12"/>
          <w:sz w:val="18"/>
          <w:szCs w:val="18"/>
        </w:rPr>
        <w:t xml:space="preserve">⚠ Note: </w:t>
      </w:r>
      <w:r>
        <w:rPr>
          <w:rFonts w:ascii="Arial" w:cs="Arial" w:eastAsia="Arial" w:hAnsi="Arial"/>
          <w:i/>
          <w:iCs/>
          <w:color w:val="7D6608"/>
          <w:sz w:val="18"/>
          <w:szCs w:val="18"/>
        </w:rPr>
        <w:t xml:space="preserve">Registered sessions have a registered_customer_id FK to cl_customers. Anonymous sessions (NULL customer ID) use anonymous_user_id for device tracking but cannot be matched to loyalty profiles.</w:t>
      </w:r>
    </w:p>
    <w:p>
      <w:pPr>
        <w:spacing w:after="100"/>
      </w:pPr>
    </w:p>
    <w:p>
      <w:r>
        <w:br w:type="page"/>
      </w:r>
    </w:p>
    <w:p>
      <w:pPr>
        <w:pStyle w:val="Heading2"/>
      </w:pPr>
      <w:r>
        <w:rPr>
          <w:rFonts w:ascii="Arial" w:cs="Arial" w:eastAsia="Arial" w:hAnsi="Arial"/>
          <w:b/>
          <w:bCs/>
          <w:color w:val="2E86C1"/>
          <w:sz w:val="26"/>
          <w:szCs w:val="26"/>
        </w:rPr>
        <w:t xml:space="preserve">3.14 Customer Support (cs_*)</w:t>
      </w:r>
    </w:p>
    <w:p>
      <w:pPr>
        <w:spacing w:after="60"/>
      </w:pPr>
    </w:p>
    <w:p>
      <w:pPr>
        <w:spacing w:after="60"/>
      </w:pPr>
      <w:r>
        <w:rPr>
          <w:rFonts w:ascii="Arial" w:cs="Arial" w:eastAsia="Arial" w:hAnsi="Arial"/>
          <w:b/>
          <w:bCs/>
          <w:color w:val="1B4F72"/>
          <w:sz w:val="20"/>
          <w:szCs w:val="20"/>
        </w:rPr>
        <w:t xml:space="preserve">Tables: </w:t>
      </w:r>
      <w:r>
        <w:rPr>
          <w:rFonts w:ascii="Arial" w:cs="Arial" w:eastAsia="Arial" w:hAnsi="Arial"/>
          <w:color w:val="1A1A1A"/>
          <w:sz w:val="20"/>
          <w:szCs w:val="20"/>
        </w:rPr>
        <w:t xml:space="preserve">cs_agents (25), cs_cases (129), cs_case_events (225), cs_complaint_categories (12)</w:t>
      </w:r>
    </w:p>
    <w:p>
      <w:pPr>
        <w:spacing w:after="80"/>
      </w:pPr>
      <w:r>
        <w:rPr>
          <w:rFonts w:ascii="Arial" w:cs="Arial" w:eastAsia="Arial" w:hAnsi="Arial"/>
          <w:color w:val="1A1A1A"/>
          <w:sz w:val="20"/>
          <w:szCs w:val="20"/>
        </w:rPr>
        <w:t xml:space="preserve">25 support agents across 4 teams: TIER_1, TIER_2, ESCALATIONS, SELLER_OPS. 129 cases with complaint categories including ORDER_NOT_RECEIVED, WRONG_ITEM, REFUND_DELAY, SELLER_UNRESPONSIVE, PRODUCT_QUALITY, DELIVERY_DAMAGE, BILLING_ISSUE, GENERAL. Cases track contact channel (CHAT, PHONE, EMAIL, SOCIAL), fault attribution (NEXAMART, SELLER, COURIER, CUSTOMER, UNKNOWN), and resolution outcomes.</w:t>
      </w:r>
    </w:p>
    <w:p>
      <w:pPr>
        <w:spacing w:after="80"/>
      </w:pPr>
      <w:r>
        <w:rPr>
          <w:rFonts w:ascii="Arial" w:cs="Arial" w:eastAsia="Arial" w:hAnsi="Arial"/>
          <w:b/>
          <w:bCs/>
          <w:color w:val="F39C12"/>
          <w:sz w:val="18"/>
          <w:szCs w:val="18"/>
        </w:rPr>
        <w:t xml:space="preserve">⚠ Note: </w:t>
      </w:r>
      <w:r>
        <w:rPr>
          <w:rFonts w:ascii="Arial" w:cs="Arial" w:eastAsia="Arial" w:hAnsi="Arial"/>
          <w:i/>
          <w:iCs/>
          <w:color w:val="7D6608"/>
          <w:sz w:val="18"/>
          <w:szCs w:val="18"/>
        </w:rPr>
        <w:t xml:space="preserve">created_datetime and event_datetime both use YYYY/MM/DD HH:MM format with slashes — not hyphens. No seconds are recorded. Only minute-level granularity is available for support timing metrics.</w:t>
      </w:r>
    </w:p>
    <w:p>
      <w:pPr>
        <w:spacing w:after="100"/>
      </w:pPr>
    </w:p>
    <w:p>
      <w:r>
        <w:br w:type="page"/>
      </w:r>
    </w:p>
    <w:p>
      <w:pPr>
        <w:pStyle w:val="Heading1"/>
      </w:pPr>
      <w:r>
        <w:rPr>
          <w:rFonts w:ascii="Arial" w:cs="Arial" w:eastAsia="Arial" w:hAnsi="Arial"/>
          <w:b/>
          <w:bCs/>
          <w:color w:val="1B4F72"/>
          <w:sz w:val="32"/>
          <w:szCs w:val="32"/>
        </w:rPr>
        <w:t xml:space="preserve">4. Date Formats — Critical Reference</w:t>
      </w:r>
    </w:p>
    <w:p>
      <w:pPr>
        <w:pBdr>
          <w:bottom w:val="single" w:color="2E86C1" w:sz="4" w:space="1"/>
        </w:pBdr>
      </w:pPr>
    </w:p>
    <w:p>
      <w:pPr>
        <w:spacing w:after="80"/>
      </w:pPr>
    </w:p>
    <w:p>
      <w:pPr>
        <w:spacing w:after="80"/>
      </w:pPr>
      <w:r>
        <w:rPr>
          <w:rFonts w:ascii="Arial" w:cs="Arial" w:eastAsia="Arial" w:hAnsi="Arial"/>
          <w:color w:val="1A1A1A"/>
          <w:sz w:val="20"/>
          <w:szCs w:val="20"/>
        </w:rPr>
        <w:t xml:space="preserve">Six distinct date formats are used across the 15 source systems, reflecting real-world heterogeneous data engineering. A PySpark expression that correctly parses EC order dates will silently produce wrong results on POS transaction dates. ALL dates must be standardised to YYYY-MM-DD (ISO 8601) in the Silver layer before any cross-system join or date arithmetic.</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2200"/>
        <w:gridCol w:w="2300"/>
        <w:gridCol w:w="2360"/>
      </w:tblGrid>
      <w:tr>
        <w:tc>
          <w:tcPr>
            <w:tcW w:type="dxa" w:w="14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Format</w:t>
            </w:r>
          </w:p>
        </w:tc>
        <w:tc>
          <w:tcPr>
            <w:tcW w:type="dxa" w:w="11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w:t>
            </w:r>
          </w:p>
        </w:tc>
        <w:tc>
          <w:tcPr>
            <w:tcW w:type="dxa" w:w="22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Tables Affected</w:t>
            </w:r>
          </w:p>
        </w:tc>
        <w:tc>
          <w:tcPr>
            <w:tcW w:type="dxa" w:w="23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PySpark Expression</w:t>
            </w:r>
          </w:p>
        </w:tc>
        <w:tc>
          <w:tcPr>
            <w:tcW w:type="dxa" w:w="236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Pitfalls</w:t>
            </w:r>
          </w:p>
        </w:tc>
      </w:tr>
      <w:tr>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DD/MM/YYYY</w:t>
            </w:r>
          </w:p>
        </w:tc>
        <w:tc>
          <w:tcPr>
            <w:tcW w:type="dxa" w:w="11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08/08/2024</w:t>
            </w:r>
          </w:p>
        </w:tc>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POS transactions, Store Inventory</w:t>
            </w:r>
          </w:p>
        </w:tc>
        <w:tc>
          <w:tcPr>
            <w:tcW w:type="dxa" w:w="23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to_date(col, 'dd/MM/yyyy')</w:t>
            </w:r>
          </w:p>
        </w:tc>
        <w:tc>
          <w:tcPr>
            <w:tcW w:type="dxa" w:w="23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DAY first — very common bug if confused with US format</w:t>
            </w:r>
          </w:p>
        </w:tc>
      </w:tr>
      <w:tr>
        <w:tc>
          <w:tcPr>
            <w:tcW w:type="dxa" w:w="14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YYYY-MM-DD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2024-08-08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 orders, WH snapshots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No conversion — already ISO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Gold standard. Target format for Silver layer.</w:t>
            </w:r>
          </w:p>
        </w:tc>
      </w:tr>
      <w:tr>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UNIX Epoch integer</w:t>
            </w:r>
          </w:p>
        </w:tc>
        <w:tc>
          <w:tcPr>
            <w:tcW w:type="dxa" w:w="11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1723046400</w:t>
            </w:r>
          </w:p>
        </w:tc>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pg_transactions (all timestamp cols)</w:t>
            </w:r>
          </w:p>
        </w:tc>
        <w:tc>
          <w:tcPr>
            <w:tcW w:type="dxa" w:w="23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from_unixtime(col).cast('timestamp')</w:t>
            </w:r>
          </w:p>
        </w:tc>
        <w:tc>
          <w:tcPr>
            <w:tcW w:type="dxa" w:w="23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Seconds since 1970-01-01 UTC. Must convert before any date compare.</w:t>
            </w:r>
          </w:p>
        </w:tc>
      </w:tr>
      <w:tr>
        <w:tc>
          <w:tcPr>
            <w:tcW w:type="dxa" w:w="14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ISO 8601 with 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2024-08-08T14:23:00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Delivery events, WH movements, NexaLocal, Reviews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to_timestamp(col)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Spark auto-parses. Use to_date() to strip time.</w:t>
            </w:r>
          </w:p>
        </w:tc>
      </w:tr>
      <w:tr>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DD-Mon-YYYY</w:t>
            </w:r>
          </w:p>
        </w:tc>
        <w:tc>
          <w:tcPr>
            <w:tcW w:type="dxa" w:w="11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05-Sep-2024</w:t>
            </w:r>
          </w:p>
        </w:tc>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rr_return_requests only</w:t>
            </w:r>
          </w:p>
        </w:tc>
        <w:tc>
          <w:tcPr>
            <w:tcW w:type="dxa" w:w="23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to_date(col, 'dd-MMM-yyyy')</w:t>
            </w:r>
          </w:p>
        </w:tc>
        <w:tc>
          <w:tcPr>
            <w:tcW w:type="dxa" w:w="23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Three-letter English month abbreviation. Unique to this one table.</w:t>
            </w:r>
          </w:p>
        </w:tc>
      </w:tr>
      <w:tr>
        <w:tc>
          <w:tcPr>
            <w:tcW w:type="dxa" w:w="14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YYYY/MM/DD HH:MM</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2024/08/08 14:23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cs_cases, cs_case_events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to_timestamp(col, 'yyyy/MM/dd HH:mm')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Slashes not hyphens. No seconds. Minute-level granularity only.</w:t>
            </w:r>
          </w:p>
        </w:tc>
      </w:tr>
    </w:tbl>
    <w:p>
      <w:pPr>
        <w:spacing w:after="100"/>
      </w:pPr>
    </w:p>
    <w:p>
      <w:pPr>
        <w:spacing w:after="80"/>
      </w:pPr>
      <w:r>
        <w:rPr>
          <w:rFonts w:ascii="Arial" w:cs="Arial" w:eastAsia="Arial" w:hAnsi="Arial"/>
          <w:b/>
          <w:bCs/>
          <w:color w:val="F39C12"/>
          <w:sz w:val="18"/>
          <w:szCs w:val="18"/>
        </w:rPr>
        <w:t xml:space="preserve">⚠ Note: </w:t>
      </w:r>
      <w:r>
        <w:rPr>
          <w:rFonts w:ascii="Arial" w:cs="Arial" w:eastAsia="Arial" w:hAnsi="Arial"/>
          <w:i/>
          <w:iCs/>
          <w:color w:val="7D6608"/>
          <w:sz w:val="18"/>
          <w:szCs w:val="18"/>
        </w:rPr>
        <w:t xml:space="preserve">The DD/MM/YYYY format (POS + Store Inventory) is the most dangerous — the parser will silently accept it as MM/DD/YYYY in some tools. For August data, day 08 and month 08 are the same, masking the bug entirely. Always specify the format string explicitly.</w:t>
      </w:r>
    </w:p>
    <w:p>
      <w:pPr>
        <w:spacing w:after="100"/>
      </w:pPr>
    </w:p>
    <w:p>
      <w:r>
        <w:br w:type="page"/>
      </w:r>
    </w:p>
    <w:p>
      <w:pPr>
        <w:pStyle w:val="Heading1"/>
      </w:pPr>
      <w:r>
        <w:rPr>
          <w:rFonts w:ascii="Arial" w:cs="Arial" w:eastAsia="Arial" w:hAnsi="Arial"/>
          <w:b/>
          <w:bCs/>
          <w:color w:val="1B4F72"/>
          <w:sz w:val="32"/>
          <w:szCs w:val="32"/>
        </w:rPr>
        <w:t xml:space="preserve">5. Foreign Key Relationships</w:t>
      </w:r>
    </w:p>
    <w:p>
      <w:pPr>
        <w:pBdr>
          <w:bottom w:val="single" w:color="2E86C1" w:sz="4" w:space="1"/>
        </w:pBdr>
      </w:pPr>
    </w:p>
    <w:p>
      <w:pPr>
        <w:spacing w:after="80"/>
      </w:pPr>
    </w:p>
    <w:p>
      <w:pPr>
        <w:spacing w:after="80"/>
      </w:pPr>
      <w:r>
        <w:rPr>
          <w:rFonts w:ascii="Arial" w:cs="Arial" w:eastAsia="Arial" w:hAnsi="Arial"/>
          <w:color w:val="1A1A1A"/>
          <w:sz w:val="20"/>
          <w:szCs w:val="20"/>
        </w:rPr>
        <w:t xml:space="preserve">SQLite does not enforce foreign keys in this database (PRAGMA foreign_key_list() returns empty results). The 69 relationships documented in the data dictionary must be enforced manually in Silver joins. The table below lists the key relationships. There are 2 relationship types: PARENT → CHILD (fact-to-fact or fact-to-dimension) and LOOKUP (dimension/reference table).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c>
          <w:tcPr>
            <w:tcW w:type="dxa" w:w="26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 Table</w:t>
            </w:r>
          </w:p>
        </w:tc>
        <w:tc>
          <w:tcPr>
            <w:tcW w:type="dxa" w:w="20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 Column</w:t>
            </w:r>
          </w:p>
        </w:tc>
        <w:tc>
          <w:tcPr>
            <w:tcW w:type="dxa" w:w="26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Target Table</w:t>
            </w:r>
          </w:p>
        </w:tc>
        <w:tc>
          <w:tcPr>
            <w:tcW w:type="dxa" w:w="216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Column</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cl_customers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home_store_id</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pos_stores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store_id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cl_customers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loyalty_tier_id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cl_loyalty_tiers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tier_id</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cl_loyalty_transactions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customer_id</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cl_customers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customer_id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cs_case_events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case_id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cs_cases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case_id</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cs_cases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category_code</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cs_complaint_categories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category_code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dc_delivery_events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shipment_id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dc_shipments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shipment_id</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dc_shipments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order_reference</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ec_orders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order_number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dc_shipments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carrier_id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dc_carriers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carrier_id</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dc_shipments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origin_warehouse_id</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wh_warehouses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warehouse_id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ec_order_lines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order_id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ec_orders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order_id</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ec_order_lines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product_sku</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pc_products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sku</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ec_orders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customer_id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cl_customers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customer_id</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ec_orders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delivery_method_code</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ec_delivery_methods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method_code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nl_listing_events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listing_id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nl_listings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listing_id</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nl_listings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seller_account_id</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nl_user_accounts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account_id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pc_products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category_id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pc_categories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category_id</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pc_products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brand_id</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pc_brands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brand_id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pg_transactions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order_ref</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ec_orders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order_number</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pg_transactions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instrument_type</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pg_instrument_types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type_code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pos_transaction_lines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txn_id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pos_transactions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txn_id</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pos_transactions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store_id</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pos_stores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store_id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pos_transactions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cashier_id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pos_cashiers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cashier_id</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rr_refund_events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return_id</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rr_return_requests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return_id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rr_return_requests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return_reason_code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rr_return_reasons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reason_code</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rv_reviews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product_sku</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pc_products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sku</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rv_reviews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order_ref</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ec_orders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order_number</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si_inventory_movements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store_id</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pos_stores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store_id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si_inventory_snapshots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store_id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pos_stores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store_id</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ts_marketplace_orders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seller_id</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ts_sellers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seller_id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ts_marketplace_orders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buyer_customer_id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cl_customers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customer_id</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ts_risk_signals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signal_type</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ts_signal_types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type_code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ts_sellers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status_code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ts_seller_status_codes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code</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wh_inventory_movements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warehouse_id</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wh_warehouses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warehouse_id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wh_inventory_snapshots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sku</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pc_products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sku</w:t>
            </w:r>
          </w:p>
        </w:tc>
      </w:tr>
      <w:tr>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ws_page_events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session_id</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ws_sessions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session_id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ws_sessions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registered_customer_id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cl_customers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customer_id</w:t>
            </w:r>
          </w:p>
        </w:tc>
      </w:tr>
    </w:tbl>
    <w:p>
      <w:pPr>
        <w:spacing w:after="80"/>
      </w:pPr>
    </w:p>
    <w:p>
      <w:pPr>
        <w:spacing w:after="80"/>
      </w:pPr>
      <w:r>
        <w:rPr>
          <w:rFonts w:ascii="Arial" w:cs="Arial" w:eastAsia="Arial" w:hAnsi="Arial"/>
          <w:b/>
          <w:bCs/>
          <w:color w:val="F39C12"/>
          <w:sz w:val="18"/>
          <w:szCs w:val="18"/>
        </w:rPr>
        <w:t xml:space="preserve">⚠ Note: </w:t>
      </w:r>
      <w:r>
        <w:rPr>
          <w:rFonts w:ascii="Arial" w:cs="Arial" w:eastAsia="Arial" w:hAnsi="Arial"/>
          <w:i/>
          <w:iCs/>
          <w:color w:val="7D6608"/>
          <w:sz w:val="18"/>
          <w:szCs w:val="18"/>
        </w:rPr>
        <w:t xml:space="preserve">Total relationships: 69. This table shows 36 key relationships. Full list is in the 'FK Relationships' sheet of the data dictionary Excel file. Cross-system joins often go through ec_orders.order_number (TEXT) rather than the integer order_id — e.g. dc_shipments and pg_transactions both join on order_number, not order_id.</w:t>
      </w:r>
    </w:p>
    <w:p>
      <w:pPr>
        <w:spacing w:after="100"/>
      </w:pPr>
    </w:p>
    <w:p>
      <w:r>
        <w:br w:type="page"/>
      </w:r>
    </w:p>
    <w:p>
      <w:pPr>
        <w:pStyle w:val="Heading1"/>
      </w:pPr>
      <w:r>
        <w:rPr>
          <w:rFonts w:ascii="Arial" w:cs="Arial" w:eastAsia="Arial" w:hAnsi="Arial"/>
          <w:b/>
          <w:bCs/>
          <w:color w:val="1B4F72"/>
          <w:sz w:val="32"/>
          <w:szCs w:val="32"/>
        </w:rPr>
        <w:t xml:space="preserve">6. Row Count Validation Reference</w:t>
      </w:r>
    </w:p>
    <w:p>
      <w:pPr>
        <w:pBdr>
          <w:bottom w:val="single" w:color="2E86C1" w:sz="4" w:space="1"/>
        </w:pBdr>
      </w:pPr>
    </w:p>
    <w:p>
      <w:pPr>
        <w:spacing w:after="80"/>
      </w:pPr>
    </w:p>
    <w:p>
      <w:pPr>
        <w:spacing w:after="80"/>
      </w:pPr>
      <w:r>
        <w:rPr>
          <w:rFonts w:ascii="Arial" w:cs="Arial" w:eastAsia="Arial" w:hAnsi="Arial"/>
          <w:color w:val="1A1A1A"/>
          <w:sz w:val="20"/>
          <w:szCs w:val="20"/>
        </w:rPr>
        <w:t xml:space="preserve">After Bronze ingestion into Snowflake/Databricks, validate row counts against these exact figures. A mismatch indicates a pipeline truncation, deduplication error, or schema mapping issue. Note: pc_price_history has 0 rows — this is correct and expected.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760"/>
        <w:gridCol w:w="1800"/>
      </w:tblGrid>
      <w:tr>
        <w:tc>
          <w:tcPr>
            <w:tcW w:type="dxa" w:w="22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System</w:t>
            </w:r>
          </w:p>
        </w:tc>
        <w:tc>
          <w:tcPr>
            <w:tcW w:type="dxa" w:w="36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 Name</w:t>
            </w:r>
          </w:p>
        </w:tc>
        <w:tc>
          <w:tcPr>
            <w:tcW w:type="dxa" w:w="176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Rows</w:t>
            </w:r>
          </w:p>
        </w:tc>
        <w:tc>
          <w:tcPr>
            <w:tcW w:type="dxa" w:w="18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Validation SQL</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 &amp; Loyalty</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cl_customers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2,501</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cl_customers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 &amp; Loyalty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cl_loyalty_tiers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cl_loyalty_tiers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 &amp; Loyalty</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cl_loyalty_transactions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2,860</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cl_loyalty_transactions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 Support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cs_agents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cs_agents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 Support</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cs_case_events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225</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cs_case_events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 Support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cs_cases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129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cs_cases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 Support</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cs_complaint_categories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12</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cs_complaint_categories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Delivery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dc_carriers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dc_carriers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Delivery</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dc_delivery_events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3,542</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dc_delivery_events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Delivery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dc_event_types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dc_event_types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Delivery</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dc_shipments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771</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dc_shipments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Ecommerce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ec_delivery_methods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ec_delivery_methods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Ecommerce</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ec_order_lines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1,840</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ec_order_lines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Ecommerce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ec_order_status_codes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ec_order_status_codes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Ecommerce</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ec_order_status_history</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3,307</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ec_order_status_history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Ecommerce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ec_orders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963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ec_orders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NexaLocal</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nl_categories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13</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nl_categories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NexaLocal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nl_event_types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nl_event_types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NexaLocal</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nl_listing_events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38,706</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nl_listing_events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NexaLocal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nl_listings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1,253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nl_listings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NexaLocal</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nl_user_accounts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356</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nl_user_accounts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Product Catalogue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pc_brands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pc_brands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Product Catalogue</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pc_categories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27</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pc_categories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Product Catalogue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pc_condition_codes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pc_condition_codes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Product Catalogue</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pc_price_history</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0 (empty)</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pc_price_history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Product Catalogue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pc_products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65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pc_products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Payment Gateway</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pg_instrument_types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12</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pg_instrument_types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Payment Gateway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pg_status_codes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pg_status_codes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Payment Gateway</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pg_transactions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963</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pg_transactions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pos_cashiers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160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pos_cashiers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POS</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pos_payment_methods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7</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pos_payment_methods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pos_status_codes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pos_status_codes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POS</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pos_stores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20</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pos_stores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pos_transaction_lines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24,507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pos_transaction_lines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POS</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pos_transactions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10,868</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pos_transactions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Returns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rr_refund_events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74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rr_refund_events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Returns</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rr_return_reasons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12</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rr_return_reasons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Returns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rr_return_receipts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74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rr_return_receipts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Returns</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rr_return_requests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74</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rr_return_requests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Reviews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rv_reviews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377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rv_reviews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Store Inventory</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si_inventory_movements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438,018</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si_inventory_movements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Store Inventory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si_inventory_snapshots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216,645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si_inventory_snapshots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Store Inventory</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si_movement_types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10</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si_movement_types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Marketplace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ts_fulfilment_events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593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ts_fulfilment_events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Marketplace</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ts_marketplace_orders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252</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ts_marketplace_orders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Trust &amp; Safety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ts_report_reasons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ts_report_reasons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Trust &amp; Safety</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ts_risk_signals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58</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ts_risk_signals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Trust &amp; Safety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ts_safety_reports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91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ts_safety_reports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Marketplace</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ts_seller_listings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400</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ts_seller_listings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Marketplace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ts_seller_status_codes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ts_seller_status_codes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Marketplace</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ts_seller_types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ts_seller_types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Marketplace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ts_sellers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ts_sellers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Trust &amp; Safety</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ts_signal_types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10</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ts_signal_types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Warehouse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wh_inbound_receipts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57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wh_inbound_receipts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Warehouse</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wh_inventory_movements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30,437</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wh_inventory_movements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Warehouse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wh_inventory_snapshots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38,610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wh_inventory_snapshots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Warehouse</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wh_movement_types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12</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wh_movement_types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Warehouse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wh_warehouses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wh_warehouses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Clickstream</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ws_event_types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17</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ws_event_types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Clickstream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ws_page_events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20,757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ws_page_events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Clickstream</w:t>
            </w:r>
          </w:p>
        </w:tc>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ws_sessions</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3,370</w:t>
            </w:r>
          </w:p>
        </w:tc>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SELECT COUNT(*) FROM ws_sessions</w:t>
            </w:r>
          </w:p>
        </w:tc>
      </w:tr>
    </w:tbl>
    <w:p>
      <w:pPr>
        <w:spacing w:after="80"/>
      </w:pPr>
    </w:p>
    <w:p>
      <w:pPr>
        <w:spacing w:after="80"/>
      </w:pPr>
      <w:r>
        <w:rPr>
          <w:rFonts w:ascii="Arial" w:cs="Arial" w:eastAsia="Arial" w:hAnsi="Arial"/>
          <w:b/>
          <w:bCs/>
          <w:color w:val="1B4F72"/>
          <w:sz w:val="22"/>
          <w:szCs w:val="22"/>
        </w:rPr>
        <w:t xml:space="preserve">TOTAL — 61 Tables: </w:t>
      </w:r>
      <w:r>
        <w:rPr>
          <w:rFonts w:ascii="Arial" w:cs="Arial" w:eastAsia="Arial" w:hAnsi="Arial"/>
          <w:b/>
          <w:bCs/>
          <w:color w:val="1E8449"/>
          <w:sz w:val="22"/>
          <w:szCs w:val="22"/>
        </w:rPr>
        <w:t xml:space="preserve">843,304 rows</w:t>
      </w:r>
    </w:p>
    <w:p>
      <w:pPr>
        <w:spacing w:after="100"/>
      </w:pPr>
    </w:p>
    <w:p>
      <w:r>
        <w:br w:type="page"/>
      </w:r>
    </w:p>
    <w:p>
      <w:pPr>
        <w:pStyle w:val="Heading1"/>
      </w:pPr>
      <w:r>
        <w:rPr>
          <w:rFonts w:ascii="Arial" w:cs="Arial" w:eastAsia="Arial" w:hAnsi="Arial"/>
          <w:b/>
          <w:bCs/>
          <w:color w:val="1B4F72"/>
          <w:sz w:val="32"/>
          <w:szCs w:val="32"/>
        </w:rPr>
        <w:t xml:space="preserve">7. Key Engineering Notes &amp; Pitfalls</w:t>
      </w:r>
    </w:p>
    <w:p>
      <w:pPr>
        <w:pBdr>
          <w:bottom w:val="single" w:color="2E86C1" w:sz="4" w:space="1"/>
        </w:pBdr>
      </w:pPr>
    </w:p>
    <w:p>
      <w:pPr>
        <w:spacing w:after="80"/>
      </w:pPr>
    </w:p>
    <w:p>
      <w:pPr>
        <w:spacing w:after="40"/>
      </w:pPr>
      <w:r>
        <w:rPr>
          <w:rFonts w:ascii="Arial" w:cs="Arial" w:eastAsia="Arial" w:hAnsi="Arial"/>
          <w:b/>
          <w:bCs/>
          <w:color w:val="1B4F72"/>
          <w:sz w:val="22"/>
          <w:szCs w:val="22"/>
        </w:rPr>
        <w:t xml:space="preserve">Cross-Channel Revenue (NCR)</w:t>
      </w:r>
    </w:p>
    <w:p>
      <w:pPr>
        <w:spacing w:after="120"/>
      </w:pPr>
      <w:r>
        <w:rPr>
          <w:rFonts w:ascii="Arial" w:cs="Arial" w:eastAsia="Arial" w:hAnsi="Arial"/>
          <w:color w:val="1A1A1A"/>
          <w:sz w:val="20"/>
          <w:szCs w:val="20"/>
        </w:rPr>
        <w:t xml:space="preserve">Always use tax-EXCLUSIVE values for cross-channel comparisons: ec_orders.subtotal_excl_tax and pos_transactions.sub_total. Never use total_amount_incl_tax from POS — it is tax-inclusive and will inflate comparisons. Deduct shipping_fee from EC revenue for Net Channel Revenue.</w:t>
      </w:r>
    </w:p>
    <w:p>
      <w:pPr>
        <w:spacing w:after="40"/>
      </w:pPr>
      <w:r>
        <w:rPr>
          <w:rFonts w:ascii="Arial" w:cs="Arial" w:eastAsia="Arial" w:hAnsi="Arial"/>
          <w:b/>
          <w:bCs/>
          <w:color w:val="1B4F72"/>
          <w:sz w:val="22"/>
          <w:szCs w:val="22"/>
        </w:rPr>
        <w:t xml:space="preserve">UNIX Epoch Timestamps</w:t>
      </w:r>
    </w:p>
    <w:p>
      <w:pPr>
        <w:spacing w:after="120"/>
      </w:pPr>
      <w:r>
        <w:rPr>
          <w:rFonts w:ascii="Arial" w:cs="Arial" w:eastAsia="Arial" w:hAnsi="Arial"/>
          <w:color w:val="1A1A1A"/>
          <w:sz w:val="20"/>
          <w:szCs w:val="20"/>
        </w:rPr>
        <w:t xml:space="preserve">pg_transactions stores ALL 4 timestamp columns as plain integers (seconds since 1970-01-01 UTC). This is the only table using this format. Apply from_unixtime(col).cast('timestamp') before any date filter or join. Failure to convert produces no error — it will silently return wrong results.</w:t>
      </w:r>
    </w:p>
    <w:p>
      <w:pPr>
        <w:spacing w:after="40"/>
      </w:pPr>
      <w:r>
        <w:rPr>
          <w:rFonts w:ascii="Arial" w:cs="Arial" w:eastAsia="Arial" w:hAnsi="Arial"/>
          <w:b/>
          <w:bCs/>
          <w:color w:val="1B4F72"/>
          <w:sz w:val="22"/>
          <w:szCs w:val="22"/>
        </w:rPr>
        <w:t xml:space="preserve">DD/MM/YYYY vs YYYY-MM-DD</w:t>
      </w:r>
    </w:p>
    <w:p>
      <w:pPr>
        <w:spacing w:after="120"/>
      </w:pPr>
      <w:r>
        <w:rPr>
          <w:rFonts w:ascii="Arial" w:cs="Arial" w:eastAsia="Arial" w:hAnsi="Arial"/>
          <w:color w:val="1A1A1A"/>
          <w:sz w:val="20"/>
          <w:szCs w:val="20"/>
        </w:rPr>
        <w:t xml:space="preserve">POS and Store Inventory use DD/MM/YYYY. Ecommerce uses YYYY-MM-DD. A naive string sort or substring extraction (year = col[:4]) will work on EC data but break silently on POS data. Always apply format-specific to_date() expressions in Silver.</w:t>
      </w:r>
    </w:p>
    <w:p>
      <w:pPr>
        <w:spacing w:after="40"/>
      </w:pPr>
      <w:r>
        <w:rPr>
          <w:rFonts w:ascii="Arial" w:cs="Arial" w:eastAsia="Arial" w:hAnsi="Arial"/>
          <w:b/>
          <w:bCs/>
          <w:color w:val="1B4F72"/>
          <w:sz w:val="22"/>
          <w:szCs w:val="22"/>
        </w:rPr>
        <w:t xml:space="preserve">SQLite FK Non-Enforcement</w:t>
      </w:r>
    </w:p>
    <w:p>
      <w:pPr>
        <w:spacing w:after="120"/>
      </w:pPr>
      <w:r>
        <w:rPr>
          <w:rFonts w:ascii="Arial" w:cs="Arial" w:eastAsia="Arial" w:hAnsi="Arial"/>
          <w:color w:val="1A1A1A"/>
          <w:sz w:val="20"/>
          <w:szCs w:val="20"/>
        </w:rPr>
        <w:t xml:space="preserve">PRAGMA foreign_key_list() returns empty for all tables. Referential integrity is NOT enforced at the database level. Orphaned rows, NULL FK values, and soft deletes exist. Always validate join coverage in Silver (count mismatched / non-matching keys).</w:t>
      </w:r>
    </w:p>
    <w:p>
      <w:pPr>
        <w:spacing w:after="40"/>
      </w:pPr>
      <w:r>
        <w:rPr>
          <w:rFonts w:ascii="Arial" w:cs="Arial" w:eastAsia="Arial" w:hAnsi="Arial"/>
          <w:b/>
          <w:bCs/>
          <w:color w:val="1B4F72"/>
          <w:sz w:val="22"/>
          <w:szCs w:val="22"/>
        </w:rPr>
        <w:t xml:space="preserve">NexaLocal SELLER_SOLD Events</w:t>
      </w:r>
    </w:p>
    <w:p>
      <w:pPr>
        <w:spacing w:after="120"/>
      </w:pPr>
      <w:r>
        <w:rPr>
          <w:rFonts w:ascii="Arial" w:cs="Arial" w:eastAsia="Arial" w:hAnsi="Arial"/>
          <w:color w:val="1A1A1A"/>
          <w:sz w:val="20"/>
          <w:szCs w:val="20"/>
        </w:rPr>
        <w:t xml:space="preserve">SELLER_SOLD events in nl_listing_events are self-declarations by sellers — not confirmed transactions. A seller may mark a listing 'sold' without a payment being made. Do not count these as GMV without explicit qualification.</w:t>
      </w:r>
    </w:p>
    <w:p>
      <w:pPr>
        <w:spacing w:after="40"/>
      </w:pPr>
      <w:r>
        <w:rPr>
          <w:rFonts w:ascii="Arial" w:cs="Arial" w:eastAsia="Arial" w:hAnsi="Arial"/>
          <w:b/>
          <w:bCs/>
          <w:color w:val="1B4F72"/>
          <w:sz w:val="22"/>
          <w:szCs w:val="22"/>
        </w:rPr>
        <w:t xml:space="preserve">pc_price_history is Empty</w:t>
      </w:r>
    </w:p>
    <w:p>
      <w:pPr>
        <w:spacing w:after="120"/>
      </w:pPr>
      <w:r>
        <w:rPr>
          <w:rFonts w:ascii="Arial" w:cs="Arial" w:eastAsia="Arial" w:hAnsi="Arial"/>
          <w:color w:val="1A1A1A"/>
          <w:sz w:val="20"/>
          <w:szCs w:val="20"/>
        </w:rPr>
        <w:t xml:space="preserve">pc_price_history has 0 rows in this export. Historical RRP/cost changes are not available. Use pc_products.rrp and pc_products.standard_cost as the current (point-in-time) values for all margin calculations.</w:t>
      </w:r>
    </w:p>
    <w:p>
      <w:pPr>
        <w:spacing w:after="40"/>
      </w:pPr>
      <w:r>
        <w:rPr>
          <w:rFonts w:ascii="Arial" w:cs="Arial" w:eastAsia="Arial" w:hAnsi="Arial"/>
          <w:b/>
          <w:bCs/>
          <w:color w:val="1B4F72"/>
          <w:sz w:val="22"/>
          <w:szCs w:val="22"/>
        </w:rPr>
        <w:t xml:space="preserve">Semi-Additive Inventory Metrics</w:t>
      </w:r>
    </w:p>
    <w:p>
      <w:pPr>
        <w:spacing w:after="120"/>
      </w:pPr>
      <w:r>
        <w:rPr>
          <w:rFonts w:ascii="Arial" w:cs="Arial" w:eastAsia="Arial" w:hAnsi="Arial"/>
          <w:color w:val="1A1A1A"/>
          <w:sz w:val="20"/>
          <w:szCs w:val="20"/>
        </w:rPr>
        <w:t xml:space="preserve">sellable_qty (si_inventory_snapshots) and atp_qty (wh_inventory_snapshots) are SEMI-ADDITIVE facts. They can be summed across products on a given date, but summing across dates produces meaningless results. Use LAST_VALUE window functions for date-range inventory analysis.</w:t>
      </w:r>
    </w:p>
    <w:p>
      <w:pPr>
        <w:spacing w:after="40"/>
      </w:pPr>
      <w:r>
        <w:rPr>
          <w:rFonts w:ascii="Arial" w:cs="Arial" w:eastAsia="Arial" w:hAnsi="Arial"/>
          <w:b/>
          <w:bCs/>
          <w:color w:val="1B4F72"/>
          <w:sz w:val="22"/>
          <w:szCs w:val="22"/>
        </w:rPr>
        <w:t xml:space="preserve">FBN Seller Stock Separation</w:t>
      </w:r>
    </w:p>
    <w:p>
      <w:pPr>
        <w:spacing w:after="120"/>
      </w:pPr>
      <w:r>
        <w:rPr>
          <w:rFonts w:ascii="Arial" w:cs="Arial" w:eastAsia="Arial" w:hAnsi="Arial"/>
          <w:color w:val="1A1A1A"/>
          <w:sz w:val="20"/>
          <w:szCs w:val="20"/>
        </w:rPr>
        <w:t xml:space="preserve">wh_inventory_snapshots.fbn_seller_qty represents stock belonging to FBN marketplace sellers stored in NexaMart warehouses. This stock is NOT NexaMart-owned. Exclude it from NexaMart's own inventory counts and ATP calculations.</w:t>
      </w:r>
    </w:p>
    <w:p>
      <w:pPr>
        <w:spacing w:after="40"/>
      </w:pPr>
      <w:r>
        <w:rPr>
          <w:rFonts w:ascii="Arial" w:cs="Arial" w:eastAsia="Arial" w:hAnsi="Arial"/>
          <w:b/>
          <w:bCs/>
          <w:color w:val="1B4F72"/>
          <w:sz w:val="22"/>
          <w:szCs w:val="22"/>
        </w:rPr>
        <w:t xml:space="preserve">Identity Resolution Across Systems</w:t>
      </w:r>
    </w:p>
    <w:p>
      <w:pPr>
        <w:spacing w:after="120"/>
      </w:pPr>
      <w:r>
        <w:rPr>
          <w:rFonts w:ascii="Arial" w:cs="Arial" w:eastAsia="Arial" w:hAnsi="Arial"/>
          <w:color w:val="1A1A1A"/>
          <w:sz w:val="20"/>
          <w:szCs w:val="20"/>
        </w:rPr>
        <w:t xml:space="preserve">cl_customers uses customer_id (integer) and loyalty_number (LY-XXXXXX text). EC orders use customer_id. POS uses loyalty_card_number. NexaLocal uses hashed phone/email. Cross-system customer matching requires: (1) loyalty_number ↔ loyalty_card_number for POS, (2) MD5 hash matching for NexaLocal, (3) session_id for clickstream attribution.</w:t>
      </w:r>
    </w:p>
    <w:p>
      <w:pPr>
        <w:spacing w:after="40"/>
      </w:pPr>
      <w:r>
        <w:rPr>
          <w:rFonts w:ascii="Arial" w:cs="Arial" w:eastAsia="Arial" w:hAnsi="Arial"/>
          <w:b/>
          <w:bCs/>
          <w:color w:val="1B4F72"/>
          <w:sz w:val="22"/>
          <w:szCs w:val="22"/>
        </w:rPr>
        <w:t xml:space="preserve">Customer Support Date Format</w:t>
      </w:r>
    </w:p>
    <w:p>
      <w:pPr>
        <w:spacing w:after="120"/>
      </w:pPr>
      <w:r>
        <w:rPr>
          <w:rFonts w:ascii="Arial" w:cs="Arial" w:eastAsia="Arial" w:hAnsi="Arial"/>
          <w:color w:val="1A1A1A"/>
          <w:sz w:val="20"/>
          <w:szCs w:val="20"/>
        </w:rPr>
        <w:t xml:space="preserve">cs_cases and cs_case_events use YYYY/MM/DD HH:MM with slashes and no seconds. Only minute-level SLA measurement is possible. Do not attempt second-level resolution time calculations.</w:t>
      </w:r>
    </w:p>
    <w:p>
      <w:r>
        <w:br w:type="page"/>
      </w:r>
    </w:p>
    <w:p>
      <w:pPr>
        <w:pStyle w:val="Heading1"/>
      </w:pPr>
      <w:r>
        <w:rPr>
          <w:rFonts w:ascii="Arial" w:cs="Arial" w:eastAsia="Arial" w:hAnsi="Arial"/>
          <w:b/>
          <w:bCs/>
          <w:color w:val="1B4F72"/>
          <w:sz w:val="32"/>
          <w:szCs w:val="32"/>
        </w:rPr>
        <w:t xml:space="preserve">8. Quick Reference — Joins &amp; Key IDs</w:t>
      </w:r>
    </w:p>
    <w:p>
      <w:pPr>
        <w:pBdr>
          <w:bottom w:val="single" w:color="2E86C1" w:sz="4" w:space="1"/>
        </w:pBdr>
      </w:pPr>
    </w:p>
    <w:p>
      <w:pPr>
        <w:spacing w:after="80"/>
      </w:pPr>
    </w:p>
    <w:p>
      <w:pPr>
        <w:spacing w:after="120"/>
      </w:pPr>
      <w:r>
        <w:rPr>
          <w:rFonts w:ascii="Arial" w:cs="Arial" w:eastAsia="Arial" w:hAnsi="Arial"/>
          <w:color w:val="1A1A1A"/>
          <w:sz w:val="20"/>
          <w:szCs w:val="20"/>
        </w:rPr>
        <w:t xml:space="preserve">This section provides a rapid lookup for the most common cross-system join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Join Pattern</w:t>
            </w:r>
          </w:p>
        </w:tc>
        <w:tc>
          <w:tcPr>
            <w:tcW w:type="dxa" w:w="368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Left Key</w:t>
            </w:r>
          </w:p>
        </w:tc>
        <w:tc>
          <w:tcPr>
            <w:tcW w:type="dxa" w:w="368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Right Key</w:t>
            </w:r>
          </w:p>
        </w:tc>
      </w:tr>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 ↔ Loyalty</w:t>
            </w:r>
          </w:p>
        </w:tc>
        <w:tc>
          <w:tcPr>
            <w:tcW w:type="dxa" w:w="36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pos_transactions.loyalty_card_number</w:t>
            </w:r>
          </w:p>
        </w:tc>
        <w:tc>
          <w:tcPr>
            <w:tcW w:type="dxa" w:w="36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cl_customers.loyalty_number</w:t>
            </w:r>
          </w:p>
        </w:tc>
      </w:tr>
      <w:tr>
        <w:tc>
          <w:tcPr>
            <w:tcW w:type="dxa" w:w="20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EC ↔ Loyalty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ec_orders.customer_id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cl_customers.customer_id</w:t>
            </w:r>
          </w:p>
        </w:tc>
      </w:tr>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EC ↔ Payment GW</w:t>
            </w:r>
          </w:p>
        </w:tc>
        <w:tc>
          <w:tcPr>
            <w:tcW w:type="dxa" w:w="36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pg_transactions.order_ref</w:t>
            </w:r>
          </w:p>
        </w:tc>
        <w:tc>
          <w:tcPr>
            <w:tcW w:type="dxa" w:w="36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ec_orders.order_number</w:t>
            </w:r>
          </w:p>
        </w:tc>
      </w:tr>
      <w:tr>
        <w:tc>
          <w:tcPr>
            <w:tcW w:type="dxa" w:w="20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EC ↔ Shipment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dc_shipments.order_reference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ec_orders.order_number</w:t>
            </w:r>
          </w:p>
        </w:tc>
      </w:tr>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EC ↔ Clickstream</w:t>
            </w:r>
          </w:p>
        </w:tc>
        <w:tc>
          <w:tcPr>
            <w:tcW w:type="dxa" w:w="36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ec_orders.session_id</w:t>
            </w:r>
          </w:p>
        </w:tc>
        <w:tc>
          <w:tcPr>
            <w:tcW w:type="dxa" w:w="36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ws_sessions.session_id</w:t>
            </w:r>
          </w:p>
        </w:tc>
      </w:tr>
      <w:tr>
        <w:tc>
          <w:tcPr>
            <w:tcW w:type="dxa" w:w="20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EC ↔ Returns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rr_return_requests.original_order_ref</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ec_orders.order_number</w:t>
            </w:r>
          </w:p>
        </w:tc>
      </w:tr>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EC ↔ Reviews</w:t>
            </w:r>
          </w:p>
        </w:tc>
        <w:tc>
          <w:tcPr>
            <w:tcW w:type="dxa" w:w="36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rv_reviews.order_ref</w:t>
            </w:r>
          </w:p>
        </w:tc>
        <w:tc>
          <w:tcPr>
            <w:tcW w:type="dxa" w:w="36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ec_orders.order_number</w:t>
            </w:r>
          </w:p>
        </w:tc>
      </w:tr>
      <w:tr>
        <w:tc>
          <w:tcPr>
            <w:tcW w:type="dxa" w:w="20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Any ↔ Product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*.product_sku / product_code / sku</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pc_products.sku</w:t>
            </w:r>
          </w:p>
        </w:tc>
      </w:tr>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Marketplace ↔ EC</w:t>
            </w:r>
          </w:p>
        </w:tc>
        <w:tc>
          <w:tcPr>
            <w:tcW w:type="dxa" w:w="36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ts_marketplace_orders.linked_nexamart_order_id</w:t>
            </w:r>
          </w:p>
        </w:tc>
        <w:tc>
          <w:tcPr>
            <w:tcW w:type="dxa" w:w="36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ec_orders.order_id</w:t>
            </w:r>
          </w:p>
        </w:tc>
      </w:tr>
      <w:tr>
        <w:tc>
          <w:tcPr>
            <w:tcW w:type="dxa" w:w="20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Shipment ↔ Warehouse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dc_shipments.origin_warehouse_id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wh_warehouses.warehouse_id</w:t>
            </w:r>
          </w:p>
        </w:tc>
      </w:tr>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Store Inv ↔ POS Store</w:t>
            </w:r>
          </w:p>
        </w:tc>
        <w:tc>
          <w:tcPr>
            <w:tcW w:type="dxa" w:w="36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si_inventory_snapshots.store_id</w:t>
            </w:r>
          </w:p>
        </w:tc>
        <w:tc>
          <w:tcPr>
            <w:tcW w:type="dxa" w:w="36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pos_stores.store_id</w:t>
            </w:r>
          </w:p>
        </w:tc>
      </w:tr>
      <w:tr>
        <w:tc>
          <w:tcPr>
            <w:tcW w:type="dxa" w:w="20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NexaLocal ↔ Loyalty (hashed)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nl_user_accounts.email_hash / phone_hash</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MD5(cl_customers.email / phone)</w:t>
            </w:r>
          </w:p>
        </w:tc>
      </w:tr>
    </w:tbl>
    <w:p>
      <w:pPr>
        <w:spacing w:after="100"/>
      </w:pPr>
    </w:p>
    <w:p>
      <w:pPr>
        <w:spacing w:after="100"/>
      </w:pPr>
    </w:p>
    <w:p>
      <w:pPr>
        <w:pStyle w:val="Heading2"/>
      </w:pPr>
      <w:r>
        <w:rPr>
          <w:rFonts w:ascii="Arial" w:cs="Arial" w:eastAsia="Arial" w:hAnsi="Arial"/>
          <w:b/>
          <w:bCs/>
          <w:color w:val="2E86C1"/>
          <w:sz w:val="26"/>
          <w:szCs w:val="26"/>
        </w:rPr>
        <w:t xml:space="preserve">8.1 Payment Instrument Codes</w:t>
      </w:r>
    </w:p>
    <w:p>
      <w:pPr>
        <w:spacing w:after="60"/>
      </w:pPr>
    </w:p>
    <w:p>
      <w:pPr>
        <w:spacing w:after="80"/>
      </w:pPr>
      <w:r>
        <w:rPr>
          <w:rFonts w:ascii="Arial" w:cs="Arial" w:eastAsia="Arial" w:hAnsi="Arial"/>
          <w:color w:val="1A1A1A"/>
          <w:sz w:val="20"/>
          <w:szCs w:val="20"/>
        </w:rPr>
        <w:t xml:space="preserve">CC_VISA · CC_MC · CC_AMEX · DC_VISA · DC_RUP (RuPay) · UPI_GPY (Google Pay) · UPI_PHN (PhonePe) · UPI_PTM (Paytm) · BNPL_ZST (ZestMoney) · BNPL_SIM (Simpl) · CASH · LYP (Loyalty Points)</w:t>
      </w:r>
    </w:p>
    <w:p>
      <w:pPr>
        <w:spacing w:after="100"/>
      </w:pPr>
    </w:p>
    <w:p>
      <w:pPr>
        <w:pStyle w:val="Heading2"/>
      </w:pPr>
      <w:r>
        <w:rPr>
          <w:rFonts w:ascii="Arial" w:cs="Arial" w:eastAsia="Arial" w:hAnsi="Arial"/>
          <w:b/>
          <w:bCs/>
          <w:color w:val="2E86C1"/>
          <w:sz w:val="26"/>
          <w:szCs w:val="26"/>
        </w:rPr>
        <w:t xml:space="preserve">8.2 Loyalty Tier Quick Reference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500"/>
        <w:gridCol w:w="2130"/>
        <w:gridCol w:w="2130"/>
      </w:tblGrid>
      <w:tr>
        <w:tc>
          <w:tcPr>
            <w:tcW w:type="dxa" w:w="10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tier_id</w:t>
            </w:r>
          </w:p>
        </w:tc>
        <w:tc>
          <w:tcPr>
            <w:tcW w:type="dxa" w:w="16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tier_code</w:t>
            </w:r>
          </w:p>
        </w:tc>
        <w:tc>
          <w:tcPr>
            <w:tcW w:type="dxa" w:w="250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tier_name</w:t>
            </w:r>
          </w:p>
        </w:tc>
        <w:tc>
          <w:tcPr>
            <w:tcW w:type="dxa" w:w="213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 Annual Spend</w:t>
            </w:r>
          </w:p>
        </w:tc>
        <w:tc>
          <w:tcPr>
            <w:tcW w:type="dxa" w:w="2130"/>
            <w:gridSpan w:val="1"/>
            <w:tcBorders>
              <w:top w:val="single" w:color="2E86C1" w:sz="1"/>
              <w:left w:val="single" w:color="2E86C1" w:sz="1"/>
              <w:bottom w:val="single" w:color="2E86C1" w:sz="1"/>
              <w:right w:val="single" w:color="2E86C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Points Multiplier</w:t>
            </w:r>
          </w:p>
        </w:tc>
      </w:tr>
      <w:tr>
        <w:tc>
          <w:tcPr>
            <w:tcW w:type="dxa" w:w="1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1</w:t>
            </w:r>
          </w:p>
        </w:tc>
        <w:tc>
          <w:tcPr>
            <w:tcW w:type="dxa" w:w="1600"/>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SILVER</w:t>
            </w:r>
          </w:p>
        </w:tc>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Silver Member</w:t>
            </w:r>
          </w:p>
        </w:tc>
        <w:tc>
          <w:tcPr>
            <w:tcW w:type="dxa" w:w="213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₹0 (entry level)</w:t>
            </w:r>
          </w:p>
        </w:tc>
        <w:tc>
          <w:tcPr>
            <w:tcW w:type="dxa" w:w="213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2</w:t>
            </w:r>
          </w:p>
        </w:tc>
        <w:tc>
          <w:tcPr>
            <w:tcW w:type="dxa" w:w="16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GOLD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Gold Member</w:t>
            </w:r>
          </w:p>
        </w:tc>
        <w:tc>
          <w:tcPr>
            <w:tcW w:type="dxa" w:w="2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₹25,000</w:t>
            </w:r>
          </w:p>
        </w:tc>
        <w:tc>
          <w:tcPr>
            <w:tcW w:type="dxa" w:w="2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1.5×</w:t>
            </w:r>
          </w:p>
        </w:tc>
      </w:tr>
      <w:tr>
        <w:tc>
          <w:tcPr>
            <w:tcW w:type="dxa" w:w="1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color w:val="1A1A1A"/>
                <w:sz w:val="18"/>
                <w:szCs w:val="18"/>
              </w:rPr>
              <w:t xml:space="preserve">3</w:t>
            </w:r>
          </w:p>
        </w:tc>
        <w:tc>
          <w:tcPr>
            <w:tcW w:type="dxa" w:w="1600"/>
            <w:tcBorders>
              <w:top w:val="single" w:color="CCCCCC" w:sz="1"/>
              <w:left w:val="single" w:color="CCCCCC" w:sz="1"/>
              <w:bottom w:val="single" w:color="CCCCCC" w:sz="1"/>
              <w:right w:val="single" w:color="CCCCCC" w:sz="1"/>
            </w:tcBorders>
            <w:shd w:fill="7D3C9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PLATINUM</w:t>
            </w:r>
          </w:p>
        </w:tc>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Platinum Member</w:t>
            </w:r>
          </w:p>
        </w:tc>
        <w:tc>
          <w:tcPr>
            <w:tcW w:type="dxa" w:w="213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₹75,000</w:t>
            </w:r>
          </w:p>
        </w:tc>
        <w:tc>
          <w:tcPr>
            <w:tcW w:type="dxa" w:w="213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A1A1A"/>
                <w:sz w:val="18"/>
                <w:szCs w:val="18"/>
              </w:rPr>
              <w:t xml:space="preserve">4</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NEXAELITE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NexaElite Member</w:t>
            </w:r>
          </w:p>
        </w:tc>
        <w:tc>
          <w:tcPr>
            <w:tcW w:type="dxa" w:w="2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₹200,000</w:t>
            </w:r>
          </w:p>
        </w:tc>
        <w:tc>
          <w:tcPr>
            <w:tcW w:type="dxa" w:w="2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3.0×</w:t>
            </w:r>
          </w:p>
        </w:tc>
      </w:tr>
    </w:tbl>
    <w:p>
      <w:pPr>
        <w:spacing w:after="100"/>
      </w:pPr>
    </w:p>
    <w:p>
      <w:pPr>
        <w:spacing w:after="200"/>
      </w:pPr>
    </w:p>
    <w:p>
      <w:pPr>
        <w:pBdr>
          <w:bottom w:val="single" w:color="2E86C1" w:sz="4" w:space="1"/>
        </w:pBdr>
      </w:pPr>
    </w:p>
    <w:p>
      <w:pPr>
        <w:spacing w:after="80"/>
      </w:pPr>
    </w:p>
    <w:p>
      <w:pPr>
        <w:jc w:val="center"/>
      </w:pPr>
      <w:r>
        <w:rPr>
          <w:rFonts w:ascii="Arial" w:cs="Arial" w:eastAsia="Arial" w:hAnsi="Arial"/>
          <w:i/>
          <w:iCs/>
          <w:color w:val="666666"/>
          <w:sz w:val="16"/>
          <w:szCs w:val="16"/>
        </w:rPr>
        <w:t xml:space="preserve">NexaMart Operations Database — Comprehensive Reference  |  Generated from nexamart_operations.db + nexamart_data_dictionary_student.xlsx</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360"/>
      </w:tabs>
    </w:pPr>
    <w:r>
      <w:rPr>
        <w:rFonts w:ascii="Arial" w:cs="Arial" w:eastAsia="Arial" w:hAnsi="Arial"/>
        <w:color w:val="666666"/>
        <w:sz w:val="18"/>
        <w:szCs w:val="18"/>
      </w:rPr>
      <w:t xml:space="preserve">NexaMart Operations Database — Comprehensive Reference</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2026-05-16T14:02:09.595Z</dcterms:created>
  <dcterms:modified xsi:type="dcterms:W3CDTF">2026-05-16T14:02:09.607Z</dcterms:modified>
</cp:coreProperties>
</file>

<file path=docProps/custom.xml><?xml version="1.0" encoding="utf-8"?>
<Properties xmlns="http://schemas.openxmlformats.org/officeDocument/2006/custom-properties" xmlns:vt="http://schemas.openxmlformats.org/officeDocument/2006/docPropsVTypes"/>
</file>