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E7E5" w14:textId="77777777" w:rsidR="00BD40CC" w:rsidRPr="006C0FEA" w:rsidRDefault="00BD40CC">
      <w:pPr>
        <w:rPr>
          <w:rFonts w:ascii="Cambria" w:hAnsi="Cambria"/>
          <w:lang w:val="en-US"/>
        </w:rPr>
      </w:pPr>
    </w:p>
    <w:p w14:paraId="06FC06C0" w14:textId="77777777" w:rsidR="00BD40CC" w:rsidRPr="006C0FEA" w:rsidRDefault="00BD40CC">
      <w:pPr>
        <w:rPr>
          <w:rFonts w:ascii="Cambria" w:hAnsi="Cambria"/>
          <w:lang w:val="en-US"/>
        </w:rPr>
      </w:pPr>
    </w:p>
    <w:p w14:paraId="0D9B9CF7" w14:textId="77777777" w:rsidR="00BD40CC" w:rsidRPr="006C0FEA" w:rsidRDefault="00000000">
      <w:pPr>
        <w:jc w:val="right"/>
        <w:rPr>
          <w:rFonts w:ascii="Cambria" w:hAnsi="Cambria"/>
          <w:lang w:val="en-US"/>
        </w:rPr>
      </w:pPr>
      <w:r w:rsidRPr="006C0FEA">
        <w:rPr>
          <w:rFonts w:ascii="Cambria" w:hAnsi="Cambria"/>
          <w:lang w:val="en-US"/>
        </w:rPr>
        <w:t>Kigali, 3 June 2026</w:t>
      </w:r>
    </w:p>
    <w:p w14:paraId="25E15F76" w14:textId="77777777" w:rsidR="00BD40CC" w:rsidRPr="006C0FEA" w:rsidRDefault="00BD40CC">
      <w:pPr>
        <w:rPr>
          <w:rFonts w:ascii="Cambria" w:hAnsi="Cambria"/>
          <w:lang w:val="en-US"/>
        </w:rPr>
      </w:pPr>
    </w:p>
    <w:p w14:paraId="52180064" w14:textId="77777777" w:rsidR="00BD40CC" w:rsidRPr="006C0FEA" w:rsidRDefault="00000000">
      <w:pPr>
        <w:rPr>
          <w:rFonts w:ascii="Cambria" w:hAnsi="Cambria"/>
          <w:lang w:val="en-US"/>
        </w:rPr>
      </w:pPr>
      <w:r w:rsidRPr="006C0FEA">
        <w:rPr>
          <w:rFonts w:ascii="Cambria" w:hAnsi="Cambria"/>
          <w:b/>
          <w:bCs/>
          <w:lang w:val="en-US"/>
        </w:rPr>
        <w:t>To</w:t>
      </w:r>
    </w:p>
    <w:p w14:paraId="7DD3E3F3" w14:textId="4C523C25" w:rsidR="00BD40CC" w:rsidRPr="006C0FEA" w:rsidRDefault="00000000">
      <w:pPr>
        <w:rPr>
          <w:rFonts w:ascii="Cambria" w:hAnsi="Cambria"/>
          <w:lang w:val="en-US"/>
        </w:rPr>
      </w:pPr>
      <w:r w:rsidRPr="006C0FEA">
        <w:rPr>
          <w:rFonts w:ascii="Cambria" w:hAnsi="Cambria"/>
          <w:b/>
          <w:bCs/>
          <w:lang w:val="en-US"/>
        </w:rPr>
        <w:t xml:space="preserve">His </w:t>
      </w:r>
      <w:r w:rsidR="00E424D8">
        <w:rPr>
          <w:rFonts w:ascii="Cambria" w:hAnsi="Cambria"/>
          <w:b/>
          <w:bCs/>
          <w:lang w:val="en-US"/>
        </w:rPr>
        <w:t>Honorable</w:t>
      </w:r>
      <w:r w:rsidRPr="006C0FEA">
        <w:rPr>
          <w:rFonts w:ascii="Cambria" w:hAnsi="Cambria"/>
          <w:b/>
          <w:bCs/>
          <w:lang w:val="en-US"/>
        </w:rPr>
        <w:t xml:space="preserve"> the Minister of Infrastructure (MININFRA)</w:t>
      </w:r>
    </w:p>
    <w:p w14:paraId="69F68FAA" w14:textId="77777777" w:rsidR="00BD40CC" w:rsidRPr="006C0FEA" w:rsidRDefault="00000000">
      <w:pPr>
        <w:rPr>
          <w:rFonts w:ascii="Cambria" w:hAnsi="Cambria"/>
          <w:lang w:val="en-US"/>
        </w:rPr>
      </w:pPr>
      <w:r w:rsidRPr="006C0FEA">
        <w:rPr>
          <w:rFonts w:ascii="Cambria" w:hAnsi="Cambria"/>
          <w:b/>
          <w:bCs/>
          <w:lang w:val="en-US"/>
        </w:rPr>
        <w:t>And to</w:t>
      </w:r>
    </w:p>
    <w:p w14:paraId="32F2677E" w14:textId="6E6303F6" w:rsidR="00BD40CC" w:rsidRDefault="00000000">
      <w:pPr>
        <w:rPr>
          <w:rFonts w:ascii="Cambria" w:hAnsi="Cambria"/>
          <w:b/>
          <w:bCs/>
          <w:lang w:val="en-US"/>
        </w:rPr>
      </w:pPr>
      <w:r w:rsidRPr="006C0FEA">
        <w:rPr>
          <w:rFonts w:ascii="Cambria" w:hAnsi="Cambria"/>
          <w:b/>
          <w:bCs/>
          <w:lang w:val="en-US"/>
        </w:rPr>
        <w:t xml:space="preserve">His </w:t>
      </w:r>
      <w:r w:rsidR="00E424D8">
        <w:rPr>
          <w:rFonts w:ascii="Cambria" w:hAnsi="Cambria"/>
          <w:b/>
          <w:bCs/>
          <w:lang w:val="en-US"/>
        </w:rPr>
        <w:t>Honorable</w:t>
      </w:r>
      <w:r w:rsidRPr="006C0FEA">
        <w:rPr>
          <w:rFonts w:ascii="Cambria" w:hAnsi="Cambria"/>
          <w:b/>
          <w:bCs/>
          <w:lang w:val="en-US"/>
        </w:rPr>
        <w:t xml:space="preserve"> the Minister of Finance and Economic Planning (MINECOFIN)</w:t>
      </w:r>
    </w:p>
    <w:p w14:paraId="4D17AE0E" w14:textId="77777777" w:rsidR="004847BF" w:rsidRPr="006C0FEA" w:rsidRDefault="004847BF">
      <w:pPr>
        <w:rPr>
          <w:rFonts w:ascii="Cambria" w:hAnsi="Cambria"/>
          <w:lang w:val="en-US"/>
        </w:rPr>
      </w:pPr>
    </w:p>
    <w:p w14:paraId="78138600" w14:textId="0C60BF94" w:rsidR="00BD40CC" w:rsidRPr="004847BF" w:rsidRDefault="00000000">
      <w:pPr>
        <w:spacing w:after="200"/>
        <w:rPr>
          <w:rFonts w:ascii="Cambria" w:hAnsi="Cambria"/>
          <w:lang w:val="en-US"/>
        </w:rPr>
      </w:pPr>
      <w:r w:rsidRPr="004847BF">
        <w:rPr>
          <w:rFonts w:ascii="Cambria" w:hAnsi="Cambria"/>
          <w:b/>
          <w:bCs/>
          <w:sz w:val="24"/>
          <w:szCs w:val="24"/>
          <w:u w:val="single"/>
          <w:lang w:val="en-US"/>
        </w:rPr>
        <w:t>Subject</w:t>
      </w:r>
      <w:r w:rsidRPr="004847BF">
        <w:rPr>
          <w:rFonts w:ascii="Cambria" w:hAnsi="Cambria"/>
          <w:b/>
          <w:bCs/>
          <w:sz w:val="24"/>
          <w:szCs w:val="24"/>
          <w:lang w:val="en-US"/>
        </w:rPr>
        <w:t xml:space="preserve">: </w:t>
      </w:r>
      <w:r w:rsidRPr="004847BF">
        <w:rPr>
          <w:rFonts w:ascii="Cambria" w:hAnsi="Cambria"/>
          <w:b/>
          <w:bCs/>
          <w:lang w:val="en-US"/>
        </w:rPr>
        <w:t>Request for Authorization to Recruit an Accredited Consultant and</w:t>
      </w:r>
      <w:r w:rsidR="006C0FEA" w:rsidRPr="004847BF">
        <w:rPr>
          <w:rFonts w:ascii="Cambria" w:hAnsi="Cambria"/>
          <w:b/>
          <w:bCs/>
          <w:lang w:val="en-US"/>
        </w:rPr>
        <w:t xml:space="preserve"> </w:t>
      </w:r>
      <w:r w:rsidR="004847BF" w:rsidRPr="004847BF">
        <w:rPr>
          <w:rFonts w:ascii="Cambria" w:hAnsi="Cambria"/>
          <w:b/>
          <w:bCs/>
          <w:lang w:val="en-US"/>
        </w:rPr>
        <w:t>retender —</w:t>
      </w:r>
      <w:r w:rsidRPr="004847BF">
        <w:rPr>
          <w:rFonts w:ascii="Cambria" w:hAnsi="Cambria"/>
          <w:b/>
          <w:bCs/>
          <w:lang w:val="en-US"/>
        </w:rPr>
        <w:t xml:space="preserve"> KCSS Project</w:t>
      </w:r>
    </w:p>
    <w:p w14:paraId="2008AD9B" w14:textId="2EF66222" w:rsidR="00BD40CC" w:rsidRPr="006C0FEA" w:rsidRDefault="00000000">
      <w:pPr>
        <w:spacing w:after="200"/>
        <w:rPr>
          <w:rFonts w:ascii="Cambria" w:hAnsi="Cambria"/>
          <w:lang w:val="en-US"/>
        </w:rPr>
      </w:pPr>
      <w:r w:rsidRPr="006C0FEA">
        <w:rPr>
          <w:rFonts w:ascii="Cambria" w:hAnsi="Cambria"/>
          <w:lang w:val="en-US"/>
        </w:rPr>
        <w:t xml:space="preserve">Your </w:t>
      </w:r>
      <w:r w:rsidR="004847BF">
        <w:rPr>
          <w:rFonts w:ascii="Cambria" w:hAnsi="Cambria"/>
          <w:lang w:val="en-US"/>
        </w:rPr>
        <w:t>Honorables</w:t>
      </w:r>
      <w:r w:rsidRPr="006C0FEA">
        <w:rPr>
          <w:rFonts w:ascii="Cambria" w:hAnsi="Cambria"/>
          <w:lang w:val="en-US"/>
        </w:rPr>
        <w:t>,</w:t>
      </w:r>
    </w:p>
    <w:p w14:paraId="07F8D3AD" w14:textId="21194A9C" w:rsidR="00BD40CC" w:rsidRPr="006C0FEA" w:rsidRDefault="00000000">
      <w:pPr>
        <w:spacing w:after="200"/>
        <w:jc w:val="both"/>
        <w:rPr>
          <w:rFonts w:ascii="Cambria" w:hAnsi="Cambria"/>
          <w:lang w:val="en-US"/>
        </w:rPr>
      </w:pPr>
      <w:r w:rsidRPr="006C0FEA">
        <w:rPr>
          <w:rFonts w:ascii="Cambria" w:hAnsi="Cambria"/>
          <w:lang w:val="en-US"/>
        </w:rPr>
        <w:t xml:space="preserve">The Kigali Centralized Sewerage System (KCSS) is Rwanda's first centralized sewerage infrastructure at scale. This strategic project is financed by the European Investment Bank (EIB) and the African Development Bank (AfDB). It was awarded to CRCEG (China Railway Construction Engineering Group Co. </w:t>
      </w:r>
      <w:r w:rsidRPr="004847BF">
        <w:rPr>
          <w:rFonts w:ascii="Cambria" w:hAnsi="Cambria"/>
          <w:lang w:val="en-US"/>
        </w:rPr>
        <w:t xml:space="preserve">Ltd), with CES Consulting Engineers as the supervision consultant. </w:t>
      </w:r>
      <w:r w:rsidRPr="006C0FEA">
        <w:rPr>
          <w:rFonts w:ascii="Cambria" w:hAnsi="Cambria"/>
          <w:lang w:val="en-US"/>
        </w:rPr>
        <w:t>To date, the design has reached 90.</w:t>
      </w:r>
      <w:r w:rsidR="004847BF">
        <w:rPr>
          <w:rFonts w:ascii="Cambria" w:hAnsi="Cambria"/>
          <w:lang w:val="en-US"/>
        </w:rPr>
        <w:t>6</w:t>
      </w:r>
      <w:r w:rsidRPr="006C0FEA">
        <w:rPr>
          <w:rFonts w:ascii="Cambria" w:hAnsi="Cambria"/>
          <w:lang w:val="en-US"/>
        </w:rPr>
        <w:t xml:space="preserve">% completion; however, this was achieved after a cumulative delay of more than </w:t>
      </w:r>
      <w:r w:rsidR="004847BF">
        <w:rPr>
          <w:rFonts w:ascii="Cambria" w:hAnsi="Cambria"/>
          <w:lang w:val="en-US"/>
        </w:rPr>
        <w:t>30</w:t>
      </w:r>
      <w:r w:rsidRPr="006C0FEA">
        <w:rPr>
          <w:rFonts w:ascii="Cambria" w:hAnsi="Cambria"/>
          <w:lang w:val="en-US"/>
        </w:rPr>
        <w:t xml:space="preserve"> months against an initial contractual design period of 6 months. Given the contractor's persistent failures — including failure to mobilize qualified staff, poor quality of deliverables, and inability to meet contractual obligations — WASAC Group formally notified the termination of the contract with CRCEG on 8 May 2026.</w:t>
      </w:r>
    </w:p>
    <w:p w14:paraId="6FDD4872" w14:textId="77777777" w:rsidR="00BD40CC" w:rsidRPr="006C0FEA" w:rsidRDefault="00000000">
      <w:pPr>
        <w:spacing w:after="200"/>
        <w:jc w:val="both"/>
        <w:rPr>
          <w:rFonts w:ascii="Cambria" w:hAnsi="Cambria"/>
          <w:lang w:val="en-US"/>
        </w:rPr>
      </w:pPr>
      <w:r w:rsidRPr="006C0FEA">
        <w:rPr>
          <w:rFonts w:ascii="Cambria" w:hAnsi="Cambria"/>
          <w:lang w:val="en-US"/>
        </w:rPr>
        <w:t>Following this termination, WASAC Group must take urgent action to safeguard the available financing, whose disbursement deadlines are set at 28 December 2027 for the EIB and 30 June 2028 for the AfDB.</w:t>
      </w:r>
    </w:p>
    <w:p w14:paraId="17312AE3" w14:textId="334FC19A" w:rsidR="00BD40CC" w:rsidRPr="006C0FEA" w:rsidRDefault="00000000">
      <w:pPr>
        <w:spacing w:after="200"/>
        <w:jc w:val="both"/>
        <w:rPr>
          <w:rFonts w:ascii="Cambria" w:hAnsi="Cambria"/>
          <w:lang w:val="en-US"/>
        </w:rPr>
      </w:pPr>
      <w:r w:rsidRPr="006C0FEA">
        <w:rPr>
          <w:rFonts w:ascii="Cambria" w:hAnsi="Cambria"/>
          <w:lang w:val="en-US"/>
        </w:rPr>
        <w:t>It is important to highlight that this proposed approach was discussed with the African Development Bank team during their most recent supervision mission</w:t>
      </w:r>
      <w:r w:rsidR="004847BF">
        <w:rPr>
          <w:rFonts w:ascii="Cambria" w:hAnsi="Cambria"/>
          <w:lang w:val="en-US"/>
        </w:rPr>
        <w:t xml:space="preserve"> from 4 – 19 May 2026</w:t>
      </w:r>
      <w:r w:rsidRPr="006C0FEA">
        <w:rPr>
          <w:rFonts w:ascii="Cambria" w:hAnsi="Cambria"/>
          <w:lang w:val="en-US"/>
        </w:rPr>
        <w:t xml:space="preserve"> and received a </w:t>
      </w:r>
      <w:proofErr w:type="spellStart"/>
      <w:r w:rsidRPr="006C0FEA">
        <w:rPr>
          <w:rFonts w:ascii="Cambria" w:hAnsi="Cambria"/>
          <w:lang w:val="en-US"/>
        </w:rPr>
        <w:t>favourable</w:t>
      </w:r>
      <w:proofErr w:type="spellEnd"/>
      <w:r w:rsidRPr="006C0FEA">
        <w:rPr>
          <w:rFonts w:ascii="Cambria" w:hAnsi="Cambria"/>
          <w:lang w:val="en-US"/>
        </w:rPr>
        <w:t xml:space="preserve"> assessment. The AfDB found the approach consistent with the financing timeline constraints and well-suited to the current stage of project design.</w:t>
      </w:r>
    </w:p>
    <w:p w14:paraId="5447087A" w14:textId="77777777" w:rsidR="00BD40CC" w:rsidRPr="006C0FEA" w:rsidRDefault="00000000">
      <w:pPr>
        <w:spacing w:after="200"/>
        <w:jc w:val="both"/>
        <w:rPr>
          <w:rFonts w:ascii="Cambria" w:hAnsi="Cambria"/>
          <w:lang w:val="en-US"/>
        </w:rPr>
      </w:pPr>
      <w:r w:rsidRPr="006C0FEA">
        <w:rPr>
          <w:rFonts w:ascii="Cambria" w:hAnsi="Cambria"/>
          <w:lang w:val="en-US"/>
        </w:rPr>
        <w:t>In this context, WASAC Group respectfully requests the authorization and endorsement of both Ministries for the following two-step approach:</w:t>
      </w:r>
    </w:p>
    <w:p w14:paraId="441D0B22" w14:textId="6FFEC9C2" w:rsidR="00BD40CC" w:rsidRPr="006C0FEA" w:rsidRDefault="00000000">
      <w:pPr>
        <w:spacing w:after="200"/>
        <w:jc w:val="both"/>
        <w:rPr>
          <w:rFonts w:ascii="Cambria" w:hAnsi="Cambria"/>
          <w:lang w:val="en-US"/>
        </w:rPr>
      </w:pPr>
      <w:r w:rsidRPr="006C0FEA">
        <w:rPr>
          <w:rFonts w:ascii="Cambria" w:hAnsi="Cambria"/>
          <w:lang w:val="en-US"/>
        </w:rPr>
        <w:t>First, to recruit a consultant accredited by the Ministry of Infrastructure (MININFRA) to review and validate the existing design (90.</w:t>
      </w:r>
      <w:r w:rsidR="004847BF">
        <w:rPr>
          <w:rFonts w:ascii="Cambria" w:hAnsi="Cambria"/>
          <w:lang w:val="en-US"/>
        </w:rPr>
        <w:t>6</w:t>
      </w:r>
      <w:r w:rsidRPr="006C0FEA">
        <w:rPr>
          <w:rFonts w:ascii="Cambria" w:hAnsi="Cambria"/>
          <w:lang w:val="en-US"/>
        </w:rPr>
        <w:t xml:space="preserve">% complete) and finalize the remaining </w:t>
      </w:r>
      <w:r w:rsidR="004847BF">
        <w:rPr>
          <w:rFonts w:ascii="Cambria" w:hAnsi="Cambria"/>
          <w:lang w:val="en-US"/>
        </w:rPr>
        <w:t>9.4</w:t>
      </w:r>
      <w:r w:rsidRPr="006C0FEA">
        <w:rPr>
          <w:rFonts w:ascii="Cambria" w:hAnsi="Cambria"/>
          <w:lang w:val="en-US"/>
        </w:rPr>
        <w:t>%. This step is essential to obtain a certified and complete design package that will serve as the basis for the works tender.</w:t>
      </w:r>
    </w:p>
    <w:p w14:paraId="2940F6E3" w14:textId="77777777" w:rsidR="00BD40CC" w:rsidRPr="006C0FEA" w:rsidRDefault="00000000">
      <w:pPr>
        <w:spacing w:after="200"/>
        <w:jc w:val="both"/>
        <w:rPr>
          <w:rFonts w:ascii="Cambria" w:hAnsi="Cambria"/>
          <w:lang w:val="en-US"/>
        </w:rPr>
      </w:pPr>
      <w:r w:rsidRPr="006C0FEA">
        <w:rPr>
          <w:rFonts w:ascii="Cambria" w:hAnsi="Cambria"/>
          <w:lang w:val="en-US"/>
        </w:rPr>
        <w:t>Second, on the basis of the validated and completed design, to launch an international competitive tender for the implementation of the project. This approach entails migrating from the original FIDIC Yellow Book contract form (design and build) to the FIDIC Red Book contract form (construction only), thereby entrusting the works to a contractor specialized in execution on the basis of a certified design.</w:t>
      </w:r>
    </w:p>
    <w:p w14:paraId="3C4C2CA5" w14:textId="60B33318" w:rsidR="00BD40CC" w:rsidRPr="006C0FEA" w:rsidRDefault="00000000">
      <w:pPr>
        <w:spacing w:after="200"/>
        <w:jc w:val="both"/>
        <w:rPr>
          <w:rFonts w:ascii="Cambria" w:hAnsi="Cambria"/>
          <w:lang w:val="en-US"/>
        </w:rPr>
      </w:pPr>
      <w:r w:rsidRPr="006C0FEA">
        <w:rPr>
          <w:rFonts w:ascii="Cambria" w:hAnsi="Cambria"/>
          <w:lang w:val="en-US"/>
        </w:rPr>
        <w:t>This migration to the Red Book represents the most secure and expeditious path to completing this project, while ensuring full compliance with lender requirements, preserving the entirety of the mobilized financing, and adhering to implementation deadlines.</w:t>
      </w:r>
    </w:p>
    <w:p w14:paraId="51598909" w14:textId="55BC1907" w:rsidR="00BD40CC" w:rsidRPr="006C0FEA" w:rsidRDefault="00000000">
      <w:pPr>
        <w:spacing w:after="200"/>
        <w:jc w:val="both"/>
        <w:rPr>
          <w:rFonts w:ascii="Cambria" w:hAnsi="Cambria"/>
          <w:lang w:val="en-US"/>
        </w:rPr>
      </w:pPr>
      <w:r w:rsidRPr="006C0FEA">
        <w:rPr>
          <w:rFonts w:ascii="Cambria" w:hAnsi="Cambria"/>
          <w:lang w:val="en-US"/>
        </w:rPr>
        <w:t>We remain at your full disposal for any additional information and would be grateful for your decisions at the earliest convenience.</w:t>
      </w:r>
    </w:p>
    <w:p w14:paraId="72EB08F7" w14:textId="77777777" w:rsidR="00BD40CC" w:rsidRPr="006C0FEA" w:rsidRDefault="00BD40CC">
      <w:pPr>
        <w:rPr>
          <w:rFonts w:ascii="Cambria" w:hAnsi="Cambria"/>
          <w:lang w:val="en-US"/>
        </w:rPr>
      </w:pPr>
    </w:p>
    <w:p w14:paraId="3DC3DEBF" w14:textId="7970A472" w:rsidR="00BD40CC" w:rsidRPr="006C0FEA" w:rsidRDefault="00000000">
      <w:pPr>
        <w:spacing w:after="200"/>
        <w:rPr>
          <w:rFonts w:ascii="Cambria" w:hAnsi="Cambria"/>
          <w:lang w:val="en-US"/>
        </w:rPr>
      </w:pPr>
      <w:r w:rsidRPr="006C0FEA">
        <w:rPr>
          <w:rFonts w:ascii="Cambria" w:hAnsi="Cambria"/>
          <w:lang w:val="en-US"/>
        </w:rPr>
        <w:lastRenderedPageBreak/>
        <w:t xml:space="preserve">Please accept, Your </w:t>
      </w:r>
      <w:r w:rsidR="004847BF">
        <w:rPr>
          <w:rFonts w:ascii="Cambria" w:hAnsi="Cambria"/>
          <w:lang w:val="en-US"/>
        </w:rPr>
        <w:t>Honorables Ministers</w:t>
      </w:r>
      <w:r w:rsidRPr="006C0FEA">
        <w:rPr>
          <w:rFonts w:ascii="Cambria" w:hAnsi="Cambria"/>
          <w:lang w:val="en-US"/>
        </w:rPr>
        <w:t>, the assurances of our highest consideration</w:t>
      </w:r>
      <w:r w:rsidR="004847BF">
        <w:rPr>
          <w:rFonts w:ascii="Cambria" w:hAnsi="Cambria"/>
          <w:lang w:val="en-US"/>
        </w:rPr>
        <w:t>s</w:t>
      </w:r>
      <w:r w:rsidRPr="006C0FEA">
        <w:rPr>
          <w:rFonts w:ascii="Cambria" w:hAnsi="Cambria"/>
          <w:lang w:val="en-US"/>
        </w:rPr>
        <w:t>.</w:t>
      </w:r>
    </w:p>
    <w:p w14:paraId="1E451856" w14:textId="77777777" w:rsidR="00BD40CC" w:rsidRPr="006C0FEA" w:rsidRDefault="00BD40CC">
      <w:pPr>
        <w:rPr>
          <w:rFonts w:ascii="Cambria" w:hAnsi="Cambria"/>
          <w:lang w:val="en-US"/>
        </w:rPr>
      </w:pPr>
    </w:p>
    <w:p w14:paraId="5BC351A4" w14:textId="77777777" w:rsidR="00BD40CC" w:rsidRPr="006C0FEA" w:rsidRDefault="00BD40CC">
      <w:pPr>
        <w:rPr>
          <w:rFonts w:ascii="Cambria" w:hAnsi="Cambria"/>
          <w:lang w:val="en-US"/>
        </w:rPr>
      </w:pPr>
    </w:p>
    <w:p w14:paraId="6F1FD578" w14:textId="77777777" w:rsidR="00BD40CC" w:rsidRPr="006C0FEA" w:rsidRDefault="00000000">
      <w:pPr>
        <w:rPr>
          <w:rFonts w:ascii="Cambria" w:hAnsi="Cambria"/>
          <w:lang w:val="en-US"/>
        </w:rPr>
      </w:pPr>
      <w:r w:rsidRPr="006C0FEA">
        <w:rPr>
          <w:rFonts w:ascii="Cambria" w:hAnsi="Cambria"/>
          <w:b/>
          <w:bCs/>
          <w:lang w:val="en-US"/>
        </w:rPr>
        <w:t>Dr Asaph KABAASHA</w:t>
      </w:r>
    </w:p>
    <w:p w14:paraId="334D5514" w14:textId="77777777" w:rsidR="00BD40CC" w:rsidRPr="006C0FEA" w:rsidRDefault="00000000">
      <w:pPr>
        <w:rPr>
          <w:rFonts w:ascii="Cambria" w:hAnsi="Cambria"/>
          <w:lang w:val="en-US"/>
        </w:rPr>
      </w:pPr>
      <w:r w:rsidRPr="006C0FEA">
        <w:rPr>
          <w:rFonts w:ascii="Cambria" w:hAnsi="Cambria"/>
          <w:lang w:val="en-US"/>
        </w:rPr>
        <w:t>Chief Executive Officer</w:t>
      </w:r>
    </w:p>
    <w:p w14:paraId="38C5BD1A" w14:textId="77777777" w:rsidR="00BD40CC" w:rsidRPr="006C0FEA" w:rsidRDefault="00000000">
      <w:pPr>
        <w:rPr>
          <w:rFonts w:ascii="Cambria" w:hAnsi="Cambria"/>
        </w:rPr>
      </w:pPr>
      <w:r w:rsidRPr="006C0FEA">
        <w:rPr>
          <w:rFonts w:ascii="Cambria" w:hAnsi="Cambria"/>
        </w:rPr>
        <w:t>WASAC Group Ltd.</w:t>
      </w:r>
    </w:p>
    <w:sectPr w:rsidR="00BD40CC" w:rsidRPr="006C0FEA" w:rsidSect="006C0FEA">
      <w:headerReference w:type="default" r:id="rId7"/>
      <w:footerReference w:type="default" r:id="rId8"/>
      <w:pgSz w:w="11906" w:h="16838"/>
      <w:pgMar w:top="1440" w:right="1440" w:bottom="1440" w:left="1440" w:header="57"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E2A41" w14:textId="77777777" w:rsidR="00D128C0" w:rsidRDefault="00D128C0" w:rsidP="006C0FEA">
      <w:r>
        <w:separator/>
      </w:r>
    </w:p>
  </w:endnote>
  <w:endnote w:type="continuationSeparator" w:id="0">
    <w:p w14:paraId="508480FF" w14:textId="77777777" w:rsidR="00D128C0" w:rsidRDefault="00D128C0" w:rsidP="006C0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287E" w14:textId="4AECAC48" w:rsidR="006C0FEA" w:rsidRDefault="006C0FEA">
    <w:pPr>
      <w:pStyle w:val="Pieddepage"/>
    </w:pPr>
    <w:r>
      <w:rPr>
        <w:noProof/>
      </w:rPr>
      <w:drawing>
        <wp:inline distT="0" distB="0" distL="0" distR="0" wp14:anchorId="446FFB9D" wp14:editId="05E55B4F">
          <wp:extent cx="6102350" cy="804545"/>
          <wp:effectExtent l="0" t="0" r="0" b="0"/>
          <wp:docPr id="496793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2350" cy="80454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F0DD" w14:textId="77777777" w:rsidR="00D128C0" w:rsidRDefault="00D128C0" w:rsidP="006C0FEA">
      <w:r>
        <w:separator/>
      </w:r>
    </w:p>
  </w:footnote>
  <w:footnote w:type="continuationSeparator" w:id="0">
    <w:p w14:paraId="4C792011" w14:textId="77777777" w:rsidR="00D128C0" w:rsidRDefault="00D128C0" w:rsidP="006C0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0D7A" w14:textId="1E10BAC2" w:rsidR="006C0FEA" w:rsidRDefault="006C0FEA">
    <w:pPr>
      <w:pStyle w:val="En-tte"/>
    </w:pPr>
    <w:r>
      <w:rPr>
        <w:noProof/>
      </w:rPr>
      <w:drawing>
        <wp:inline distT="0" distB="0" distL="0" distR="0" wp14:anchorId="0FB37052" wp14:editId="065C4D5E">
          <wp:extent cx="6102350" cy="1024255"/>
          <wp:effectExtent l="0" t="0" r="0" b="4445"/>
          <wp:docPr id="1050308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2350" cy="10242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369E8"/>
    <w:multiLevelType w:val="hybridMultilevel"/>
    <w:tmpl w:val="4E628316"/>
    <w:lvl w:ilvl="0" w:tplc="8A3A7E0E">
      <w:start w:val="1"/>
      <w:numFmt w:val="bullet"/>
      <w:lvlText w:val="●"/>
      <w:lvlJc w:val="left"/>
      <w:pPr>
        <w:ind w:left="720" w:hanging="360"/>
      </w:pPr>
    </w:lvl>
    <w:lvl w:ilvl="1" w:tplc="5608003E">
      <w:start w:val="1"/>
      <w:numFmt w:val="bullet"/>
      <w:lvlText w:val="○"/>
      <w:lvlJc w:val="left"/>
      <w:pPr>
        <w:ind w:left="1440" w:hanging="360"/>
      </w:pPr>
    </w:lvl>
    <w:lvl w:ilvl="2" w:tplc="AE3601D4">
      <w:start w:val="1"/>
      <w:numFmt w:val="bullet"/>
      <w:lvlText w:val="■"/>
      <w:lvlJc w:val="left"/>
      <w:pPr>
        <w:ind w:left="2160" w:hanging="360"/>
      </w:pPr>
    </w:lvl>
    <w:lvl w:ilvl="3" w:tplc="5F4665D6">
      <w:start w:val="1"/>
      <w:numFmt w:val="bullet"/>
      <w:lvlText w:val="●"/>
      <w:lvlJc w:val="left"/>
      <w:pPr>
        <w:ind w:left="2880" w:hanging="360"/>
      </w:pPr>
    </w:lvl>
    <w:lvl w:ilvl="4" w:tplc="3538F062">
      <w:start w:val="1"/>
      <w:numFmt w:val="bullet"/>
      <w:lvlText w:val="○"/>
      <w:lvlJc w:val="left"/>
      <w:pPr>
        <w:ind w:left="3600" w:hanging="360"/>
      </w:pPr>
    </w:lvl>
    <w:lvl w:ilvl="5" w:tplc="5F8AB1CA">
      <w:start w:val="1"/>
      <w:numFmt w:val="bullet"/>
      <w:lvlText w:val="■"/>
      <w:lvlJc w:val="left"/>
      <w:pPr>
        <w:ind w:left="4320" w:hanging="360"/>
      </w:pPr>
    </w:lvl>
    <w:lvl w:ilvl="6" w:tplc="1E2AA1D2">
      <w:start w:val="1"/>
      <w:numFmt w:val="bullet"/>
      <w:lvlText w:val="●"/>
      <w:lvlJc w:val="left"/>
      <w:pPr>
        <w:ind w:left="5040" w:hanging="360"/>
      </w:pPr>
    </w:lvl>
    <w:lvl w:ilvl="7" w:tplc="8612DF84">
      <w:start w:val="1"/>
      <w:numFmt w:val="bullet"/>
      <w:lvlText w:val="●"/>
      <w:lvlJc w:val="left"/>
      <w:pPr>
        <w:ind w:left="5760" w:hanging="360"/>
      </w:pPr>
    </w:lvl>
    <w:lvl w:ilvl="8" w:tplc="4B8804C8">
      <w:start w:val="1"/>
      <w:numFmt w:val="bullet"/>
      <w:lvlText w:val="●"/>
      <w:lvlJc w:val="left"/>
      <w:pPr>
        <w:ind w:left="6480" w:hanging="360"/>
      </w:pPr>
    </w:lvl>
  </w:abstractNum>
  <w:num w:numId="1" w16cid:durableId="178357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CC"/>
    <w:rsid w:val="002F5A8A"/>
    <w:rsid w:val="004847BF"/>
    <w:rsid w:val="006C0FEA"/>
    <w:rsid w:val="00BD40CC"/>
    <w:rsid w:val="00D128C0"/>
    <w:rsid w:val="00E424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3C280"/>
  <w15:docId w15:val="{1266945E-F353-47EB-89D6-694686CE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C0FEA"/>
    <w:pPr>
      <w:tabs>
        <w:tab w:val="center" w:pos="4513"/>
        <w:tab w:val="right" w:pos="9026"/>
      </w:tabs>
    </w:pPr>
  </w:style>
  <w:style w:type="character" w:customStyle="1" w:styleId="En-tteCar">
    <w:name w:val="En-tête Car"/>
    <w:basedOn w:val="Policepardfaut"/>
    <w:link w:val="En-tte"/>
    <w:uiPriority w:val="99"/>
    <w:rsid w:val="006C0FEA"/>
  </w:style>
  <w:style w:type="paragraph" w:styleId="Pieddepage">
    <w:name w:val="footer"/>
    <w:basedOn w:val="Normal"/>
    <w:link w:val="PieddepageCar"/>
    <w:uiPriority w:val="99"/>
    <w:unhideWhenUsed/>
    <w:rsid w:val="006C0FEA"/>
    <w:pPr>
      <w:tabs>
        <w:tab w:val="center" w:pos="4513"/>
        <w:tab w:val="right" w:pos="9026"/>
      </w:tabs>
    </w:pPr>
  </w:style>
  <w:style w:type="character" w:customStyle="1" w:styleId="PieddepageCar">
    <w:name w:val="Pied de page Car"/>
    <w:basedOn w:val="Policepardfaut"/>
    <w:link w:val="Pieddepage"/>
    <w:uiPriority w:val="99"/>
    <w:rsid w:val="006C0F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466</Words>
  <Characters>2564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Hamdi Abdelwahed</cp:lastModifiedBy>
  <cp:revision>2</cp:revision>
  <cp:lastPrinted>2026-06-03T08:45:00Z</cp:lastPrinted>
  <dcterms:created xsi:type="dcterms:W3CDTF">2026-06-03T08:35:00Z</dcterms:created>
  <dcterms:modified xsi:type="dcterms:W3CDTF">2026-06-03T09:08:00Z</dcterms:modified>
</cp:coreProperties>
</file>