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E143B" w14:textId="77777777" w:rsidR="00A34CA4" w:rsidRDefault="00A34CA4" w:rsidP="00E900D9">
      <w:pPr>
        <w:spacing w:after="0" w:line="240" w:lineRule="auto"/>
        <w:jc w:val="center"/>
        <w:rPr>
          <w:rFonts w:ascii="Arial" w:hAnsi="Arial" w:cs="Arial"/>
          <w:sz w:val="24"/>
          <w:szCs w:val="24"/>
        </w:rPr>
      </w:pPr>
    </w:p>
    <w:p w14:paraId="3F6CE9B7" w14:textId="325CA3AF" w:rsidR="00E900D9" w:rsidRDefault="00E900D9" w:rsidP="00E900D9">
      <w:pPr>
        <w:spacing w:after="0" w:line="240" w:lineRule="auto"/>
        <w:jc w:val="center"/>
        <w:rPr>
          <w:rFonts w:ascii="Arial" w:hAnsi="Arial" w:cs="Arial"/>
          <w:sz w:val="24"/>
          <w:szCs w:val="24"/>
        </w:rPr>
      </w:pPr>
      <w:r w:rsidRPr="00A24775">
        <w:rPr>
          <w:rFonts w:ascii="Arial" w:hAnsi="Arial" w:cs="Arial"/>
          <w:sz w:val="24"/>
          <w:szCs w:val="24"/>
        </w:rPr>
        <w:t xml:space="preserve">July </w:t>
      </w:r>
      <w:r w:rsidR="006D5FB4">
        <w:rPr>
          <w:rFonts w:ascii="Arial" w:hAnsi="Arial" w:cs="Arial"/>
          <w:sz w:val="24"/>
          <w:szCs w:val="24"/>
        </w:rPr>
        <w:t>26</w:t>
      </w:r>
      <w:r w:rsidRPr="00A24775">
        <w:rPr>
          <w:rFonts w:ascii="Arial" w:hAnsi="Arial" w:cs="Arial"/>
          <w:sz w:val="24"/>
          <w:szCs w:val="24"/>
        </w:rPr>
        <w:t>, 2023</w:t>
      </w:r>
    </w:p>
    <w:p w14:paraId="504EE9AC" w14:textId="77777777" w:rsidR="00E900D9" w:rsidRPr="00A24775" w:rsidRDefault="00E900D9" w:rsidP="00E900D9">
      <w:pPr>
        <w:spacing w:after="0" w:line="240" w:lineRule="auto"/>
        <w:jc w:val="center"/>
        <w:rPr>
          <w:rFonts w:ascii="Arial" w:hAnsi="Arial" w:cs="Arial"/>
          <w:sz w:val="24"/>
          <w:szCs w:val="24"/>
        </w:rPr>
      </w:pPr>
    </w:p>
    <w:p w14:paraId="7E673D4D" w14:textId="77777777" w:rsidR="00E900D9" w:rsidRDefault="00E900D9" w:rsidP="00E900D9">
      <w:pPr>
        <w:spacing w:after="0" w:line="240" w:lineRule="auto"/>
        <w:rPr>
          <w:rFonts w:ascii="Arial" w:hAnsi="Arial" w:cs="Arial"/>
          <w:sz w:val="24"/>
          <w:szCs w:val="24"/>
        </w:rPr>
      </w:pPr>
    </w:p>
    <w:p w14:paraId="2CA710E6" w14:textId="77777777" w:rsidR="00A34CA4" w:rsidRDefault="00A34CA4" w:rsidP="00E900D9">
      <w:pPr>
        <w:spacing w:after="0" w:line="240" w:lineRule="auto"/>
        <w:rPr>
          <w:rFonts w:ascii="Arial" w:hAnsi="Arial" w:cs="Arial"/>
          <w:sz w:val="24"/>
          <w:szCs w:val="24"/>
        </w:rPr>
      </w:pPr>
    </w:p>
    <w:p w14:paraId="59A7C0A9" w14:textId="71C4F991" w:rsidR="00E900D9" w:rsidRPr="00A24775" w:rsidRDefault="00E900D9" w:rsidP="00E900D9">
      <w:pPr>
        <w:spacing w:after="0" w:line="240" w:lineRule="auto"/>
        <w:rPr>
          <w:rFonts w:ascii="Arial" w:hAnsi="Arial" w:cs="Arial"/>
          <w:sz w:val="24"/>
          <w:szCs w:val="24"/>
        </w:rPr>
      </w:pPr>
      <w:r w:rsidRPr="00A24775">
        <w:rPr>
          <w:rFonts w:ascii="Arial" w:hAnsi="Arial" w:cs="Arial"/>
          <w:sz w:val="24"/>
          <w:szCs w:val="24"/>
        </w:rPr>
        <w:t xml:space="preserve">Office of Science and Technology Policy </w:t>
      </w:r>
    </w:p>
    <w:p w14:paraId="1396FFD2" w14:textId="77777777" w:rsidR="00E900D9" w:rsidRPr="00A24775" w:rsidRDefault="00E900D9" w:rsidP="00E900D9">
      <w:pPr>
        <w:spacing w:after="0" w:line="240" w:lineRule="auto"/>
        <w:rPr>
          <w:rFonts w:ascii="Arial" w:hAnsi="Arial" w:cs="Arial"/>
          <w:sz w:val="24"/>
          <w:szCs w:val="24"/>
        </w:rPr>
      </w:pPr>
      <w:r w:rsidRPr="00A24775">
        <w:rPr>
          <w:rFonts w:ascii="Arial" w:hAnsi="Arial" w:cs="Arial"/>
          <w:sz w:val="24"/>
          <w:szCs w:val="24"/>
        </w:rPr>
        <w:t>Eisenhower Executive Office Building</w:t>
      </w:r>
    </w:p>
    <w:p w14:paraId="22E0C866" w14:textId="77777777" w:rsidR="00E900D9" w:rsidRPr="00A24775" w:rsidRDefault="00E900D9" w:rsidP="00E900D9">
      <w:pPr>
        <w:spacing w:after="0" w:line="240" w:lineRule="auto"/>
        <w:rPr>
          <w:rFonts w:ascii="Arial" w:hAnsi="Arial" w:cs="Arial"/>
          <w:sz w:val="24"/>
          <w:szCs w:val="24"/>
        </w:rPr>
      </w:pPr>
      <w:r w:rsidRPr="00A24775">
        <w:rPr>
          <w:rFonts w:ascii="Arial" w:hAnsi="Arial" w:cs="Arial"/>
          <w:sz w:val="24"/>
          <w:szCs w:val="24"/>
        </w:rPr>
        <w:t>725 17</w:t>
      </w:r>
      <w:r w:rsidRPr="00760FDF">
        <w:rPr>
          <w:rFonts w:ascii="Arial" w:hAnsi="Arial" w:cs="Arial"/>
          <w:sz w:val="24"/>
          <w:szCs w:val="24"/>
          <w:vertAlign w:val="superscript"/>
        </w:rPr>
        <w:t>th</w:t>
      </w:r>
      <w:r w:rsidRPr="00A24775">
        <w:rPr>
          <w:rFonts w:ascii="Arial" w:hAnsi="Arial" w:cs="Arial"/>
          <w:sz w:val="24"/>
          <w:szCs w:val="24"/>
        </w:rPr>
        <w:t xml:space="preserve"> Street NW</w:t>
      </w:r>
    </w:p>
    <w:p w14:paraId="2474B1DF" w14:textId="77777777" w:rsidR="00E900D9" w:rsidRPr="00833929" w:rsidRDefault="00E900D9" w:rsidP="00E900D9">
      <w:pPr>
        <w:spacing w:after="0" w:line="240" w:lineRule="auto"/>
        <w:rPr>
          <w:rFonts w:ascii="Arial" w:hAnsi="Arial" w:cs="Arial"/>
          <w:sz w:val="24"/>
          <w:szCs w:val="24"/>
        </w:rPr>
      </w:pPr>
      <w:r w:rsidRPr="00A24775">
        <w:rPr>
          <w:rFonts w:ascii="Arial" w:hAnsi="Arial" w:cs="Arial"/>
          <w:sz w:val="24"/>
          <w:szCs w:val="24"/>
        </w:rPr>
        <w:t>Washington, District of Columbia</w:t>
      </w:r>
    </w:p>
    <w:p w14:paraId="2BD8700F" w14:textId="77777777" w:rsidR="00E900D9" w:rsidRPr="00833929" w:rsidRDefault="00E900D9" w:rsidP="00E900D9">
      <w:pPr>
        <w:spacing w:after="0" w:line="240" w:lineRule="auto"/>
        <w:rPr>
          <w:rFonts w:ascii="Arial" w:hAnsi="Arial" w:cs="Arial"/>
          <w:sz w:val="24"/>
          <w:szCs w:val="24"/>
        </w:rPr>
      </w:pPr>
    </w:p>
    <w:p w14:paraId="294FC432" w14:textId="77777777" w:rsidR="00E900D9" w:rsidRDefault="00E900D9" w:rsidP="00E900D9">
      <w:pPr>
        <w:spacing w:after="0" w:line="240" w:lineRule="auto"/>
        <w:ind w:left="720" w:hanging="720"/>
        <w:rPr>
          <w:rFonts w:ascii="Arial" w:hAnsi="Arial" w:cs="Arial"/>
          <w:b/>
          <w:sz w:val="24"/>
          <w:szCs w:val="24"/>
        </w:rPr>
      </w:pPr>
    </w:p>
    <w:p w14:paraId="74267659" w14:textId="655589CB" w:rsidR="00E900D9" w:rsidRPr="00833929" w:rsidRDefault="00E900D9" w:rsidP="00E900D9">
      <w:pPr>
        <w:spacing w:after="0" w:line="240" w:lineRule="auto"/>
        <w:ind w:left="720" w:hanging="720"/>
        <w:rPr>
          <w:rFonts w:ascii="Arial" w:hAnsi="Arial" w:cs="Arial"/>
          <w:sz w:val="24"/>
          <w:szCs w:val="24"/>
        </w:rPr>
      </w:pPr>
      <w:r>
        <w:rPr>
          <w:rFonts w:ascii="Arial" w:hAnsi="Arial" w:cs="Arial"/>
          <w:b/>
          <w:sz w:val="24"/>
          <w:szCs w:val="24"/>
        </w:rPr>
        <w:t xml:space="preserve">RE: </w:t>
      </w:r>
      <w:r>
        <w:rPr>
          <w:rFonts w:ascii="Arial" w:hAnsi="Arial" w:cs="Arial"/>
          <w:b/>
          <w:sz w:val="24"/>
          <w:szCs w:val="24"/>
        </w:rPr>
        <w:tab/>
      </w:r>
      <w:r w:rsidRPr="00833929">
        <w:rPr>
          <w:rFonts w:ascii="Arial" w:hAnsi="Arial" w:cs="Arial"/>
          <w:b/>
          <w:sz w:val="24"/>
          <w:szCs w:val="24"/>
        </w:rPr>
        <w:t xml:space="preserve">Comments of </w:t>
      </w:r>
      <w:r>
        <w:rPr>
          <w:rFonts w:ascii="Arial" w:hAnsi="Arial" w:cs="Arial"/>
          <w:b/>
          <w:sz w:val="24"/>
          <w:szCs w:val="24"/>
        </w:rPr>
        <w:t>ACT | The App Association</w:t>
      </w:r>
      <w:r w:rsidRPr="00833929">
        <w:rPr>
          <w:rFonts w:ascii="Arial" w:hAnsi="Arial" w:cs="Arial"/>
          <w:b/>
          <w:sz w:val="24"/>
          <w:szCs w:val="24"/>
        </w:rPr>
        <w:t xml:space="preserve"> </w:t>
      </w:r>
      <w:r w:rsidRPr="007916BC">
        <w:rPr>
          <w:rFonts w:ascii="Arial" w:hAnsi="Arial" w:cs="Arial"/>
          <w:b/>
          <w:sz w:val="24"/>
          <w:szCs w:val="24"/>
        </w:rPr>
        <w:t xml:space="preserve">to </w:t>
      </w:r>
      <w:r w:rsidRPr="00A24775">
        <w:rPr>
          <w:rFonts w:ascii="Arial" w:hAnsi="Arial" w:cs="Arial"/>
          <w:b/>
          <w:sz w:val="24"/>
          <w:szCs w:val="24"/>
        </w:rPr>
        <w:t xml:space="preserve">the </w:t>
      </w:r>
      <w:r w:rsidR="00513009">
        <w:rPr>
          <w:rFonts w:ascii="Arial" w:hAnsi="Arial" w:cs="Arial"/>
          <w:b/>
          <w:sz w:val="24"/>
          <w:szCs w:val="24"/>
        </w:rPr>
        <w:t>Australian Government</w:t>
      </w:r>
      <w:r>
        <w:rPr>
          <w:rFonts w:ascii="Arial" w:hAnsi="Arial" w:cs="Arial"/>
          <w:b/>
          <w:sz w:val="24"/>
          <w:szCs w:val="24"/>
        </w:rPr>
        <w:t xml:space="preserve"> </w:t>
      </w:r>
      <w:r w:rsidRPr="007916BC">
        <w:rPr>
          <w:rFonts w:ascii="Arial" w:hAnsi="Arial" w:cs="Arial"/>
          <w:b/>
          <w:sz w:val="24"/>
          <w:szCs w:val="24"/>
        </w:rPr>
        <w:t xml:space="preserve">on </w:t>
      </w:r>
      <w:r w:rsidR="00513009">
        <w:rPr>
          <w:rFonts w:ascii="Arial" w:hAnsi="Arial" w:cs="Arial"/>
          <w:b/>
          <w:i/>
          <w:iCs/>
          <w:sz w:val="24"/>
          <w:szCs w:val="24"/>
        </w:rPr>
        <w:t>Supporting Responsible AI: Discussion Paper</w:t>
      </w:r>
    </w:p>
    <w:p w14:paraId="0297196A" w14:textId="77777777" w:rsidR="00E900D9" w:rsidRPr="00833929" w:rsidRDefault="00E900D9" w:rsidP="00E900D9">
      <w:pPr>
        <w:spacing w:after="0" w:line="240" w:lineRule="auto"/>
        <w:rPr>
          <w:rFonts w:ascii="Arial" w:hAnsi="Arial" w:cs="Arial"/>
          <w:sz w:val="24"/>
          <w:szCs w:val="24"/>
        </w:rPr>
      </w:pPr>
    </w:p>
    <w:p w14:paraId="19E30D4A" w14:textId="77777777" w:rsidR="0096563E" w:rsidRDefault="0096563E" w:rsidP="0096563E">
      <w:pPr>
        <w:spacing w:after="0" w:line="240" w:lineRule="auto"/>
        <w:rPr>
          <w:rFonts w:ascii="Arial" w:hAnsi="Arial" w:cs="Arial"/>
          <w:sz w:val="24"/>
          <w:szCs w:val="24"/>
        </w:rPr>
      </w:pPr>
    </w:p>
    <w:p w14:paraId="5F314C59" w14:textId="138C92E0" w:rsidR="003157A9" w:rsidRPr="00F919CD" w:rsidRDefault="003157A9" w:rsidP="005D1248">
      <w:pPr>
        <w:spacing w:after="0" w:line="240" w:lineRule="auto"/>
        <w:rPr>
          <w:rFonts w:ascii="Arial" w:hAnsi="Arial" w:cs="Arial"/>
          <w:sz w:val="24"/>
          <w:szCs w:val="24"/>
        </w:rPr>
      </w:pPr>
      <w:r w:rsidRPr="00F919CD">
        <w:rPr>
          <w:rFonts w:ascii="Arial" w:hAnsi="Arial" w:cs="Arial"/>
          <w:sz w:val="24"/>
          <w:szCs w:val="24"/>
        </w:rPr>
        <w:t xml:space="preserve">ACT | The App Association (App Association) appreciates the opportunity to </w:t>
      </w:r>
      <w:r w:rsidR="00E900D9" w:rsidRPr="00F919CD">
        <w:rPr>
          <w:rFonts w:ascii="Arial" w:hAnsi="Arial" w:cs="Arial"/>
          <w:sz w:val="24"/>
          <w:szCs w:val="24"/>
        </w:rPr>
        <w:t xml:space="preserve">provide input to </w:t>
      </w:r>
      <w:r w:rsidR="00E900D9" w:rsidRPr="006F0904">
        <w:rPr>
          <w:rFonts w:ascii="Arial" w:hAnsi="Arial" w:cs="Arial"/>
          <w:sz w:val="24"/>
          <w:szCs w:val="24"/>
        </w:rPr>
        <w:t xml:space="preserve">the </w:t>
      </w:r>
      <w:r w:rsidR="00DD6CA2">
        <w:rPr>
          <w:rFonts w:ascii="Arial" w:hAnsi="Arial" w:cs="Arial"/>
          <w:sz w:val="24"/>
          <w:szCs w:val="24"/>
        </w:rPr>
        <w:t>Australian Government’s Department</w:t>
      </w:r>
      <w:r w:rsidR="00041E40">
        <w:rPr>
          <w:rFonts w:ascii="Arial" w:hAnsi="Arial" w:cs="Arial"/>
          <w:sz w:val="24"/>
          <w:szCs w:val="24"/>
        </w:rPr>
        <w:t xml:space="preserve"> regarding</w:t>
      </w:r>
      <w:r w:rsidR="00E900D9" w:rsidRPr="00F919CD">
        <w:rPr>
          <w:rFonts w:ascii="Arial" w:hAnsi="Arial" w:cs="Arial"/>
          <w:sz w:val="24"/>
          <w:szCs w:val="24"/>
        </w:rPr>
        <w:t xml:space="preserve"> </w:t>
      </w:r>
      <w:r w:rsidR="006A38B5" w:rsidRPr="006A38B5">
        <w:rPr>
          <w:rFonts w:ascii="Arial" w:hAnsi="Arial" w:cs="Arial"/>
          <w:sz w:val="24"/>
          <w:szCs w:val="24"/>
        </w:rPr>
        <w:t>governance mechanisms to ensure</w:t>
      </w:r>
      <w:r w:rsidR="00041E40">
        <w:rPr>
          <w:rFonts w:ascii="Arial" w:hAnsi="Arial" w:cs="Arial"/>
          <w:sz w:val="24"/>
          <w:szCs w:val="24"/>
        </w:rPr>
        <w:t xml:space="preserve"> artificial intelligence</w:t>
      </w:r>
      <w:r w:rsidR="006A38B5" w:rsidRPr="006A38B5">
        <w:rPr>
          <w:rFonts w:ascii="Arial" w:hAnsi="Arial" w:cs="Arial"/>
          <w:sz w:val="24"/>
          <w:szCs w:val="24"/>
        </w:rPr>
        <w:t xml:space="preserve"> </w:t>
      </w:r>
      <w:r w:rsidR="00041E40">
        <w:rPr>
          <w:rFonts w:ascii="Arial" w:hAnsi="Arial" w:cs="Arial"/>
          <w:sz w:val="24"/>
          <w:szCs w:val="24"/>
        </w:rPr>
        <w:t>(</w:t>
      </w:r>
      <w:r w:rsidR="006A38B5" w:rsidRPr="006A38B5">
        <w:rPr>
          <w:rFonts w:ascii="Arial" w:hAnsi="Arial" w:cs="Arial"/>
          <w:sz w:val="24"/>
          <w:szCs w:val="24"/>
        </w:rPr>
        <w:t>AI</w:t>
      </w:r>
      <w:r w:rsidR="00041E40">
        <w:rPr>
          <w:rFonts w:ascii="Arial" w:hAnsi="Arial" w:cs="Arial"/>
          <w:sz w:val="24"/>
          <w:szCs w:val="24"/>
        </w:rPr>
        <w:t>)</w:t>
      </w:r>
      <w:r w:rsidR="006A38B5" w:rsidRPr="006A38B5">
        <w:rPr>
          <w:rFonts w:ascii="Arial" w:hAnsi="Arial" w:cs="Arial"/>
          <w:sz w:val="24"/>
          <w:szCs w:val="24"/>
        </w:rPr>
        <w:t xml:space="preserve"> is developed and used safely and responsibly in Australia</w:t>
      </w:r>
      <w:r w:rsidR="00E900D9">
        <w:rPr>
          <w:rFonts w:ascii="Arial" w:hAnsi="Arial" w:cs="Arial"/>
          <w:sz w:val="24"/>
          <w:szCs w:val="24"/>
        </w:rPr>
        <w:t>.</w:t>
      </w:r>
      <w:r w:rsidR="00E900D9">
        <w:rPr>
          <w:rStyle w:val="FootnoteReference"/>
          <w:rFonts w:ascii="Arial" w:hAnsi="Arial" w:cs="Arial"/>
          <w:sz w:val="24"/>
          <w:szCs w:val="24"/>
        </w:rPr>
        <w:footnoteReference w:id="1"/>
      </w:r>
      <w:r w:rsidRPr="00F919CD">
        <w:rPr>
          <w:rFonts w:ascii="Arial" w:hAnsi="Arial" w:cs="Arial"/>
          <w:sz w:val="24"/>
          <w:szCs w:val="24"/>
        </w:rPr>
        <w:t xml:space="preserve"> </w:t>
      </w:r>
    </w:p>
    <w:p w14:paraId="014ADE02" w14:textId="77777777" w:rsidR="003157A9" w:rsidRPr="00F919CD" w:rsidRDefault="003157A9" w:rsidP="005D1248">
      <w:pPr>
        <w:spacing w:after="0" w:line="240" w:lineRule="auto"/>
        <w:rPr>
          <w:rFonts w:ascii="Arial" w:hAnsi="Arial" w:cs="Arial"/>
          <w:sz w:val="24"/>
          <w:szCs w:val="24"/>
        </w:rPr>
      </w:pPr>
    </w:p>
    <w:p w14:paraId="600F5F31" w14:textId="640280C0" w:rsidR="00FE2126" w:rsidRDefault="003157A9" w:rsidP="005D1248">
      <w:pPr>
        <w:spacing w:after="0" w:line="240" w:lineRule="auto"/>
        <w:rPr>
          <w:rFonts w:ascii="Arial" w:hAnsi="Arial" w:cs="Arial"/>
          <w:sz w:val="24"/>
          <w:szCs w:val="24"/>
        </w:rPr>
      </w:pPr>
      <w:bookmarkStart w:id="0" w:name="_Hlk521967848"/>
      <w:r w:rsidRPr="00F919CD">
        <w:rPr>
          <w:rFonts w:ascii="Arial" w:hAnsi="Arial" w:cs="Arial"/>
          <w:sz w:val="24"/>
          <w:szCs w:val="24"/>
        </w:rPr>
        <w:t>The App Association is a global trade association for small and medium-sized technology companies. Our members are entrepreneurs, innovators, and independent developers within the global app ecosystem that engage with verticals across every industry. We work with and for our members to promote a policy environment that rewards and inspires innovation while providing resources that help them raise capital, create jobs, and continue to build incredible technology. Today, the value of the ecosystem the App Association represents—which we call the app economy—is approximately $1.</w:t>
      </w:r>
      <w:r w:rsidR="00AF579E">
        <w:rPr>
          <w:rFonts w:ascii="Arial" w:hAnsi="Arial" w:cs="Arial"/>
          <w:sz w:val="24"/>
          <w:szCs w:val="24"/>
        </w:rPr>
        <w:t>8</w:t>
      </w:r>
      <w:r w:rsidRPr="00F919CD">
        <w:rPr>
          <w:rFonts w:ascii="Arial" w:hAnsi="Arial" w:cs="Arial"/>
          <w:sz w:val="24"/>
          <w:szCs w:val="24"/>
        </w:rPr>
        <w:t xml:space="preserve"> trillion and is responsible for </w:t>
      </w:r>
      <w:r w:rsidR="00AF579E">
        <w:rPr>
          <w:rFonts w:ascii="Arial" w:hAnsi="Arial" w:cs="Arial"/>
          <w:sz w:val="24"/>
          <w:szCs w:val="24"/>
        </w:rPr>
        <w:t>6.1</w:t>
      </w:r>
      <w:r w:rsidRPr="00F919CD">
        <w:rPr>
          <w:rFonts w:ascii="Arial" w:hAnsi="Arial" w:cs="Arial"/>
          <w:sz w:val="24"/>
          <w:szCs w:val="24"/>
        </w:rPr>
        <w:t>million American jobs, while serving as a key driver of the $8 trillion internet of things (IoT) revolution.</w:t>
      </w:r>
      <w:bookmarkEnd w:id="0"/>
      <w:r w:rsidRPr="00F919CD">
        <w:rPr>
          <w:rFonts w:ascii="Arial" w:hAnsi="Arial" w:cs="Arial"/>
          <w:sz w:val="24"/>
          <w:szCs w:val="24"/>
          <w:vertAlign w:val="superscript"/>
        </w:rPr>
        <w:footnoteReference w:id="2"/>
      </w:r>
      <w:r w:rsidRPr="00F919CD">
        <w:rPr>
          <w:rFonts w:ascii="Arial" w:hAnsi="Arial" w:cs="Arial"/>
          <w:sz w:val="24"/>
          <w:szCs w:val="24"/>
        </w:rPr>
        <w:t xml:space="preserve"> Alongside the world’s rapid embrace of mobile technology, our members create the innovative solutions that </w:t>
      </w:r>
      <w:r w:rsidR="005D7F98">
        <w:rPr>
          <w:rFonts w:ascii="Arial" w:hAnsi="Arial" w:cs="Arial"/>
          <w:sz w:val="24"/>
          <w:szCs w:val="24"/>
        </w:rPr>
        <w:t xml:space="preserve">utilize AI to </w:t>
      </w:r>
      <w:r w:rsidRPr="00F919CD">
        <w:rPr>
          <w:rFonts w:ascii="Arial" w:hAnsi="Arial" w:cs="Arial"/>
          <w:sz w:val="24"/>
          <w:szCs w:val="24"/>
        </w:rPr>
        <w:t xml:space="preserve">power IoT across </w:t>
      </w:r>
      <w:r w:rsidR="005D7F98">
        <w:rPr>
          <w:rFonts w:ascii="Arial" w:hAnsi="Arial" w:cs="Arial"/>
          <w:sz w:val="24"/>
          <w:szCs w:val="24"/>
        </w:rPr>
        <w:t xml:space="preserve">various </w:t>
      </w:r>
      <w:r w:rsidRPr="00F919CD">
        <w:rPr>
          <w:rFonts w:ascii="Arial" w:hAnsi="Arial" w:cs="Arial"/>
          <w:sz w:val="24"/>
          <w:szCs w:val="24"/>
        </w:rPr>
        <w:t>modalities and segments of the economy.</w:t>
      </w:r>
    </w:p>
    <w:p w14:paraId="6B4A1839" w14:textId="77777777" w:rsidR="005D1248" w:rsidRDefault="005D1248" w:rsidP="00A6643B">
      <w:pPr>
        <w:spacing w:after="0" w:line="240" w:lineRule="auto"/>
        <w:rPr>
          <w:rFonts w:ascii="Arial" w:hAnsi="Arial" w:cs="Arial"/>
          <w:sz w:val="24"/>
          <w:szCs w:val="24"/>
        </w:rPr>
      </w:pPr>
    </w:p>
    <w:p w14:paraId="065970F9" w14:textId="7C292D37" w:rsidR="0058422E" w:rsidRPr="0058422E" w:rsidRDefault="0005091C" w:rsidP="0058422E">
      <w:pPr>
        <w:spacing w:after="0" w:line="240" w:lineRule="auto"/>
        <w:rPr>
          <w:rFonts w:ascii="Arial" w:hAnsi="Arial" w:cs="Arial"/>
          <w:sz w:val="24"/>
          <w:szCs w:val="24"/>
          <w:lang w:val="en"/>
        </w:rPr>
      </w:pPr>
      <w:r w:rsidRPr="0005091C">
        <w:rPr>
          <w:rFonts w:ascii="Arial" w:hAnsi="Arial" w:cs="Arial"/>
          <w:sz w:val="24"/>
          <w:szCs w:val="24"/>
        </w:rPr>
        <w:t>AI is an evolving constellation of technologies that enable computers to simulate</w:t>
      </w:r>
      <w:r>
        <w:rPr>
          <w:rFonts w:ascii="Arial" w:hAnsi="Arial" w:cs="Arial"/>
          <w:sz w:val="24"/>
          <w:szCs w:val="24"/>
        </w:rPr>
        <w:t xml:space="preserve"> </w:t>
      </w:r>
      <w:r w:rsidRPr="0005091C">
        <w:rPr>
          <w:rFonts w:ascii="Arial" w:hAnsi="Arial" w:cs="Arial"/>
          <w:sz w:val="24"/>
          <w:szCs w:val="24"/>
        </w:rPr>
        <w:t>elements of human thinking, such as learning and reasoning. An encompassing term, AI entails a range</w:t>
      </w:r>
      <w:r>
        <w:rPr>
          <w:rFonts w:ascii="Arial" w:hAnsi="Arial" w:cs="Arial"/>
          <w:sz w:val="24"/>
          <w:szCs w:val="24"/>
        </w:rPr>
        <w:t xml:space="preserve"> </w:t>
      </w:r>
      <w:r w:rsidRPr="0005091C">
        <w:rPr>
          <w:rFonts w:ascii="Arial" w:hAnsi="Arial" w:cs="Arial"/>
          <w:sz w:val="24"/>
          <w:szCs w:val="24"/>
        </w:rPr>
        <w:t>of approaches and technologies, such as machine learning (ML), where algorithms use data, learn from</w:t>
      </w:r>
      <w:r>
        <w:rPr>
          <w:rFonts w:ascii="Arial" w:hAnsi="Arial" w:cs="Arial"/>
          <w:sz w:val="24"/>
          <w:szCs w:val="24"/>
        </w:rPr>
        <w:t xml:space="preserve"> </w:t>
      </w:r>
      <w:r w:rsidRPr="0005091C">
        <w:rPr>
          <w:rFonts w:ascii="Arial" w:hAnsi="Arial" w:cs="Arial"/>
          <w:sz w:val="24"/>
          <w:szCs w:val="24"/>
        </w:rPr>
        <w:t>it, and apply their newly-learned lessons to make informed decisions, and deep learning, where an</w:t>
      </w:r>
      <w:r>
        <w:rPr>
          <w:rFonts w:ascii="Arial" w:hAnsi="Arial" w:cs="Arial"/>
          <w:sz w:val="24"/>
          <w:szCs w:val="24"/>
        </w:rPr>
        <w:t xml:space="preserve"> </w:t>
      </w:r>
      <w:r w:rsidRPr="0005091C">
        <w:rPr>
          <w:rFonts w:ascii="Arial" w:hAnsi="Arial" w:cs="Arial"/>
          <w:sz w:val="24"/>
          <w:szCs w:val="24"/>
        </w:rPr>
        <w:t>algorithm based on the way neurons and synapses in the brain change as they are exposed to new</w:t>
      </w:r>
      <w:r>
        <w:rPr>
          <w:rFonts w:ascii="Arial" w:hAnsi="Arial" w:cs="Arial"/>
          <w:sz w:val="24"/>
          <w:szCs w:val="24"/>
        </w:rPr>
        <w:t xml:space="preserve"> </w:t>
      </w:r>
      <w:r w:rsidRPr="0005091C">
        <w:rPr>
          <w:rFonts w:ascii="Arial" w:hAnsi="Arial" w:cs="Arial"/>
          <w:sz w:val="24"/>
          <w:szCs w:val="24"/>
        </w:rPr>
        <w:t xml:space="preserve">inputs allows for independent or assisted decision-making. </w:t>
      </w:r>
      <w:r w:rsidR="005D1248" w:rsidRPr="00F919CD">
        <w:rPr>
          <w:rFonts w:ascii="Arial" w:hAnsi="Arial" w:cs="Arial"/>
          <w:sz w:val="24"/>
          <w:szCs w:val="24"/>
          <w:lang w:val="en"/>
        </w:rPr>
        <w:t xml:space="preserve">AI-driven tools are having, and will continue to have, substantial direct and indirect effects on Americans. Some forms of AI are already being used to improve American consumers’ lives today – for example, AI is used to detect financial and identity theft and to protect the communications networks </w:t>
      </w:r>
      <w:r w:rsidR="005D1248" w:rsidRPr="00F919CD">
        <w:rPr>
          <w:rFonts w:ascii="Arial" w:hAnsi="Arial" w:cs="Arial"/>
          <w:sz w:val="24"/>
          <w:szCs w:val="24"/>
          <w:lang w:val="en"/>
        </w:rPr>
        <w:lastRenderedPageBreak/>
        <w:t xml:space="preserve">upon which Americans rely against cybersecurity threats. </w:t>
      </w:r>
      <w:r w:rsidR="005D1248" w:rsidRPr="00645D45">
        <w:rPr>
          <w:rFonts w:ascii="Arial" w:hAnsi="Arial" w:cs="Arial"/>
          <w:sz w:val="24"/>
          <w:szCs w:val="24"/>
          <w:lang w:val="en"/>
        </w:rPr>
        <w:t>Moving across use cases and sectors, AI has incredible potential to enable faster and better-informed decision making through cutting-edge distributed cloud computing.</w:t>
      </w:r>
      <w:r w:rsidR="005D1248" w:rsidRPr="00F919CD">
        <w:rPr>
          <w:rFonts w:ascii="Arial" w:hAnsi="Arial" w:cs="Arial"/>
          <w:sz w:val="24"/>
          <w:szCs w:val="24"/>
          <w:lang w:val="en"/>
        </w:rPr>
        <w:t xml:space="preserve"> For example, healthcare treatments and patient outcomes stand poised to improve disease prevention and conditions, as well as efficiently and effectively treat diseases through automated analysis of x-rays and other medical imaging. From a governance perspective, AI solutions will derive greater insights from infrastructure and support efficient budgeting decisions.</w:t>
      </w:r>
      <w:r w:rsidR="0058422E" w:rsidRPr="0058422E">
        <w:rPr>
          <w:rFonts w:ascii="Arial" w:hAnsi="Arial" w:cs="Arial"/>
          <w:sz w:val="24"/>
          <w:szCs w:val="24"/>
          <w:lang w:val="en"/>
        </w:rPr>
        <w:t xml:space="preserve"> It </w:t>
      </w:r>
      <w:proofErr w:type="gramStart"/>
      <w:r w:rsidR="0058422E" w:rsidRPr="0058422E">
        <w:rPr>
          <w:rFonts w:ascii="Arial" w:hAnsi="Arial" w:cs="Arial"/>
          <w:sz w:val="24"/>
          <w:szCs w:val="24"/>
          <w:lang w:val="en"/>
        </w:rPr>
        <w:t>is</w:t>
      </w:r>
      <w:proofErr w:type="gramEnd"/>
    </w:p>
    <w:p w14:paraId="304FB548" w14:textId="77777777" w:rsidR="0058422E" w:rsidRPr="0058422E" w:rsidRDefault="0058422E" w:rsidP="0058422E">
      <w:pPr>
        <w:spacing w:after="0" w:line="240" w:lineRule="auto"/>
        <w:rPr>
          <w:rFonts w:ascii="Arial" w:hAnsi="Arial" w:cs="Arial"/>
          <w:sz w:val="24"/>
          <w:szCs w:val="24"/>
          <w:lang w:val="en"/>
        </w:rPr>
      </w:pPr>
      <w:r w:rsidRPr="0058422E">
        <w:rPr>
          <w:rFonts w:ascii="Arial" w:hAnsi="Arial" w:cs="Arial"/>
          <w:sz w:val="24"/>
          <w:szCs w:val="24"/>
          <w:lang w:val="en"/>
        </w:rPr>
        <w:t xml:space="preserve">estimated that AI technological breakthroughs will represent a $126 billion market by </w:t>
      </w:r>
    </w:p>
    <w:p w14:paraId="48855646" w14:textId="6F5F36E9" w:rsidR="005D1248" w:rsidRPr="00F919CD" w:rsidRDefault="0058422E" w:rsidP="0058422E">
      <w:pPr>
        <w:spacing w:after="0" w:line="240" w:lineRule="auto"/>
        <w:rPr>
          <w:rFonts w:ascii="Arial" w:hAnsi="Arial" w:cs="Arial"/>
          <w:sz w:val="24"/>
          <w:szCs w:val="24"/>
          <w:lang w:val="en"/>
        </w:rPr>
      </w:pPr>
      <w:r w:rsidRPr="0058422E">
        <w:rPr>
          <w:rFonts w:ascii="Arial" w:hAnsi="Arial" w:cs="Arial"/>
          <w:sz w:val="24"/>
          <w:szCs w:val="24"/>
          <w:lang w:val="en"/>
        </w:rPr>
        <w:t>2025</w:t>
      </w:r>
      <w:r>
        <w:rPr>
          <w:rFonts w:ascii="Arial" w:hAnsi="Arial" w:cs="Arial"/>
          <w:sz w:val="24"/>
          <w:szCs w:val="24"/>
          <w:lang w:val="en"/>
        </w:rPr>
        <w:t>.</w:t>
      </w:r>
      <w:r>
        <w:rPr>
          <w:rStyle w:val="FootnoteReference"/>
          <w:rFonts w:ascii="Arial" w:hAnsi="Arial" w:cs="Arial"/>
          <w:sz w:val="24"/>
          <w:szCs w:val="24"/>
          <w:lang w:val="en"/>
        </w:rPr>
        <w:footnoteReference w:id="3"/>
      </w:r>
    </w:p>
    <w:p w14:paraId="030C5F7F" w14:textId="77777777" w:rsidR="005D1248" w:rsidRDefault="005D1248" w:rsidP="005D1248">
      <w:pPr>
        <w:spacing w:after="0" w:line="240" w:lineRule="auto"/>
        <w:rPr>
          <w:rFonts w:ascii="Arial" w:hAnsi="Arial" w:cs="Arial"/>
          <w:sz w:val="24"/>
          <w:szCs w:val="24"/>
        </w:rPr>
      </w:pPr>
    </w:p>
    <w:p w14:paraId="26B28D04" w14:textId="7490F65D" w:rsidR="000026A0" w:rsidRDefault="00E900D9" w:rsidP="005D1248">
      <w:pPr>
        <w:spacing w:after="0" w:line="240" w:lineRule="auto"/>
        <w:rPr>
          <w:rFonts w:ascii="Arial" w:hAnsi="Arial" w:cs="Arial"/>
          <w:sz w:val="24"/>
          <w:szCs w:val="24"/>
        </w:rPr>
      </w:pPr>
      <w:r>
        <w:rPr>
          <w:rFonts w:ascii="Arial" w:hAnsi="Arial" w:cs="Arial"/>
          <w:sz w:val="24"/>
          <w:szCs w:val="24"/>
        </w:rPr>
        <w:t>Today,</w:t>
      </w:r>
      <w:r w:rsidR="0005091C">
        <w:rPr>
          <w:rFonts w:ascii="Arial" w:hAnsi="Arial" w:cs="Arial"/>
          <w:sz w:val="24"/>
          <w:szCs w:val="24"/>
        </w:rPr>
        <w:t xml:space="preserve"> </w:t>
      </w:r>
      <w:r w:rsidR="0005091C" w:rsidRPr="0005091C">
        <w:rPr>
          <w:rFonts w:ascii="Arial" w:hAnsi="Arial" w:cs="Arial"/>
          <w:sz w:val="24"/>
          <w:szCs w:val="24"/>
        </w:rPr>
        <w:t>consumers are encountering AI in their lives incrementally through the improvements they have seen in</w:t>
      </w:r>
      <w:r w:rsidR="0005091C">
        <w:rPr>
          <w:rFonts w:ascii="Arial" w:hAnsi="Arial" w:cs="Arial"/>
          <w:sz w:val="24"/>
          <w:szCs w:val="24"/>
        </w:rPr>
        <w:t xml:space="preserve"> </w:t>
      </w:r>
      <w:r w:rsidR="0005091C" w:rsidRPr="0005091C">
        <w:rPr>
          <w:rFonts w:ascii="Arial" w:hAnsi="Arial" w:cs="Arial"/>
          <w:sz w:val="24"/>
          <w:szCs w:val="24"/>
        </w:rPr>
        <w:t>computer-based services they use, typically in the form of streamlined processes, image analysis, and</w:t>
      </w:r>
      <w:r w:rsidR="0005091C">
        <w:rPr>
          <w:rFonts w:ascii="Arial" w:hAnsi="Arial" w:cs="Arial"/>
          <w:sz w:val="24"/>
          <w:szCs w:val="24"/>
        </w:rPr>
        <w:t xml:space="preserve"> </w:t>
      </w:r>
      <w:r w:rsidR="0005091C" w:rsidRPr="0005091C">
        <w:rPr>
          <w:rFonts w:ascii="Arial" w:hAnsi="Arial" w:cs="Arial"/>
          <w:sz w:val="24"/>
          <w:szCs w:val="24"/>
        </w:rPr>
        <w:t>voice recognition, all forms of what we consider “narrow” AI. These narrow applications of AI already</w:t>
      </w:r>
      <w:r w:rsidR="0005091C">
        <w:rPr>
          <w:rFonts w:ascii="Arial" w:hAnsi="Arial" w:cs="Arial"/>
          <w:sz w:val="24"/>
          <w:szCs w:val="24"/>
        </w:rPr>
        <w:t xml:space="preserve"> </w:t>
      </w:r>
      <w:r w:rsidR="0005091C" w:rsidRPr="0005091C">
        <w:rPr>
          <w:rFonts w:ascii="Arial" w:hAnsi="Arial" w:cs="Arial"/>
          <w:sz w:val="24"/>
          <w:szCs w:val="24"/>
        </w:rPr>
        <w:t>provide great societal benefit. As AI systems, powered by streams of data and advanced algorithms,</w:t>
      </w:r>
      <w:r w:rsidR="0005091C">
        <w:rPr>
          <w:rFonts w:ascii="Arial" w:hAnsi="Arial" w:cs="Arial"/>
          <w:sz w:val="24"/>
          <w:szCs w:val="24"/>
        </w:rPr>
        <w:t xml:space="preserve"> </w:t>
      </w:r>
      <w:r w:rsidR="0005091C" w:rsidRPr="0005091C">
        <w:rPr>
          <w:rFonts w:ascii="Arial" w:hAnsi="Arial" w:cs="Arial"/>
          <w:sz w:val="24"/>
          <w:szCs w:val="24"/>
        </w:rPr>
        <w:t>continue to improve services and generate new business models, the fundamental transformation of</w:t>
      </w:r>
      <w:r w:rsidR="0005091C">
        <w:rPr>
          <w:rFonts w:ascii="Arial" w:hAnsi="Arial" w:cs="Arial"/>
          <w:sz w:val="24"/>
          <w:szCs w:val="24"/>
        </w:rPr>
        <w:t xml:space="preserve"> </w:t>
      </w:r>
      <w:r w:rsidR="0005091C" w:rsidRPr="0005091C">
        <w:rPr>
          <w:rFonts w:ascii="Arial" w:hAnsi="Arial" w:cs="Arial"/>
          <w:sz w:val="24"/>
          <w:szCs w:val="24"/>
        </w:rPr>
        <w:t>economies across the globe will only accelerate.</w:t>
      </w:r>
      <w:r>
        <w:rPr>
          <w:rFonts w:ascii="Arial" w:hAnsi="Arial" w:cs="Arial"/>
          <w:sz w:val="24"/>
          <w:szCs w:val="24"/>
        </w:rPr>
        <w:t xml:space="preserve"> </w:t>
      </w:r>
      <w:r w:rsidR="0005091C" w:rsidRPr="0005091C">
        <w:rPr>
          <w:rFonts w:ascii="Arial" w:hAnsi="Arial" w:cs="Arial"/>
          <w:sz w:val="24"/>
          <w:szCs w:val="24"/>
        </w:rPr>
        <w:t>Nonetheless, AI</w:t>
      </w:r>
      <w:r w:rsidR="005D1248">
        <w:rPr>
          <w:rFonts w:ascii="Arial" w:hAnsi="Arial" w:cs="Arial"/>
          <w:sz w:val="24"/>
          <w:szCs w:val="24"/>
        </w:rPr>
        <w:t xml:space="preserve">’s growing use </w:t>
      </w:r>
      <w:r w:rsidR="0005091C" w:rsidRPr="0005091C">
        <w:rPr>
          <w:rFonts w:ascii="Arial" w:hAnsi="Arial" w:cs="Arial"/>
          <w:sz w:val="24"/>
          <w:szCs w:val="24"/>
        </w:rPr>
        <w:t>raise</w:t>
      </w:r>
      <w:r w:rsidR="005D1248">
        <w:rPr>
          <w:rFonts w:ascii="Arial" w:hAnsi="Arial" w:cs="Arial"/>
          <w:sz w:val="24"/>
          <w:szCs w:val="24"/>
        </w:rPr>
        <w:t>s</w:t>
      </w:r>
      <w:r w:rsidR="0005091C" w:rsidRPr="0005091C">
        <w:rPr>
          <w:rFonts w:ascii="Arial" w:hAnsi="Arial" w:cs="Arial"/>
          <w:sz w:val="24"/>
          <w:szCs w:val="24"/>
        </w:rPr>
        <w:t xml:space="preserve"> a variety of </w:t>
      </w:r>
      <w:r w:rsidR="005D1248">
        <w:rPr>
          <w:rFonts w:ascii="Arial" w:hAnsi="Arial" w:cs="Arial"/>
          <w:sz w:val="24"/>
          <w:szCs w:val="24"/>
        </w:rPr>
        <w:t xml:space="preserve">challenges, and some new and </w:t>
      </w:r>
      <w:r w:rsidR="0005091C" w:rsidRPr="0005091C">
        <w:rPr>
          <w:rFonts w:ascii="Arial" w:hAnsi="Arial" w:cs="Arial"/>
          <w:sz w:val="24"/>
          <w:szCs w:val="24"/>
        </w:rPr>
        <w:t>unique considerations</w:t>
      </w:r>
      <w:r w:rsidR="005D1248">
        <w:rPr>
          <w:rFonts w:ascii="Arial" w:hAnsi="Arial" w:cs="Arial"/>
          <w:sz w:val="24"/>
          <w:szCs w:val="24"/>
        </w:rPr>
        <w:t>,</w:t>
      </w:r>
      <w:r w:rsidR="0005091C" w:rsidRPr="0005091C">
        <w:rPr>
          <w:rFonts w:ascii="Arial" w:hAnsi="Arial" w:cs="Arial"/>
          <w:sz w:val="24"/>
          <w:szCs w:val="24"/>
        </w:rPr>
        <w:t xml:space="preserve"> for policymakers</w:t>
      </w:r>
      <w:r w:rsidR="005D1248">
        <w:rPr>
          <w:rFonts w:ascii="Arial" w:hAnsi="Arial" w:cs="Arial"/>
          <w:sz w:val="24"/>
          <w:szCs w:val="24"/>
        </w:rPr>
        <w:t xml:space="preserve"> as well as those making AI operational today</w:t>
      </w:r>
      <w:r w:rsidR="0005091C" w:rsidRPr="0005091C">
        <w:rPr>
          <w:rFonts w:ascii="Arial" w:hAnsi="Arial" w:cs="Arial"/>
          <w:sz w:val="24"/>
          <w:szCs w:val="24"/>
        </w:rPr>
        <w:t>.</w:t>
      </w:r>
      <w:r w:rsidR="0005091C">
        <w:rPr>
          <w:rFonts w:ascii="Arial" w:hAnsi="Arial" w:cs="Arial"/>
          <w:sz w:val="24"/>
          <w:szCs w:val="24"/>
        </w:rPr>
        <w:t xml:space="preserve"> </w:t>
      </w:r>
      <w:r w:rsidR="00105E50">
        <w:rPr>
          <w:rFonts w:ascii="Arial" w:hAnsi="Arial" w:cs="Arial"/>
          <w:sz w:val="24"/>
          <w:szCs w:val="24"/>
        </w:rPr>
        <w:t>The App Association appreciates</w:t>
      </w:r>
      <w:r w:rsidR="003157A9" w:rsidRPr="00F919CD">
        <w:rPr>
          <w:rFonts w:ascii="Arial" w:hAnsi="Arial" w:cs="Arial"/>
          <w:sz w:val="24"/>
          <w:szCs w:val="24"/>
        </w:rPr>
        <w:t xml:space="preserve"> </w:t>
      </w:r>
      <w:r w:rsidR="00513009">
        <w:rPr>
          <w:rFonts w:ascii="Arial" w:hAnsi="Arial" w:cs="Arial"/>
          <w:sz w:val="24"/>
          <w:szCs w:val="24"/>
        </w:rPr>
        <w:t>the</w:t>
      </w:r>
      <w:r w:rsidR="00041E40">
        <w:rPr>
          <w:rFonts w:ascii="Arial" w:hAnsi="Arial" w:cs="Arial"/>
          <w:sz w:val="24"/>
          <w:szCs w:val="24"/>
        </w:rPr>
        <w:t xml:space="preserve"> Australian Government’s </w:t>
      </w:r>
      <w:r>
        <w:rPr>
          <w:rFonts w:ascii="Arial" w:hAnsi="Arial" w:cs="Arial"/>
          <w:sz w:val="24"/>
          <w:szCs w:val="24"/>
        </w:rPr>
        <w:t>efforts</w:t>
      </w:r>
      <w:r w:rsidR="00FE2126" w:rsidRPr="00F919CD">
        <w:rPr>
          <w:rFonts w:ascii="Arial" w:hAnsi="Arial" w:cs="Arial"/>
          <w:sz w:val="24"/>
          <w:szCs w:val="24"/>
        </w:rPr>
        <w:t xml:space="preserve"> to </w:t>
      </w:r>
      <w:r>
        <w:rPr>
          <w:rFonts w:ascii="Arial" w:hAnsi="Arial" w:cs="Arial"/>
          <w:sz w:val="24"/>
          <w:szCs w:val="24"/>
        </w:rPr>
        <w:t xml:space="preserve">develop a </w:t>
      </w:r>
      <w:r w:rsidR="00F61BA9">
        <w:rPr>
          <w:rFonts w:ascii="Arial" w:hAnsi="Arial" w:cs="Arial"/>
          <w:sz w:val="24"/>
          <w:szCs w:val="24"/>
        </w:rPr>
        <w:t>n</w:t>
      </w:r>
      <w:r>
        <w:rPr>
          <w:rFonts w:ascii="Arial" w:hAnsi="Arial" w:cs="Arial"/>
          <w:sz w:val="24"/>
          <w:szCs w:val="24"/>
        </w:rPr>
        <w:t xml:space="preserve">ational AI </w:t>
      </w:r>
      <w:r w:rsidR="00F61BA9">
        <w:rPr>
          <w:rFonts w:ascii="Arial" w:hAnsi="Arial" w:cs="Arial"/>
          <w:sz w:val="24"/>
          <w:szCs w:val="24"/>
        </w:rPr>
        <w:t>s</w:t>
      </w:r>
      <w:r>
        <w:rPr>
          <w:rFonts w:ascii="Arial" w:hAnsi="Arial" w:cs="Arial"/>
          <w:sz w:val="24"/>
          <w:szCs w:val="24"/>
        </w:rPr>
        <w:t xml:space="preserve">trategy that </w:t>
      </w:r>
      <w:r w:rsidR="00FE2126" w:rsidRPr="00F919CD">
        <w:rPr>
          <w:rFonts w:ascii="Arial" w:hAnsi="Arial" w:cs="Arial"/>
          <w:sz w:val="24"/>
          <w:szCs w:val="24"/>
        </w:rPr>
        <w:t>provide</w:t>
      </w:r>
      <w:r>
        <w:rPr>
          <w:rFonts w:ascii="Arial" w:hAnsi="Arial" w:cs="Arial"/>
          <w:sz w:val="24"/>
          <w:szCs w:val="24"/>
        </w:rPr>
        <w:t>s</w:t>
      </w:r>
      <w:r w:rsidR="00FE2126" w:rsidRPr="00F919CD">
        <w:rPr>
          <w:rFonts w:ascii="Arial" w:hAnsi="Arial" w:cs="Arial"/>
          <w:sz w:val="24"/>
          <w:szCs w:val="24"/>
        </w:rPr>
        <w:t xml:space="preserve"> reliable</w:t>
      </w:r>
      <w:r w:rsidR="005D7F98">
        <w:rPr>
          <w:rFonts w:ascii="Arial" w:hAnsi="Arial" w:cs="Arial"/>
          <w:sz w:val="24"/>
          <w:szCs w:val="24"/>
        </w:rPr>
        <w:t xml:space="preserve"> guidance</w:t>
      </w:r>
      <w:r w:rsidR="00FE2126" w:rsidRPr="00F919CD">
        <w:rPr>
          <w:rFonts w:ascii="Arial" w:hAnsi="Arial" w:cs="Arial"/>
          <w:sz w:val="24"/>
          <w:szCs w:val="24"/>
        </w:rPr>
        <w:t xml:space="preserve"> to stakeholders</w:t>
      </w:r>
      <w:r w:rsidR="00837474" w:rsidRPr="00F919CD">
        <w:rPr>
          <w:rFonts w:ascii="Arial" w:hAnsi="Arial" w:cs="Arial"/>
          <w:sz w:val="24"/>
          <w:szCs w:val="24"/>
        </w:rPr>
        <w:t xml:space="preserve"> </w:t>
      </w:r>
      <w:r w:rsidR="00215812">
        <w:rPr>
          <w:rFonts w:ascii="Arial" w:hAnsi="Arial" w:cs="Arial"/>
          <w:sz w:val="24"/>
          <w:szCs w:val="24"/>
        </w:rPr>
        <w:t xml:space="preserve">to </w:t>
      </w:r>
      <w:r w:rsidR="00837474" w:rsidRPr="00F919CD">
        <w:rPr>
          <w:rFonts w:ascii="Arial" w:hAnsi="Arial" w:cs="Arial"/>
          <w:sz w:val="24"/>
          <w:szCs w:val="24"/>
        </w:rPr>
        <w:t>reassur</w:t>
      </w:r>
      <w:r w:rsidR="00215812">
        <w:rPr>
          <w:rFonts w:ascii="Arial" w:hAnsi="Arial" w:cs="Arial"/>
          <w:sz w:val="24"/>
          <w:szCs w:val="24"/>
        </w:rPr>
        <w:t>e end-</w:t>
      </w:r>
      <w:r w:rsidR="00D67E1F" w:rsidRPr="00F919CD">
        <w:rPr>
          <w:rFonts w:ascii="Arial" w:hAnsi="Arial" w:cs="Arial"/>
          <w:sz w:val="24"/>
          <w:szCs w:val="24"/>
        </w:rPr>
        <w:t xml:space="preserve">users </w:t>
      </w:r>
      <w:r w:rsidR="00FE2126" w:rsidRPr="00F919CD">
        <w:rPr>
          <w:rFonts w:ascii="Arial" w:hAnsi="Arial" w:cs="Arial"/>
          <w:sz w:val="24"/>
          <w:szCs w:val="24"/>
        </w:rPr>
        <w:t xml:space="preserve">that AI systems are legal, effective, ethical, safe, and otherwise trustworthy. </w:t>
      </w:r>
    </w:p>
    <w:p w14:paraId="47DC7186" w14:textId="77777777" w:rsidR="005D1248" w:rsidRDefault="005D1248" w:rsidP="00A6643B">
      <w:pPr>
        <w:spacing w:after="0" w:line="240" w:lineRule="auto"/>
        <w:rPr>
          <w:rFonts w:ascii="Arial" w:hAnsi="Arial" w:cs="Arial"/>
          <w:sz w:val="24"/>
          <w:szCs w:val="24"/>
        </w:rPr>
      </w:pPr>
    </w:p>
    <w:p w14:paraId="7359E985" w14:textId="784849B7" w:rsidR="006766E3" w:rsidRDefault="009C2A54" w:rsidP="00A6643B">
      <w:pPr>
        <w:spacing w:after="0" w:line="240" w:lineRule="auto"/>
        <w:rPr>
          <w:rFonts w:ascii="Arial" w:hAnsi="Arial" w:cs="Arial"/>
          <w:sz w:val="24"/>
          <w:szCs w:val="24"/>
        </w:rPr>
      </w:pPr>
      <w:r w:rsidRPr="00F919CD">
        <w:rPr>
          <w:rFonts w:ascii="Arial" w:hAnsi="Arial" w:cs="Arial"/>
          <w:sz w:val="24"/>
          <w:szCs w:val="24"/>
        </w:rPr>
        <w:t xml:space="preserve">The App Association </w:t>
      </w:r>
      <w:r w:rsidR="0005091C">
        <w:rPr>
          <w:rFonts w:ascii="Arial" w:hAnsi="Arial" w:cs="Arial"/>
          <w:sz w:val="24"/>
          <w:szCs w:val="24"/>
        </w:rPr>
        <w:t xml:space="preserve">has worked </w:t>
      </w:r>
      <w:r w:rsidRPr="00F919CD">
        <w:rPr>
          <w:rFonts w:ascii="Arial" w:hAnsi="Arial" w:cs="Arial"/>
          <w:sz w:val="24"/>
          <w:szCs w:val="24"/>
        </w:rPr>
        <w:t xml:space="preserve">proactively to </w:t>
      </w:r>
      <w:r w:rsidR="0005091C">
        <w:rPr>
          <w:rFonts w:ascii="Arial" w:hAnsi="Arial" w:cs="Arial"/>
          <w:sz w:val="24"/>
          <w:szCs w:val="24"/>
        </w:rPr>
        <w:t xml:space="preserve">develop consensus around AI governance and policy questions from across its diverse and innovative community of small businesses. </w:t>
      </w:r>
      <w:r w:rsidR="0074418B">
        <w:rPr>
          <w:rFonts w:ascii="Arial" w:hAnsi="Arial" w:cs="Arial"/>
          <w:sz w:val="24"/>
          <w:szCs w:val="24"/>
        </w:rPr>
        <w:t xml:space="preserve">As a result of these consensus-building efforts, the App Association has </w:t>
      </w:r>
      <w:r w:rsidR="00645D45">
        <w:rPr>
          <w:rFonts w:ascii="Arial" w:hAnsi="Arial" w:cs="Arial"/>
          <w:sz w:val="24"/>
          <w:szCs w:val="24"/>
        </w:rPr>
        <w:t xml:space="preserve">created </w:t>
      </w:r>
      <w:r w:rsidR="0074418B">
        <w:rPr>
          <w:rFonts w:ascii="Arial" w:hAnsi="Arial" w:cs="Arial"/>
          <w:sz w:val="24"/>
          <w:szCs w:val="24"/>
        </w:rPr>
        <w:t>comprehensive policy principles for AI governance</w:t>
      </w:r>
      <w:r w:rsidR="0074418B">
        <w:rPr>
          <w:rStyle w:val="FootnoteReference"/>
          <w:rFonts w:ascii="Arial" w:hAnsi="Arial" w:cs="Arial"/>
          <w:sz w:val="24"/>
          <w:szCs w:val="24"/>
        </w:rPr>
        <w:footnoteReference w:id="4"/>
      </w:r>
      <w:r w:rsidR="0074418B">
        <w:rPr>
          <w:rFonts w:ascii="Arial" w:hAnsi="Arial" w:cs="Arial"/>
          <w:sz w:val="24"/>
          <w:szCs w:val="24"/>
        </w:rPr>
        <w:t xml:space="preserve"> which </w:t>
      </w:r>
      <w:r w:rsidR="00E900D9">
        <w:rPr>
          <w:rFonts w:ascii="Arial" w:hAnsi="Arial" w:cs="Arial"/>
          <w:sz w:val="24"/>
          <w:szCs w:val="24"/>
        </w:rPr>
        <w:t xml:space="preserve">address many of the areas raised by </w:t>
      </w:r>
      <w:r w:rsidR="00513009">
        <w:rPr>
          <w:rFonts w:ascii="Arial" w:hAnsi="Arial" w:cs="Arial"/>
          <w:sz w:val="24"/>
          <w:szCs w:val="24"/>
        </w:rPr>
        <w:t xml:space="preserve">the Australian Government </w:t>
      </w:r>
      <w:r w:rsidR="00E900D9">
        <w:rPr>
          <w:rFonts w:ascii="Arial" w:hAnsi="Arial" w:cs="Arial"/>
          <w:sz w:val="24"/>
          <w:szCs w:val="24"/>
        </w:rPr>
        <w:t>in its request for information with detailed recommendations</w:t>
      </w:r>
      <w:r w:rsidR="0074418B">
        <w:rPr>
          <w:rFonts w:ascii="Arial" w:hAnsi="Arial" w:cs="Arial"/>
          <w:sz w:val="24"/>
          <w:szCs w:val="24"/>
        </w:rPr>
        <w:t xml:space="preserve">. </w:t>
      </w:r>
      <w:r w:rsidR="0074418B" w:rsidRPr="004D0BF2">
        <w:rPr>
          <w:rFonts w:ascii="Arial" w:hAnsi="Arial" w:cs="Arial"/>
          <w:b/>
          <w:bCs/>
          <w:sz w:val="24"/>
          <w:szCs w:val="24"/>
        </w:rPr>
        <w:t>Notably, the App Association’s policy principles for AI address quality assurance and oversight, recommending that any AI policy framework utilize risk-based approaches to ensure that the use of AI aligns with the recognized standards of safety, efficacy, and equity</w:t>
      </w:r>
      <w:r w:rsidR="00645D45" w:rsidRPr="004D0BF2">
        <w:rPr>
          <w:rFonts w:ascii="Arial" w:hAnsi="Arial" w:cs="Arial"/>
          <w:b/>
          <w:bCs/>
          <w:sz w:val="24"/>
          <w:szCs w:val="24"/>
        </w:rPr>
        <w:t>. Our AI policy principles also prioritize</w:t>
      </w:r>
      <w:r w:rsidR="0074418B" w:rsidRPr="004D0BF2">
        <w:rPr>
          <w:rFonts w:ascii="Arial" w:hAnsi="Arial" w:cs="Arial"/>
          <w:b/>
          <w:bCs/>
          <w:sz w:val="24"/>
          <w:szCs w:val="24"/>
        </w:rPr>
        <w:t xml:space="preserve"> ensur</w:t>
      </w:r>
      <w:r w:rsidR="00645D45" w:rsidRPr="004D0BF2">
        <w:rPr>
          <w:rFonts w:ascii="Arial" w:hAnsi="Arial" w:cs="Arial"/>
          <w:b/>
          <w:bCs/>
          <w:sz w:val="24"/>
          <w:szCs w:val="24"/>
        </w:rPr>
        <w:t xml:space="preserve">ing </w:t>
      </w:r>
      <w:r w:rsidR="0074418B" w:rsidRPr="004D0BF2">
        <w:rPr>
          <w:rFonts w:ascii="Arial" w:hAnsi="Arial" w:cs="Arial"/>
          <w:b/>
          <w:bCs/>
          <w:sz w:val="24"/>
          <w:szCs w:val="24"/>
        </w:rPr>
        <w:t>the appropriate distribution and mitigation of risk and liability by providing that those in the value chain with the ability to minimize risks based on their knowledge and ability should have appropriate incentives to do so.</w:t>
      </w:r>
      <w:r w:rsidR="000E2D6F" w:rsidRPr="004D0BF2">
        <w:rPr>
          <w:rFonts w:ascii="Arial" w:hAnsi="Arial" w:cs="Arial"/>
          <w:b/>
          <w:bCs/>
          <w:sz w:val="24"/>
          <w:szCs w:val="24"/>
        </w:rPr>
        <w:t xml:space="preserve"> </w:t>
      </w:r>
    </w:p>
    <w:p w14:paraId="254A6E11" w14:textId="77777777" w:rsidR="009C2A54" w:rsidRPr="00F919CD" w:rsidRDefault="009C2A54" w:rsidP="005D1248">
      <w:pPr>
        <w:spacing w:after="0" w:line="240" w:lineRule="auto"/>
        <w:rPr>
          <w:rFonts w:ascii="Arial" w:hAnsi="Arial" w:cs="Arial"/>
          <w:sz w:val="24"/>
          <w:szCs w:val="24"/>
          <w:lang w:val="en"/>
        </w:rPr>
      </w:pPr>
    </w:p>
    <w:p w14:paraId="2AA7C5DA" w14:textId="7FBD91EA" w:rsidR="00705EE3" w:rsidRPr="00A6643B" w:rsidRDefault="00E900D9" w:rsidP="00F05C5B">
      <w:pPr>
        <w:spacing w:after="0" w:line="240" w:lineRule="auto"/>
        <w:rPr>
          <w:rFonts w:ascii="Arial" w:hAnsi="Arial" w:cs="Arial"/>
          <w:sz w:val="24"/>
          <w:szCs w:val="24"/>
        </w:rPr>
      </w:pPr>
      <w:r>
        <w:rPr>
          <w:rFonts w:ascii="Arial" w:hAnsi="Arial" w:cs="Arial"/>
          <w:sz w:val="24"/>
          <w:szCs w:val="24"/>
        </w:rPr>
        <w:t>T</w:t>
      </w:r>
      <w:r w:rsidR="00705EE3" w:rsidRPr="00A6643B">
        <w:rPr>
          <w:rFonts w:ascii="Arial" w:hAnsi="Arial" w:cs="Arial"/>
          <w:sz w:val="24"/>
          <w:szCs w:val="24"/>
        </w:rPr>
        <w:t xml:space="preserve">he App Association </w:t>
      </w:r>
      <w:r>
        <w:rPr>
          <w:rFonts w:ascii="Arial" w:hAnsi="Arial" w:cs="Arial"/>
          <w:sz w:val="24"/>
          <w:szCs w:val="24"/>
        </w:rPr>
        <w:t xml:space="preserve">also </w:t>
      </w:r>
      <w:r w:rsidR="00705EE3" w:rsidRPr="00A6643B">
        <w:rPr>
          <w:rFonts w:ascii="Arial" w:hAnsi="Arial" w:cs="Arial"/>
          <w:sz w:val="24"/>
          <w:szCs w:val="24"/>
        </w:rPr>
        <w:t xml:space="preserve">strongly urges for a coordinated effort across </w:t>
      </w:r>
      <w:r w:rsidR="00A67DBC">
        <w:rPr>
          <w:rFonts w:ascii="Arial" w:hAnsi="Arial" w:cs="Arial"/>
          <w:sz w:val="24"/>
          <w:szCs w:val="24"/>
        </w:rPr>
        <w:t>foreign governments and their</w:t>
      </w:r>
      <w:r w:rsidR="00705EE3" w:rsidRPr="00A6643B">
        <w:rPr>
          <w:rFonts w:ascii="Arial" w:hAnsi="Arial" w:cs="Arial"/>
          <w:sz w:val="24"/>
          <w:szCs w:val="24"/>
        </w:rPr>
        <w:t xml:space="preserve"> agencies. Already, numerous regulatory</w:t>
      </w:r>
      <w:r w:rsidR="005A4A3A" w:rsidRPr="00A6643B">
        <w:rPr>
          <w:rFonts w:ascii="Arial" w:hAnsi="Arial" w:cs="Arial"/>
          <w:sz w:val="24"/>
          <w:szCs w:val="24"/>
        </w:rPr>
        <w:t xml:space="preserve"> agencies, some cross-sectoral and others sector-specific, are considering or advancing regulatory proposals </w:t>
      </w:r>
      <w:r w:rsidR="005A4A3A" w:rsidRPr="00A6643B">
        <w:rPr>
          <w:rFonts w:ascii="Arial" w:hAnsi="Arial" w:cs="Arial"/>
          <w:sz w:val="24"/>
          <w:szCs w:val="24"/>
        </w:rPr>
        <w:lastRenderedPageBreak/>
        <w:t>that would take starkly different approaches to AI accountability. Some of these proposals are poised to put significant hurdles in place for the development and use of AI through one-size-fits -all approaches that have nominal public benefit at best</w:t>
      </w:r>
      <w:r>
        <w:rPr>
          <w:rFonts w:ascii="Arial" w:hAnsi="Arial" w:cs="Arial"/>
          <w:sz w:val="24"/>
          <w:szCs w:val="24"/>
        </w:rPr>
        <w:t xml:space="preserve"> and are</w:t>
      </w:r>
      <w:r w:rsidR="00B82745" w:rsidRPr="00A6643B">
        <w:rPr>
          <w:rFonts w:ascii="Arial" w:hAnsi="Arial" w:cs="Arial"/>
          <w:sz w:val="24"/>
          <w:szCs w:val="24"/>
        </w:rPr>
        <w:t xml:space="preserve"> misalign</w:t>
      </w:r>
      <w:r>
        <w:rPr>
          <w:rFonts w:ascii="Arial" w:hAnsi="Arial" w:cs="Arial"/>
          <w:sz w:val="24"/>
          <w:szCs w:val="24"/>
        </w:rPr>
        <w:t>ed</w:t>
      </w:r>
      <w:r w:rsidR="00B82745" w:rsidRPr="00A6643B">
        <w:rPr>
          <w:rFonts w:ascii="Arial" w:hAnsi="Arial" w:cs="Arial"/>
          <w:sz w:val="24"/>
          <w:szCs w:val="24"/>
        </w:rPr>
        <w:t xml:space="preserve"> with other leading efforts</w:t>
      </w:r>
      <w:r w:rsidR="00D8404E">
        <w:rPr>
          <w:rFonts w:ascii="Arial" w:hAnsi="Arial" w:cs="Arial"/>
          <w:sz w:val="24"/>
          <w:szCs w:val="24"/>
        </w:rPr>
        <w:t xml:space="preserve"> from the </w:t>
      </w:r>
      <w:r w:rsidR="00F572D4">
        <w:rPr>
          <w:rFonts w:ascii="Arial" w:hAnsi="Arial" w:cs="Arial"/>
          <w:sz w:val="24"/>
          <w:szCs w:val="24"/>
        </w:rPr>
        <w:t>United States</w:t>
      </w:r>
      <w:r w:rsidR="00D8404E">
        <w:rPr>
          <w:rFonts w:ascii="Arial" w:hAnsi="Arial" w:cs="Arial"/>
          <w:sz w:val="24"/>
          <w:szCs w:val="24"/>
        </w:rPr>
        <w:t xml:space="preserve"> government</w:t>
      </w:r>
      <w:r w:rsidR="00B82745" w:rsidRPr="00A6643B">
        <w:rPr>
          <w:rFonts w:ascii="Arial" w:hAnsi="Arial" w:cs="Arial"/>
          <w:sz w:val="24"/>
          <w:szCs w:val="24"/>
        </w:rPr>
        <w:t>, such as that of the National Institute of Standards and Technology [NIST]</w:t>
      </w:r>
      <w:r w:rsidR="00F572D4">
        <w:rPr>
          <w:rFonts w:ascii="Arial" w:hAnsi="Arial" w:cs="Arial"/>
          <w:sz w:val="24"/>
          <w:szCs w:val="24"/>
        </w:rPr>
        <w:t xml:space="preserve"> at worst</w:t>
      </w:r>
      <w:r w:rsidR="00B82745">
        <w:rPr>
          <w:rStyle w:val="FootnoteReference"/>
          <w:rFonts w:ascii="Arial" w:hAnsi="Arial" w:cs="Arial"/>
          <w:sz w:val="24"/>
          <w:szCs w:val="24"/>
        </w:rPr>
        <w:footnoteReference w:id="5"/>
      </w:r>
      <w:r w:rsidR="005A4A3A" w:rsidRPr="00A6643B">
        <w:rPr>
          <w:rFonts w:ascii="Arial" w:hAnsi="Arial" w:cs="Arial"/>
          <w:sz w:val="24"/>
          <w:szCs w:val="24"/>
        </w:rPr>
        <w:t>. In some cases, such proposals are being developed based on speculative and undemonstrated harms</w:t>
      </w:r>
      <w:r w:rsidR="00C132FA" w:rsidRPr="00A6643B">
        <w:rPr>
          <w:rFonts w:ascii="Arial" w:hAnsi="Arial" w:cs="Arial"/>
          <w:sz w:val="24"/>
          <w:szCs w:val="24"/>
        </w:rPr>
        <w:t>.</w:t>
      </w:r>
      <w:r w:rsidR="00C132FA">
        <w:rPr>
          <w:rStyle w:val="FootnoteReference"/>
          <w:rFonts w:ascii="Arial" w:hAnsi="Arial" w:cs="Arial"/>
          <w:sz w:val="24"/>
          <w:szCs w:val="24"/>
        </w:rPr>
        <w:footnoteReference w:id="6"/>
      </w:r>
      <w:r w:rsidR="00C132FA" w:rsidRPr="00A6643B">
        <w:rPr>
          <w:rFonts w:ascii="Arial" w:hAnsi="Arial" w:cs="Arial"/>
          <w:sz w:val="24"/>
          <w:szCs w:val="24"/>
        </w:rPr>
        <w:t xml:space="preserve"> </w:t>
      </w:r>
      <w:r w:rsidR="00D8404E">
        <w:rPr>
          <w:rFonts w:ascii="Arial" w:hAnsi="Arial" w:cs="Arial"/>
          <w:sz w:val="24"/>
          <w:szCs w:val="24"/>
        </w:rPr>
        <w:t xml:space="preserve">The </w:t>
      </w:r>
      <w:r w:rsidR="00D8404E" w:rsidRPr="00D8404E">
        <w:rPr>
          <w:rFonts w:ascii="Arial" w:hAnsi="Arial" w:cs="Arial"/>
          <w:sz w:val="24"/>
          <w:szCs w:val="24"/>
        </w:rPr>
        <w:t>Department of Industry, Science and Resources</w:t>
      </w:r>
      <w:r w:rsidR="007158FC" w:rsidRPr="00A6643B">
        <w:rPr>
          <w:rFonts w:ascii="Arial" w:hAnsi="Arial" w:cs="Arial"/>
          <w:sz w:val="24"/>
          <w:szCs w:val="24"/>
        </w:rPr>
        <w:t xml:space="preserve">, along with other cross-sectoral subject matter expert agencies </w:t>
      </w:r>
      <w:r w:rsidR="00D8404E">
        <w:rPr>
          <w:rFonts w:ascii="Arial" w:hAnsi="Arial" w:cs="Arial"/>
          <w:sz w:val="24"/>
          <w:szCs w:val="24"/>
        </w:rPr>
        <w:t>with</w:t>
      </w:r>
      <w:r w:rsidR="007158FC" w:rsidRPr="00A6643B">
        <w:rPr>
          <w:rFonts w:ascii="Arial" w:hAnsi="Arial" w:cs="Arial"/>
          <w:sz w:val="24"/>
          <w:szCs w:val="24"/>
        </w:rPr>
        <w:t xml:space="preserve">in the </w:t>
      </w:r>
      <w:r w:rsidR="00D8404E">
        <w:rPr>
          <w:rFonts w:ascii="Arial" w:hAnsi="Arial" w:cs="Arial"/>
          <w:sz w:val="24"/>
          <w:szCs w:val="24"/>
        </w:rPr>
        <w:t>Australian</w:t>
      </w:r>
      <w:r w:rsidR="00D8404E" w:rsidRPr="00A6643B">
        <w:rPr>
          <w:rFonts w:ascii="Arial" w:hAnsi="Arial" w:cs="Arial"/>
          <w:sz w:val="24"/>
          <w:szCs w:val="24"/>
        </w:rPr>
        <w:t xml:space="preserve"> </w:t>
      </w:r>
      <w:r w:rsidR="00D8404E">
        <w:rPr>
          <w:rFonts w:ascii="Arial" w:hAnsi="Arial" w:cs="Arial"/>
          <w:sz w:val="24"/>
          <w:szCs w:val="24"/>
        </w:rPr>
        <w:t>G</w:t>
      </w:r>
      <w:r w:rsidR="007158FC" w:rsidRPr="00A6643B">
        <w:rPr>
          <w:rFonts w:ascii="Arial" w:hAnsi="Arial" w:cs="Arial"/>
          <w:sz w:val="24"/>
          <w:szCs w:val="24"/>
        </w:rPr>
        <w:t xml:space="preserve">overnment should take </w:t>
      </w:r>
      <w:r>
        <w:rPr>
          <w:rFonts w:ascii="Arial" w:hAnsi="Arial" w:cs="Arial"/>
          <w:sz w:val="24"/>
          <w:szCs w:val="24"/>
        </w:rPr>
        <w:t>needed</w:t>
      </w:r>
      <w:r w:rsidR="007158FC" w:rsidRPr="00A6643B">
        <w:rPr>
          <w:rFonts w:ascii="Arial" w:hAnsi="Arial" w:cs="Arial"/>
          <w:sz w:val="24"/>
          <w:szCs w:val="24"/>
        </w:rPr>
        <w:t xml:space="preserve"> steps </w:t>
      </w:r>
      <w:r>
        <w:rPr>
          <w:rFonts w:ascii="Arial" w:hAnsi="Arial" w:cs="Arial"/>
          <w:sz w:val="24"/>
          <w:szCs w:val="24"/>
        </w:rPr>
        <w:t xml:space="preserve">through </w:t>
      </w:r>
      <w:r w:rsidR="00D8404E">
        <w:rPr>
          <w:rFonts w:ascii="Arial" w:hAnsi="Arial" w:cs="Arial"/>
          <w:sz w:val="24"/>
          <w:szCs w:val="24"/>
        </w:rPr>
        <w:t xml:space="preserve">implementing </w:t>
      </w:r>
      <w:r w:rsidR="00F572D4">
        <w:rPr>
          <w:rFonts w:ascii="Arial" w:hAnsi="Arial" w:cs="Arial"/>
          <w:sz w:val="24"/>
          <w:szCs w:val="24"/>
        </w:rPr>
        <w:t>a</w:t>
      </w:r>
      <w:r>
        <w:rPr>
          <w:rFonts w:ascii="Arial" w:hAnsi="Arial" w:cs="Arial"/>
          <w:sz w:val="24"/>
          <w:szCs w:val="24"/>
        </w:rPr>
        <w:t xml:space="preserve"> </w:t>
      </w:r>
      <w:r w:rsidR="00D8404E">
        <w:rPr>
          <w:rFonts w:ascii="Arial" w:hAnsi="Arial" w:cs="Arial"/>
          <w:sz w:val="24"/>
          <w:szCs w:val="24"/>
        </w:rPr>
        <w:t>s</w:t>
      </w:r>
      <w:r>
        <w:rPr>
          <w:rFonts w:ascii="Arial" w:hAnsi="Arial" w:cs="Arial"/>
          <w:sz w:val="24"/>
          <w:szCs w:val="24"/>
        </w:rPr>
        <w:t>trategy</w:t>
      </w:r>
      <w:r w:rsidR="00F572D4">
        <w:rPr>
          <w:rFonts w:ascii="Arial" w:hAnsi="Arial" w:cs="Arial"/>
          <w:sz w:val="24"/>
          <w:szCs w:val="24"/>
        </w:rPr>
        <w:t xml:space="preserve"> that</w:t>
      </w:r>
      <w:r w:rsidR="007158FC" w:rsidRPr="00A6643B">
        <w:rPr>
          <w:rFonts w:ascii="Arial" w:hAnsi="Arial" w:cs="Arial"/>
          <w:sz w:val="24"/>
          <w:szCs w:val="24"/>
        </w:rPr>
        <w:t xml:space="preserve"> ensure</w:t>
      </w:r>
      <w:r w:rsidR="00F572D4">
        <w:rPr>
          <w:rFonts w:ascii="Arial" w:hAnsi="Arial" w:cs="Arial"/>
          <w:sz w:val="24"/>
          <w:szCs w:val="24"/>
        </w:rPr>
        <w:t>s</w:t>
      </w:r>
      <w:r w:rsidR="007158FC" w:rsidRPr="00A6643B">
        <w:rPr>
          <w:rFonts w:ascii="Arial" w:hAnsi="Arial" w:cs="Arial"/>
          <w:sz w:val="24"/>
          <w:szCs w:val="24"/>
        </w:rPr>
        <w:t xml:space="preserve"> a harmonized and informed approach to AI governance</w:t>
      </w:r>
      <w:r>
        <w:rPr>
          <w:rFonts w:ascii="Arial" w:hAnsi="Arial" w:cs="Arial"/>
          <w:sz w:val="24"/>
          <w:szCs w:val="24"/>
        </w:rPr>
        <w:t>.</w:t>
      </w:r>
    </w:p>
    <w:p w14:paraId="19784C5F" w14:textId="77777777" w:rsidR="000026A0" w:rsidRPr="00F919CD" w:rsidRDefault="000026A0" w:rsidP="00A6643B">
      <w:pPr>
        <w:pStyle w:val="ListParagraph"/>
        <w:spacing w:after="0" w:line="240" w:lineRule="auto"/>
        <w:ind w:left="1440"/>
        <w:contextualSpacing w:val="0"/>
        <w:rPr>
          <w:rFonts w:ascii="Arial" w:hAnsi="Arial" w:cs="Arial"/>
          <w:b/>
          <w:bCs/>
          <w:sz w:val="24"/>
          <w:szCs w:val="24"/>
        </w:rPr>
      </w:pPr>
    </w:p>
    <w:p w14:paraId="70A27677" w14:textId="1F536C35" w:rsidR="00CF153A" w:rsidRPr="00F919CD" w:rsidRDefault="00CE6421" w:rsidP="00CF153A">
      <w:pPr>
        <w:spacing w:after="0" w:line="240" w:lineRule="auto"/>
        <w:rPr>
          <w:rFonts w:ascii="Arial" w:hAnsi="Arial" w:cs="Arial"/>
          <w:sz w:val="24"/>
          <w:szCs w:val="24"/>
        </w:rPr>
      </w:pPr>
      <w:r w:rsidRPr="00F919CD">
        <w:rPr>
          <w:rFonts w:ascii="Arial" w:hAnsi="Arial" w:cs="Arial"/>
          <w:sz w:val="24"/>
          <w:szCs w:val="24"/>
        </w:rPr>
        <w:t>Many entities</w:t>
      </w:r>
      <w:r w:rsidR="00984936" w:rsidRPr="00F919CD">
        <w:rPr>
          <w:rFonts w:ascii="Arial" w:hAnsi="Arial" w:cs="Arial"/>
          <w:sz w:val="24"/>
          <w:szCs w:val="24"/>
        </w:rPr>
        <w:t>, both public and private,</w:t>
      </w:r>
      <w:r w:rsidRPr="00F919CD">
        <w:rPr>
          <w:rFonts w:ascii="Arial" w:hAnsi="Arial" w:cs="Arial"/>
          <w:sz w:val="24"/>
          <w:szCs w:val="24"/>
        </w:rPr>
        <w:t xml:space="preserve"> </w:t>
      </w:r>
      <w:r w:rsidR="00CA564C" w:rsidRPr="00F919CD">
        <w:rPr>
          <w:rFonts w:ascii="Arial" w:hAnsi="Arial" w:cs="Arial"/>
          <w:sz w:val="24"/>
          <w:szCs w:val="24"/>
        </w:rPr>
        <w:t xml:space="preserve">are </w:t>
      </w:r>
      <w:r w:rsidR="007D6FA2" w:rsidRPr="00F919CD">
        <w:rPr>
          <w:rFonts w:ascii="Arial" w:hAnsi="Arial" w:cs="Arial"/>
          <w:sz w:val="24"/>
          <w:szCs w:val="24"/>
        </w:rPr>
        <w:t>actively</w:t>
      </w:r>
      <w:r w:rsidRPr="00F919CD">
        <w:rPr>
          <w:rFonts w:ascii="Arial" w:hAnsi="Arial" w:cs="Arial"/>
          <w:sz w:val="24"/>
          <w:szCs w:val="24"/>
        </w:rPr>
        <w:t xml:space="preserve"> engag</w:t>
      </w:r>
      <w:r w:rsidR="00CA564C" w:rsidRPr="00F919CD">
        <w:rPr>
          <w:rFonts w:ascii="Arial" w:hAnsi="Arial" w:cs="Arial"/>
          <w:sz w:val="24"/>
          <w:szCs w:val="24"/>
        </w:rPr>
        <w:t>ing</w:t>
      </w:r>
      <w:r w:rsidRPr="00F919CD">
        <w:rPr>
          <w:rFonts w:ascii="Arial" w:hAnsi="Arial" w:cs="Arial"/>
          <w:sz w:val="24"/>
          <w:szCs w:val="24"/>
        </w:rPr>
        <w:t xml:space="preserve"> in </w:t>
      </w:r>
      <w:r w:rsidR="007158FC">
        <w:rPr>
          <w:rFonts w:ascii="Arial" w:hAnsi="Arial" w:cs="Arial"/>
          <w:sz w:val="24"/>
          <w:szCs w:val="24"/>
        </w:rPr>
        <w:t xml:space="preserve">efforts to create and enforce AI </w:t>
      </w:r>
      <w:r w:rsidRPr="00F919CD">
        <w:rPr>
          <w:rFonts w:ascii="Arial" w:hAnsi="Arial" w:cs="Arial"/>
          <w:sz w:val="24"/>
          <w:szCs w:val="24"/>
        </w:rPr>
        <w:t xml:space="preserve">accountability </w:t>
      </w:r>
      <w:r w:rsidR="007158FC">
        <w:rPr>
          <w:rFonts w:ascii="Arial" w:hAnsi="Arial" w:cs="Arial"/>
          <w:sz w:val="24"/>
          <w:szCs w:val="24"/>
        </w:rPr>
        <w:t xml:space="preserve">frameworks, which may lead to </w:t>
      </w:r>
      <w:r w:rsidR="007E7A80">
        <w:rPr>
          <w:rFonts w:ascii="Arial" w:hAnsi="Arial" w:cs="Arial"/>
          <w:sz w:val="24"/>
          <w:szCs w:val="24"/>
        </w:rPr>
        <w:t>t</w:t>
      </w:r>
      <w:r w:rsidR="007158FC">
        <w:rPr>
          <w:rFonts w:ascii="Arial" w:hAnsi="Arial" w:cs="Arial"/>
          <w:sz w:val="24"/>
          <w:szCs w:val="24"/>
        </w:rPr>
        <w:t>he creation of trusted audits</w:t>
      </w:r>
      <w:r w:rsidR="007E7A80">
        <w:rPr>
          <w:rFonts w:ascii="Arial" w:hAnsi="Arial" w:cs="Arial"/>
          <w:sz w:val="24"/>
          <w:szCs w:val="24"/>
        </w:rPr>
        <w:t xml:space="preserve">, </w:t>
      </w:r>
      <w:r w:rsidR="007158FC">
        <w:rPr>
          <w:rFonts w:ascii="Arial" w:hAnsi="Arial" w:cs="Arial"/>
          <w:sz w:val="24"/>
          <w:szCs w:val="24"/>
        </w:rPr>
        <w:t>assessments</w:t>
      </w:r>
      <w:r w:rsidR="007E7A80">
        <w:rPr>
          <w:rFonts w:ascii="Arial" w:hAnsi="Arial" w:cs="Arial"/>
          <w:sz w:val="24"/>
          <w:szCs w:val="24"/>
        </w:rPr>
        <w:t xml:space="preserve">, and </w:t>
      </w:r>
      <w:r w:rsidR="007158FC">
        <w:rPr>
          <w:rFonts w:ascii="Arial" w:hAnsi="Arial" w:cs="Arial"/>
          <w:sz w:val="24"/>
          <w:szCs w:val="24"/>
        </w:rPr>
        <w:t>certifications</w:t>
      </w:r>
      <w:r w:rsidRPr="00F919CD">
        <w:rPr>
          <w:rFonts w:ascii="Arial" w:hAnsi="Arial" w:cs="Arial"/>
          <w:sz w:val="24"/>
          <w:szCs w:val="24"/>
        </w:rPr>
        <w:t>.</w:t>
      </w:r>
      <w:r w:rsidR="00134F27" w:rsidRPr="00F919CD">
        <w:rPr>
          <w:rFonts w:ascii="Arial" w:hAnsi="Arial" w:cs="Arial"/>
          <w:sz w:val="24"/>
          <w:szCs w:val="24"/>
        </w:rPr>
        <w:t xml:space="preserve"> </w:t>
      </w:r>
      <w:r w:rsidR="007158FC">
        <w:rPr>
          <w:rFonts w:ascii="Arial" w:hAnsi="Arial" w:cs="Arial"/>
          <w:sz w:val="24"/>
          <w:szCs w:val="24"/>
        </w:rPr>
        <w:t xml:space="preserve">While this area continues to evolve, we strongly urge for </w:t>
      </w:r>
      <w:r w:rsidR="00147888">
        <w:rPr>
          <w:rFonts w:ascii="Arial" w:hAnsi="Arial" w:cs="Arial"/>
          <w:sz w:val="24"/>
          <w:szCs w:val="24"/>
        </w:rPr>
        <w:t xml:space="preserve">the Australian Government’s </w:t>
      </w:r>
      <w:r w:rsidR="007158FC">
        <w:rPr>
          <w:rFonts w:ascii="Arial" w:hAnsi="Arial" w:cs="Arial"/>
          <w:sz w:val="24"/>
          <w:szCs w:val="24"/>
        </w:rPr>
        <w:t xml:space="preserve">alignment with </w:t>
      </w:r>
      <w:r w:rsidR="001D2F23" w:rsidRPr="00F919CD">
        <w:rPr>
          <w:rFonts w:ascii="Arial" w:hAnsi="Arial" w:cs="Arial"/>
          <w:sz w:val="24"/>
          <w:szCs w:val="24"/>
        </w:rPr>
        <w:t xml:space="preserve">NIST’s </w:t>
      </w:r>
      <w:r w:rsidR="007158FC">
        <w:rPr>
          <w:rFonts w:ascii="Arial" w:hAnsi="Arial" w:cs="Arial"/>
          <w:sz w:val="24"/>
          <w:szCs w:val="24"/>
        </w:rPr>
        <w:t>efforts to develop a</w:t>
      </w:r>
      <w:r w:rsidR="001D2F23" w:rsidRPr="00F919CD">
        <w:rPr>
          <w:rFonts w:ascii="Arial" w:hAnsi="Arial" w:cs="Arial"/>
          <w:sz w:val="24"/>
          <w:szCs w:val="24"/>
        </w:rPr>
        <w:t xml:space="preserve"> voluntary artificial intelligence risk</w:t>
      </w:r>
      <w:r w:rsidR="00FF3457" w:rsidRPr="00F919CD">
        <w:rPr>
          <w:rFonts w:ascii="Arial" w:hAnsi="Arial" w:cs="Arial"/>
          <w:sz w:val="24"/>
          <w:szCs w:val="24"/>
        </w:rPr>
        <w:t xml:space="preserve"> </w:t>
      </w:r>
      <w:r w:rsidR="001D2F23" w:rsidRPr="00F919CD">
        <w:rPr>
          <w:rFonts w:ascii="Arial" w:hAnsi="Arial" w:cs="Arial"/>
          <w:sz w:val="24"/>
          <w:szCs w:val="24"/>
        </w:rPr>
        <w:t>management framework (AI RMF)</w:t>
      </w:r>
      <w:r w:rsidR="00CA564C" w:rsidRPr="00F919CD">
        <w:rPr>
          <w:rFonts w:ascii="Arial" w:hAnsi="Arial" w:cs="Arial"/>
          <w:sz w:val="24"/>
          <w:szCs w:val="24"/>
        </w:rPr>
        <w:t xml:space="preserve">, which aims to </w:t>
      </w:r>
      <w:r w:rsidR="001D2F23" w:rsidRPr="00F919CD">
        <w:rPr>
          <w:rFonts w:ascii="Arial" w:hAnsi="Arial" w:cs="Arial"/>
          <w:sz w:val="24"/>
          <w:szCs w:val="24"/>
        </w:rPr>
        <w:t>help designers, developers, users, and evaluators of AI systems evolve in knowledge, awareness, and best practices to better manage risks across the AI lifecycle.</w:t>
      </w:r>
      <w:r w:rsidR="001D2F23" w:rsidRPr="00F919CD">
        <w:rPr>
          <w:rStyle w:val="FootnoteReference"/>
          <w:rFonts w:ascii="Arial" w:hAnsi="Arial" w:cs="Arial"/>
          <w:sz w:val="24"/>
          <w:szCs w:val="24"/>
        </w:rPr>
        <w:footnoteReference w:id="7"/>
      </w:r>
      <w:r w:rsidR="005903AC" w:rsidRPr="00F919CD">
        <w:rPr>
          <w:rFonts w:ascii="Arial" w:hAnsi="Arial" w:cs="Arial"/>
          <w:sz w:val="24"/>
          <w:szCs w:val="24"/>
        </w:rPr>
        <w:t xml:space="preserve"> </w:t>
      </w:r>
      <w:r w:rsidR="007158FC">
        <w:rPr>
          <w:rFonts w:ascii="Arial" w:hAnsi="Arial" w:cs="Arial"/>
          <w:sz w:val="24"/>
          <w:szCs w:val="24"/>
        </w:rPr>
        <w:t xml:space="preserve">NIST’s AI RMF is best positioned to guide </w:t>
      </w:r>
      <w:r w:rsidR="00147888">
        <w:rPr>
          <w:rFonts w:ascii="Arial" w:hAnsi="Arial" w:cs="Arial"/>
          <w:sz w:val="24"/>
          <w:szCs w:val="24"/>
        </w:rPr>
        <w:t>global</w:t>
      </w:r>
      <w:r w:rsidR="007158FC">
        <w:rPr>
          <w:rFonts w:ascii="Arial" w:hAnsi="Arial" w:cs="Arial"/>
          <w:sz w:val="24"/>
          <w:szCs w:val="24"/>
        </w:rPr>
        <w:t xml:space="preserve"> efforts in addressing AI due to </w:t>
      </w:r>
      <w:r w:rsidR="00F572D4">
        <w:rPr>
          <w:rFonts w:ascii="Arial" w:hAnsi="Arial" w:cs="Arial"/>
          <w:sz w:val="24"/>
          <w:szCs w:val="24"/>
        </w:rPr>
        <w:t xml:space="preserve">its </w:t>
      </w:r>
      <w:r w:rsidR="007158FC">
        <w:rPr>
          <w:rFonts w:ascii="Arial" w:hAnsi="Arial" w:cs="Arial"/>
          <w:sz w:val="24"/>
          <w:szCs w:val="24"/>
        </w:rPr>
        <w:t>expertise and its collaborative and open approach to developing the AI RMF, similar to NIST’s Cybersecurity Framework.</w:t>
      </w:r>
      <w:r w:rsidR="007158FC">
        <w:rPr>
          <w:rStyle w:val="FootnoteReference"/>
          <w:rFonts w:ascii="Arial" w:hAnsi="Arial" w:cs="Arial"/>
          <w:sz w:val="24"/>
          <w:szCs w:val="24"/>
        </w:rPr>
        <w:footnoteReference w:id="8"/>
      </w:r>
      <w:r w:rsidR="007158FC">
        <w:rPr>
          <w:rFonts w:ascii="Arial" w:hAnsi="Arial" w:cs="Arial"/>
          <w:sz w:val="24"/>
          <w:szCs w:val="24"/>
        </w:rPr>
        <w:t xml:space="preserve"> </w:t>
      </w:r>
      <w:r w:rsidR="00330608">
        <w:rPr>
          <w:rFonts w:ascii="Arial" w:hAnsi="Arial" w:cs="Arial"/>
          <w:sz w:val="24"/>
          <w:szCs w:val="24"/>
        </w:rPr>
        <w:t>It</w:t>
      </w:r>
      <w:r w:rsidR="00126AF9">
        <w:rPr>
          <w:rFonts w:ascii="Arial" w:hAnsi="Arial" w:cs="Arial"/>
          <w:sz w:val="24"/>
          <w:szCs w:val="24"/>
        </w:rPr>
        <w:t xml:space="preserve"> is in the public’s best interest that the NIST AI RMF</w:t>
      </w:r>
      <w:r w:rsidR="00A76F7C">
        <w:rPr>
          <w:rFonts w:ascii="Arial" w:hAnsi="Arial" w:cs="Arial"/>
          <w:sz w:val="24"/>
          <w:szCs w:val="24"/>
        </w:rPr>
        <w:t xml:space="preserve">’s scaled, risk-based approach serve as a basis for both </w:t>
      </w:r>
      <w:r w:rsidR="00F572D4">
        <w:rPr>
          <w:rFonts w:ascii="Arial" w:hAnsi="Arial" w:cs="Arial"/>
          <w:sz w:val="24"/>
          <w:szCs w:val="24"/>
        </w:rPr>
        <w:t xml:space="preserve">foreign and domestic </w:t>
      </w:r>
      <w:r w:rsidR="00A76F7C">
        <w:rPr>
          <w:rFonts w:ascii="Arial" w:hAnsi="Arial" w:cs="Arial"/>
          <w:sz w:val="24"/>
          <w:szCs w:val="24"/>
        </w:rPr>
        <w:t>approach</w:t>
      </w:r>
      <w:r w:rsidR="00F572D4">
        <w:rPr>
          <w:rFonts w:ascii="Arial" w:hAnsi="Arial" w:cs="Arial"/>
          <w:sz w:val="24"/>
          <w:szCs w:val="24"/>
        </w:rPr>
        <w:t xml:space="preserve">es </w:t>
      </w:r>
      <w:r w:rsidR="00A76F7C">
        <w:rPr>
          <w:rFonts w:ascii="Arial" w:hAnsi="Arial" w:cs="Arial"/>
          <w:sz w:val="24"/>
          <w:szCs w:val="24"/>
        </w:rPr>
        <w:t>to AI risk management and governance</w:t>
      </w:r>
      <w:r w:rsidR="003A278D">
        <w:rPr>
          <w:rFonts w:ascii="Arial" w:hAnsi="Arial" w:cs="Arial"/>
          <w:sz w:val="24"/>
          <w:szCs w:val="24"/>
        </w:rPr>
        <w:t xml:space="preserve">; and that </w:t>
      </w:r>
      <w:r w:rsidR="00C331BD">
        <w:rPr>
          <w:rFonts w:ascii="Arial" w:hAnsi="Arial" w:cs="Arial"/>
          <w:sz w:val="24"/>
          <w:szCs w:val="24"/>
        </w:rPr>
        <w:t xml:space="preserve">the Australian Government </w:t>
      </w:r>
      <w:r w:rsidR="003A278D">
        <w:rPr>
          <w:rFonts w:ascii="Arial" w:hAnsi="Arial" w:cs="Arial"/>
          <w:sz w:val="24"/>
          <w:szCs w:val="24"/>
        </w:rPr>
        <w:t>take active steps to bring</w:t>
      </w:r>
      <w:r w:rsidR="00C331BD">
        <w:rPr>
          <w:rFonts w:ascii="Arial" w:hAnsi="Arial" w:cs="Arial"/>
          <w:sz w:val="24"/>
          <w:szCs w:val="24"/>
        </w:rPr>
        <w:t xml:space="preserve"> its</w:t>
      </w:r>
      <w:r w:rsidR="003A278D">
        <w:rPr>
          <w:rFonts w:ascii="Arial" w:hAnsi="Arial" w:cs="Arial"/>
          <w:sz w:val="24"/>
          <w:szCs w:val="24"/>
        </w:rPr>
        <w:t xml:space="preserve"> agencies into alignment with this approach</w:t>
      </w:r>
      <w:r w:rsidR="00A76F7C">
        <w:rPr>
          <w:rFonts w:ascii="Arial" w:hAnsi="Arial" w:cs="Arial"/>
          <w:sz w:val="24"/>
          <w:szCs w:val="24"/>
        </w:rPr>
        <w:t>.</w:t>
      </w:r>
    </w:p>
    <w:p w14:paraId="3555F194" w14:textId="77777777" w:rsidR="00E900D9" w:rsidRDefault="00E900D9" w:rsidP="00A6643B">
      <w:pPr>
        <w:spacing w:after="0" w:line="240" w:lineRule="auto"/>
        <w:rPr>
          <w:rFonts w:ascii="Arial" w:hAnsi="Arial" w:cs="Arial"/>
          <w:sz w:val="24"/>
          <w:szCs w:val="24"/>
        </w:rPr>
      </w:pPr>
    </w:p>
    <w:p w14:paraId="096D1F0F" w14:textId="5D500FAC" w:rsidR="00640099" w:rsidRPr="00F919CD" w:rsidRDefault="00640099" w:rsidP="00E900D9">
      <w:pPr>
        <w:keepNext/>
        <w:keepLines/>
        <w:spacing w:after="0" w:line="240" w:lineRule="auto"/>
        <w:rPr>
          <w:rFonts w:ascii="Arial" w:hAnsi="Arial" w:cs="Arial"/>
          <w:sz w:val="24"/>
          <w:szCs w:val="24"/>
        </w:rPr>
      </w:pPr>
      <w:r w:rsidRPr="00F919CD">
        <w:rPr>
          <w:rFonts w:ascii="Arial" w:hAnsi="Arial" w:cs="Arial"/>
          <w:sz w:val="24"/>
          <w:szCs w:val="24"/>
        </w:rPr>
        <w:lastRenderedPageBreak/>
        <w:t>The App Association appreciates</w:t>
      </w:r>
      <w:r w:rsidR="00147888">
        <w:rPr>
          <w:rFonts w:ascii="Arial" w:hAnsi="Arial" w:cs="Arial"/>
          <w:sz w:val="24"/>
          <w:szCs w:val="24"/>
        </w:rPr>
        <w:t xml:space="preserve"> Australian Government’s </w:t>
      </w:r>
      <w:r w:rsidRPr="00F919CD">
        <w:rPr>
          <w:rFonts w:ascii="Arial" w:hAnsi="Arial" w:cs="Arial"/>
          <w:sz w:val="24"/>
          <w:szCs w:val="24"/>
        </w:rPr>
        <w:t>consideration of the above</w:t>
      </w:r>
      <w:r w:rsidR="00CF153A">
        <w:rPr>
          <w:rFonts w:ascii="Arial" w:hAnsi="Arial" w:cs="Arial"/>
          <w:sz w:val="24"/>
          <w:szCs w:val="24"/>
        </w:rPr>
        <w:t xml:space="preserve"> (and appended)</w:t>
      </w:r>
      <w:r w:rsidRPr="00F919CD">
        <w:rPr>
          <w:rFonts w:ascii="Arial" w:hAnsi="Arial" w:cs="Arial"/>
          <w:sz w:val="24"/>
          <w:szCs w:val="24"/>
        </w:rPr>
        <w:t xml:space="preserve"> views</w:t>
      </w:r>
      <w:r w:rsidR="00B805C2">
        <w:rPr>
          <w:rFonts w:ascii="Arial" w:hAnsi="Arial" w:cs="Arial"/>
          <w:sz w:val="24"/>
          <w:szCs w:val="24"/>
        </w:rPr>
        <w:t>,</w:t>
      </w:r>
      <w:r w:rsidRPr="00F919CD">
        <w:rPr>
          <w:rFonts w:ascii="Arial" w:hAnsi="Arial" w:cs="Arial"/>
          <w:sz w:val="24"/>
          <w:szCs w:val="24"/>
        </w:rPr>
        <w:t xml:space="preserve"> and we urge</w:t>
      </w:r>
      <w:r w:rsidR="00147888">
        <w:rPr>
          <w:rFonts w:ascii="Arial" w:hAnsi="Arial" w:cs="Arial"/>
          <w:sz w:val="24"/>
          <w:szCs w:val="24"/>
        </w:rPr>
        <w:t xml:space="preserve"> you </w:t>
      </w:r>
      <w:r w:rsidRPr="00F919CD">
        <w:rPr>
          <w:rFonts w:ascii="Arial" w:hAnsi="Arial" w:cs="Arial"/>
          <w:sz w:val="24"/>
          <w:szCs w:val="24"/>
        </w:rPr>
        <w:t xml:space="preserve">to contact the undersigned with any questions or </w:t>
      </w:r>
      <w:r w:rsidR="00E900D9">
        <w:rPr>
          <w:rFonts w:ascii="Arial" w:hAnsi="Arial" w:cs="Arial"/>
          <w:sz w:val="24"/>
          <w:szCs w:val="24"/>
        </w:rPr>
        <w:t xml:space="preserve">on </w:t>
      </w:r>
      <w:r w:rsidRPr="00F919CD">
        <w:rPr>
          <w:rFonts w:ascii="Arial" w:hAnsi="Arial" w:cs="Arial"/>
          <w:sz w:val="24"/>
          <w:szCs w:val="24"/>
        </w:rPr>
        <w:t>ways that we can assist moving forward.</w:t>
      </w:r>
    </w:p>
    <w:p w14:paraId="3A4D48BC" w14:textId="77777777" w:rsidR="00640099" w:rsidRPr="00F919CD" w:rsidRDefault="00640099" w:rsidP="00E900D9">
      <w:pPr>
        <w:keepNext/>
        <w:keepLines/>
        <w:spacing w:after="0" w:line="240" w:lineRule="auto"/>
        <w:rPr>
          <w:rFonts w:ascii="Arial" w:hAnsi="Arial" w:cs="Arial"/>
          <w:sz w:val="24"/>
          <w:szCs w:val="24"/>
        </w:rPr>
      </w:pPr>
    </w:p>
    <w:p w14:paraId="41EC164F" w14:textId="77777777" w:rsidR="00640099" w:rsidRPr="00F919CD" w:rsidRDefault="00640099" w:rsidP="00E900D9">
      <w:pPr>
        <w:keepNext/>
        <w:keepLines/>
        <w:spacing w:after="0" w:line="240" w:lineRule="auto"/>
        <w:rPr>
          <w:rFonts w:ascii="Arial" w:hAnsi="Arial" w:cs="Arial"/>
          <w:sz w:val="24"/>
          <w:szCs w:val="24"/>
        </w:rPr>
      </w:pPr>
    </w:p>
    <w:p w14:paraId="1920AF84" w14:textId="77777777"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Sincerely,</w:t>
      </w:r>
    </w:p>
    <w:p w14:paraId="15FA1420" w14:textId="77777777" w:rsidR="00640099" w:rsidRPr="00F919CD" w:rsidRDefault="00640099" w:rsidP="00E900D9">
      <w:pPr>
        <w:keepNext/>
        <w:keepLines/>
        <w:spacing w:after="0" w:line="240" w:lineRule="auto"/>
        <w:jc w:val="right"/>
        <w:rPr>
          <w:rFonts w:ascii="Arial" w:hAnsi="Arial" w:cs="Arial"/>
          <w:sz w:val="24"/>
          <w:szCs w:val="24"/>
        </w:rPr>
      </w:pPr>
    </w:p>
    <w:p w14:paraId="35E2D9CE" w14:textId="77777777" w:rsidR="00640099" w:rsidRPr="00F919CD" w:rsidRDefault="00640099" w:rsidP="00E900D9">
      <w:pPr>
        <w:keepNext/>
        <w:keepLines/>
        <w:spacing w:after="0" w:line="240" w:lineRule="auto"/>
        <w:rPr>
          <w:rFonts w:ascii="Arial" w:hAnsi="Arial" w:cs="Arial"/>
          <w:sz w:val="24"/>
          <w:szCs w:val="24"/>
        </w:rPr>
      </w:pPr>
      <w:r w:rsidRPr="00F919CD">
        <w:rPr>
          <w:rFonts w:ascii="Arial" w:hAnsi="Arial" w:cs="Arial"/>
          <w:noProof/>
          <w:sz w:val="24"/>
          <w:szCs w:val="24"/>
        </w:rPr>
        <w:drawing>
          <wp:anchor distT="0" distB="0" distL="114300" distR="114300" simplePos="0" relativeHeight="251658752" behindDoc="0" locked="0" layoutInCell="1" allowOverlap="1" wp14:anchorId="658F6F04" wp14:editId="4AA2C65E">
            <wp:simplePos x="5058697" y="3893574"/>
            <wp:positionH relativeFrom="column">
              <wp:align>right</wp:align>
            </wp:positionH>
            <wp:positionV relativeFrom="paragraph">
              <wp:align>top</wp:align>
            </wp:positionV>
            <wp:extent cx="1798839" cy="705259"/>
            <wp:effectExtent l="0" t="0" r="0" b="0"/>
            <wp:wrapSquare wrapText="bothSides"/>
            <wp:docPr id="2" name="Picture 2" descr="A picture containing sketch, line art, linedrawing, calli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ketch, line art, linedrawing, calligraph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839" cy="705259"/>
                    </a:xfrm>
                    <a:prstGeom prst="rect">
                      <a:avLst/>
                    </a:prstGeom>
                  </pic:spPr>
                </pic:pic>
              </a:graphicData>
            </a:graphic>
          </wp:anchor>
        </w:drawing>
      </w:r>
      <w:r w:rsidRPr="00F919CD">
        <w:rPr>
          <w:rFonts w:ascii="Arial" w:hAnsi="Arial" w:cs="Arial"/>
          <w:sz w:val="24"/>
          <w:szCs w:val="24"/>
        </w:rPr>
        <w:br w:type="textWrapping" w:clear="all"/>
      </w:r>
    </w:p>
    <w:p w14:paraId="5ACA86EE" w14:textId="77777777" w:rsidR="00640099" w:rsidRPr="00F919CD" w:rsidRDefault="00640099" w:rsidP="00E900D9">
      <w:pPr>
        <w:keepNext/>
        <w:keepLines/>
        <w:spacing w:after="0" w:line="240" w:lineRule="auto"/>
        <w:jc w:val="right"/>
        <w:rPr>
          <w:rFonts w:ascii="Arial" w:hAnsi="Arial" w:cs="Arial"/>
          <w:sz w:val="24"/>
          <w:szCs w:val="24"/>
        </w:rPr>
      </w:pPr>
    </w:p>
    <w:p w14:paraId="26A74329" w14:textId="77777777"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Brian Scarpelli</w:t>
      </w:r>
    </w:p>
    <w:p w14:paraId="79C8488B" w14:textId="77777777"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Senior Global Policy Counsel</w:t>
      </w:r>
    </w:p>
    <w:p w14:paraId="1393F5BC" w14:textId="77777777" w:rsidR="00640099" w:rsidRPr="00F919CD" w:rsidRDefault="00640099" w:rsidP="00E900D9">
      <w:pPr>
        <w:keepNext/>
        <w:keepLines/>
        <w:spacing w:after="0" w:line="240" w:lineRule="auto"/>
        <w:jc w:val="right"/>
        <w:rPr>
          <w:rFonts w:ascii="Arial" w:hAnsi="Arial" w:cs="Arial"/>
          <w:sz w:val="24"/>
          <w:szCs w:val="24"/>
        </w:rPr>
      </w:pPr>
    </w:p>
    <w:p w14:paraId="2E46DCE1" w14:textId="77777777"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Leanna Wade</w:t>
      </w:r>
    </w:p>
    <w:p w14:paraId="6F946453" w14:textId="105C2F83"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Regulatory Policy Associate</w:t>
      </w:r>
    </w:p>
    <w:p w14:paraId="2AD9B406" w14:textId="77777777" w:rsidR="00640099" w:rsidRPr="00F919CD" w:rsidRDefault="00640099" w:rsidP="00E900D9">
      <w:pPr>
        <w:keepNext/>
        <w:keepLines/>
        <w:spacing w:after="0" w:line="240" w:lineRule="auto"/>
        <w:jc w:val="right"/>
        <w:rPr>
          <w:rFonts w:ascii="Arial" w:hAnsi="Arial" w:cs="Arial"/>
          <w:sz w:val="24"/>
          <w:szCs w:val="24"/>
        </w:rPr>
      </w:pPr>
    </w:p>
    <w:p w14:paraId="7CDC04FF" w14:textId="77777777" w:rsidR="00640099" w:rsidRPr="00F919CD" w:rsidRDefault="00640099" w:rsidP="00E900D9">
      <w:pPr>
        <w:keepNext/>
        <w:keepLines/>
        <w:spacing w:after="0" w:line="240" w:lineRule="auto"/>
        <w:jc w:val="right"/>
        <w:rPr>
          <w:rFonts w:ascii="Arial" w:hAnsi="Arial" w:cs="Arial"/>
          <w:b/>
          <w:sz w:val="24"/>
          <w:szCs w:val="24"/>
        </w:rPr>
      </w:pPr>
      <w:r w:rsidRPr="00F919CD">
        <w:rPr>
          <w:rFonts w:ascii="Arial" w:hAnsi="Arial" w:cs="Arial"/>
          <w:b/>
          <w:sz w:val="24"/>
          <w:szCs w:val="24"/>
        </w:rPr>
        <w:t>ACT | The App Association</w:t>
      </w:r>
    </w:p>
    <w:p w14:paraId="1FB89B08" w14:textId="77777777"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1401 K St NW (Ste 501)</w:t>
      </w:r>
    </w:p>
    <w:p w14:paraId="08204712" w14:textId="77777777"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Washington, DC 20005</w:t>
      </w:r>
    </w:p>
    <w:p w14:paraId="595323C0" w14:textId="77777777" w:rsidR="00640099" w:rsidRPr="00F919CD" w:rsidRDefault="00640099" w:rsidP="00E900D9">
      <w:pPr>
        <w:keepNext/>
        <w:keepLines/>
        <w:spacing w:after="0" w:line="240" w:lineRule="auto"/>
        <w:jc w:val="right"/>
        <w:rPr>
          <w:rFonts w:ascii="Arial" w:hAnsi="Arial" w:cs="Arial"/>
          <w:sz w:val="24"/>
          <w:szCs w:val="24"/>
        </w:rPr>
      </w:pPr>
      <w:r w:rsidRPr="00F919CD">
        <w:rPr>
          <w:rFonts w:ascii="Arial" w:hAnsi="Arial" w:cs="Arial"/>
          <w:sz w:val="24"/>
          <w:szCs w:val="24"/>
        </w:rPr>
        <w:t>202-331-2130</w:t>
      </w:r>
    </w:p>
    <w:p w14:paraId="061D8FEB" w14:textId="2532034A" w:rsidR="008E7397" w:rsidRPr="00F919CD" w:rsidRDefault="008E7397" w:rsidP="00A6643B">
      <w:pPr>
        <w:spacing w:after="0" w:line="240" w:lineRule="auto"/>
        <w:rPr>
          <w:rFonts w:ascii="Arial" w:hAnsi="Arial" w:cs="Arial"/>
          <w:sz w:val="24"/>
          <w:szCs w:val="24"/>
        </w:rPr>
      </w:pPr>
      <w:r w:rsidRPr="00F919CD">
        <w:rPr>
          <w:rFonts w:ascii="Arial" w:hAnsi="Arial" w:cs="Arial"/>
          <w:sz w:val="24"/>
          <w:szCs w:val="24"/>
        </w:rPr>
        <w:t xml:space="preserve"> </w:t>
      </w:r>
    </w:p>
    <w:sectPr w:rsidR="008E7397" w:rsidRPr="00F919CD" w:rsidSect="00A6643B">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0137" w14:textId="77777777" w:rsidR="00337A56" w:rsidRDefault="00337A56" w:rsidP="003157A9">
      <w:pPr>
        <w:spacing w:after="0" w:line="240" w:lineRule="auto"/>
      </w:pPr>
      <w:r>
        <w:separator/>
      </w:r>
    </w:p>
  </w:endnote>
  <w:endnote w:type="continuationSeparator" w:id="0">
    <w:p w14:paraId="383270F4" w14:textId="77777777" w:rsidR="00337A56" w:rsidRDefault="00337A56" w:rsidP="0031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957288065"/>
      <w:docPartObj>
        <w:docPartGallery w:val="Page Numbers (Bottom of Page)"/>
        <w:docPartUnique/>
      </w:docPartObj>
    </w:sdtPr>
    <w:sdtEndPr>
      <w:rPr>
        <w:noProof/>
      </w:rPr>
    </w:sdtEndPr>
    <w:sdtContent>
      <w:p w14:paraId="5E985068" w14:textId="67F4EDD6" w:rsidR="000026A0" w:rsidRPr="00A6643B" w:rsidRDefault="000026A0">
        <w:pPr>
          <w:pStyle w:val="Footer"/>
          <w:jc w:val="center"/>
          <w:rPr>
            <w:rFonts w:ascii="Arial" w:hAnsi="Arial" w:cs="Arial"/>
          </w:rPr>
        </w:pPr>
        <w:r w:rsidRPr="00A6643B">
          <w:rPr>
            <w:rFonts w:ascii="Arial" w:hAnsi="Arial" w:cs="Arial"/>
          </w:rPr>
          <w:fldChar w:fldCharType="begin"/>
        </w:r>
        <w:r w:rsidRPr="00A6643B">
          <w:rPr>
            <w:rFonts w:ascii="Arial" w:hAnsi="Arial" w:cs="Arial"/>
          </w:rPr>
          <w:instrText xml:space="preserve"> PAGE   \* MERGEFORMAT </w:instrText>
        </w:r>
        <w:r w:rsidRPr="00A6643B">
          <w:rPr>
            <w:rFonts w:ascii="Arial" w:hAnsi="Arial" w:cs="Arial"/>
          </w:rPr>
          <w:fldChar w:fldCharType="separate"/>
        </w:r>
        <w:r w:rsidRPr="00A6643B">
          <w:rPr>
            <w:rFonts w:ascii="Arial" w:hAnsi="Arial" w:cs="Arial"/>
            <w:noProof/>
          </w:rPr>
          <w:t>2</w:t>
        </w:r>
        <w:r w:rsidRPr="00A6643B">
          <w:rPr>
            <w:rFonts w:ascii="Arial" w:hAnsi="Arial" w:cs="Arial"/>
            <w:noProof/>
          </w:rPr>
          <w:fldChar w:fldCharType="end"/>
        </w:r>
      </w:p>
    </w:sdtContent>
  </w:sdt>
  <w:p w14:paraId="37F01137" w14:textId="77777777" w:rsidR="000026A0" w:rsidRPr="00A6643B" w:rsidRDefault="000026A0">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46F6" w14:textId="77777777" w:rsidR="00337A56" w:rsidRDefault="00337A56" w:rsidP="003157A9">
      <w:pPr>
        <w:spacing w:after="0" w:line="240" w:lineRule="auto"/>
      </w:pPr>
      <w:r>
        <w:separator/>
      </w:r>
    </w:p>
  </w:footnote>
  <w:footnote w:type="continuationSeparator" w:id="0">
    <w:p w14:paraId="3C9C9A77" w14:textId="77777777" w:rsidR="00337A56" w:rsidRDefault="00337A56" w:rsidP="003157A9">
      <w:pPr>
        <w:spacing w:after="0" w:line="240" w:lineRule="auto"/>
      </w:pPr>
      <w:r>
        <w:continuationSeparator/>
      </w:r>
    </w:p>
  </w:footnote>
  <w:footnote w:id="1">
    <w:p w14:paraId="57538E00" w14:textId="63760F93" w:rsidR="00E900D9" w:rsidRPr="00E900D9" w:rsidRDefault="00E900D9" w:rsidP="00E900D9">
      <w:pPr>
        <w:pStyle w:val="FootnoteText"/>
        <w:spacing w:after="120"/>
        <w:rPr>
          <w:rFonts w:ascii="Arial" w:hAnsi="Arial" w:cs="Arial"/>
        </w:rPr>
      </w:pPr>
      <w:r w:rsidRPr="00E900D9">
        <w:rPr>
          <w:rStyle w:val="FootnoteReference"/>
          <w:rFonts w:ascii="Arial" w:hAnsi="Arial" w:cs="Arial"/>
        </w:rPr>
        <w:footnoteRef/>
      </w:r>
      <w:r w:rsidRPr="00E900D9">
        <w:rPr>
          <w:rFonts w:ascii="Arial" w:hAnsi="Arial" w:cs="Arial"/>
        </w:rPr>
        <w:t xml:space="preserve"> </w:t>
      </w:r>
      <w:hyperlink r:id="rId1" w:history="1">
        <w:r w:rsidR="00D4080C" w:rsidRPr="005079F8">
          <w:rPr>
            <w:rStyle w:val="Hyperlink"/>
            <w:rFonts w:ascii="Arial" w:hAnsi="Arial" w:cs="Arial"/>
          </w:rPr>
          <w:t>https://consult.industry.gov.au/supporting-responsible-ai</w:t>
        </w:r>
      </w:hyperlink>
      <w:r w:rsidRPr="00E900D9">
        <w:rPr>
          <w:rFonts w:ascii="Arial" w:hAnsi="Arial" w:cs="Arial"/>
        </w:rPr>
        <w:t>.</w:t>
      </w:r>
      <w:r w:rsidR="00D4080C">
        <w:rPr>
          <w:rFonts w:ascii="Arial" w:hAnsi="Arial" w:cs="Arial"/>
        </w:rPr>
        <w:t xml:space="preserve"> </w:t>
      </w:r>
      <w:r w:rsidRPr="00E900D9">
        <w:rPr>
          <w:rFonts w:ascii="Arial" w:hAnsi="Arial" w:cs="Arial"/>
        </w:rPr>
        <w:t xml:space="preserve">  </w:t>
      </w:r>
      <w:r w:rsidR="00A67DBC">
        <w:rPr>
          <w:rFonts w:ascii="Arial" w:hAnsi="Arial" w:cs="Arial"/>
        </w:rPr>
        <w:t xml:space="preserve"> </w:t>
      </w:r>
    </w:p>
  </w:footnote>
  <w:footnote w:id="2">
    <w:p w14:paraId="355C3438" w14:textId="77777777" w:rsidR="003157A9" w:rsidRPr="00E900D9" w:rsidRDefault="003157A9" w:rsidP="00BC2FCF">
      <w:pPr>
        <w:pStyle w:val="FootnoteText"/>
        <w:spacing w:after="120"/>
        <w:rPr>
          <w:rFonts w:ascii="Arial" w:hAnsi="Arial" w:cs="Arial"/>
        </w:rPr>
      </w:pPr>
      <w:r w:rsidRPr="00E900D9">
        <w:rPr>
          <w:rStyle w:val="FootnoteReference"/>
          <w:rFonts w:ascii="Arial" w:hAnsi="Arial" w:cs="Arial"/>
        </w:rPr>
        <w:footnoteRef/>
      </w:r>
      <w:r w:rsidRPr="00E900D9">
        <w:rPr>
          <w:rFonts w:ascii="Arial" w:hAnsi="Arial" w:cs="Arial"/>
        </w:rPr>
        <w:t xml:space="preserve"> ACT | The App Association, State of the U.S. App Economy: 2020 (7th Edition) (Apr. 2020), available at </w:t>
      </w:r>
      <w:hyperlink r:id="rId2" w:history="1">
        <w:r w:rsidRPr="00E900D9">
          <w:rPr>
            <w:rStyle w:val="Hyperlink"/>
            <w:rFonts w:ascii="Arial" w:hAnsi="Arial" w:cs="Arial"/>
          </w:rPr>
          <w:t>https://actonline.org/wp-content/uploads/2020-App-economy-Report.pdf</w:t>
        </w:r>
      </w:hyperlink>
      <w:r w:rsidRPr="00E900D9">
        <w:rPr>
          <w:rFonts w:ascii="Arial" w:hAnsi="Arial" w:cs="Arial"/>
        </w:rPr>
        <w:t xml:space="preserve"> </w:t>
      </w:r>
    </w:p>
  </w:footnote>
  <w:footnote w:id="3">
    <w:p w14:paraId="3C76C12B" w14:textId="77777777" w:rsidR="0058422E" w:rsidRPr="004D0BF2" w:rsidRDefault="0058422E" w:rsidP="0058422E">
      <w:pPr>
        <w:pStyle w:val="FootnoteText"/>
        <w:rPr>
          <w:rFonts w:ascii="Arial" w:hAnsi="Arial" w:cs="Arial"/>
        </w:rPr>
      </w:pPr>
      <w:r w:rsidRPr="004D0BF2">
        <w:rPr>
          <w:rStyle w:val="FootnoteReference"/>
          <w:rFonts w:ascii="Arial" w:hAnsi="Arial" w:cs="Arial"/>
        </w:rPr>
        <w:footnoteRef/>
      </w:r>
      <w:r w:rsidRPr="004D0BF2">
        <w:rPr>
          <w:rFonts w:ascii="Arial" w:hAnsi="Arial" w:cs="Arial"/>
        </w:rPr>
        <w:t xml:space="preserve"> McKinsey Global Institute, Artificial Intelligence: The Next Digital Frontier? (June 2017), available at  </w:t>
      </w:r>
    </w:p>
    <w:p w14:paraId="32DD7460" w14:textId="77777777" w:rsidR="0058422E" w:rsidRPr="004D0BF2" w:rsidRDefault="0058422E" w:rsidP="0058422E">
      <w:pPr>
        <w:pStyle w:val="FootnoteText"/>
        <w:rPr>
          <w:rFonts w:ascii="Arial" w:hAnsi="Arial" w:cs="Arial"/>
        </w:rPr>
      </w:pPr>
      <w:r w:rsidRPr="004D0BF2">
        <w:rPr>
          <w:rFonts w:ascii="Arial" w:hAnsi="Arial" w:cs="Arial"/>
        </w:rPr>
        <w:t>https://www.mckinsey.com/~/media/McKinsey/Industries/Advanced%20Electronics/Our%20Insights/How</w:t>
      </w:r>
    </w:p>
    <w:p w14:paraId="74C653F9" w14:textId="77777777" w:rsidR="0058422E" w:rsidRPr="004D0BF2" w:rsidRDefault="0058422E" w:rsidP="0058422E">
      <w:pPr>
        <w:pStyle w:val="FootnoteText"/>
        <w:rPr>
          <w:rFonts w:ascii="Arial" w:hAnsi="Arial" w:cs="Arial"/>
        </w:rPr>
      </w:pPr>
      <w:r w:rsidRPr="004D0BF2">
        <w:rPr>
          <w:rFonts w:ascii="Arial" w:hAnsi="Arial" w:cs="Arial"/>
        </w:rPr>
        <w:t>%20artificial%20intelligence%20can%20deliver%20real%20value%20to%20companies/MGI-Artificial-</w:t>
      </w:r>
    </w:p>
    <w:p w14:paraId="32CA7D62" w14:textId="0B715E2A" w:rsidR="0058422E" w:rsidRDefault="0058422E" w:rsidP="0058422E">
      <w:pPr>
        <w:pStyle w:val="FootnoteText"/>
      </w:pPr>
      <w:r w:rsidRPr="004D0BF2">
        <w:rPr>
          <w:rFonts w:ascii="Arial" w:hAnsi="Arial" w:cs="Arial"/>
        </w:rPr>
        <w:t>Intelligence-Discussion-paper.ashx</w:t>
      </w:r>
      <w:r>
        <w:t xml:space="preserve">. </w:t>
      </w:r>
    </w:p>
  </w:footnote>
  <w:footnote w:id="4">
    <w:p w14:paraId="07236501" w14:textId="2AB83D3E" w:rsidR="0074418B" w:rsidRPr="00E900D9" w:rsidRDefault="0074418B" w:rsidP="00BC2FCF">
      <w:pPr>
        <w:pStyle w:val="FootnoteText"/>
        <w:spacing w:after="120"/>
        <w:rPr>
          <w:rFonts w:ascii="Arial" w:hAnsi="Arial" w:cs="Arial"/>
        </w:rPr>
      </w:pPr>
      <w:r w:rsidRPr="00E900D9">
        <w:rPr>
          <w:rStyle w:val="FootnoteReference"/>
          <w:rFonts w:ascii="Arial" w:hAnsi="Arial" w:cs="Arial"/>
        </w:rPr>
        <w:footnoteRef/>
      </w:r>
      <w:r w:rsidRPr="00E900D9">
        <w:rPr>
          <w:rFonts w:ascii="Arial" w:hAnsi="Arial" w:cs="Arial"/>
        </w:rPr>
        <w:t xml:space="preserve"> </w:t>
      </w:r>
      <w:r w:rsidR="00C132FA" w:rsidRPr="00E900D9">
        <w:rPr>
          <w:rFonts w:ascii="Arial" w:hAnsi="Arial" w:cs="Arial"/>
        </w:rPr>
        <w:t xml:space="preserve">The App Association’s Policy Principles for Artificial Intelligence are included in this comment as </w:t>
      </w:r>
      <w:r w:rsidR="00C132FA" w:rsidRPr="00E900D9">
        <w:rPr>
          <w:rFonts w:ascii="Arial" w:hAnsi="Arial" w:cs="Arial"/>
          <w:b/>
          <w:bCs/>
        </w:rPr>
        <w:t>Appendix A</w:t>
      </w:r>
      <w:r w:rsidRPr="00E900D9">
        <w:rPr>
          <w:rFonts w:ascii="Arial" w:hAnsi="Arial" w:cs="Arial"/>
        </w:rPr>
        <w:t xml:space="preserve">. </w:t>
      </w:r>
    </w:p>
  </w:footnote>
  <w:footnote w:id="5">
    <w:p w14:paraId="04C4EA88" w14:textId="46CAD313" w:rsidR="00B82745" w:rsidRPr="00E900D9" w:rsidRDefault="00B82745" w:rsidP="00BC2FCF">
      <w:pPr>
        <w:pStyle w:val="FootnoteText"/>
        <w:spacing w:after="120"/>
        <w:rPr>
          <w:rFonts w:ascii="Arial" w:hAnsi="Arial" w:cs="Arial"/>
        </w:rPr>
      </w:pPr>
      <w:r w:rsidRPr="00E900D9">
        <w:rPr>
          <w:rStyle w:val="FootnoteReference"/>
          <w:rFonts w:ascii="Arial" w:hAnsi="Arial" w:cs="Arial"/>
        </w:rPr>
        <w:footnoteRef/>
      </w:r>
      <w:r w:rsidRPr="00E900D9">
        <w:rPr>
          <w:rFonts w:ascii="Arial" w:hAnsi="Arial" w:cs="Arial"/>
        </w:rPr>
        <w:t xml:space="preserve"> </w:t>
      </w:r>
      <w:hyperlink r:id="rId3" w:history="1">
        <w:r w:rsidRPr="00E900D9">
          <w:rPr>
            <w:rStyle w:val="Hyperlink"/>
            <w:rFonts w:ascii="Arial" w:hAnsi="Arial" w:cs="Arial"/>
          </w:rPr>
          <w:t>https://www.nist.gov/itl/ai-risk-management-framework</w:t>
        </w:r>
      </w:hyperlink>
      <w:r w:rsidRPr="00E900D9">
        <w:rPr>
          <w:rFonts w:ascii="Arial" w:hAnsi="Arial" w:cs="Arial"/>
        </w:rPr>
        <w:t xml:space="preserve">. </w:t>
      </w:r>
    </w:p>
  </w:footnote>
  <w:footnote w:id="6">
    <w:p w14:paraId="4D2F9931" w14:textId="7197A9F5" w:rsidR="00C132FA" w:rsidRPr="00E900D9" w:rsidRDefault="00C132FA" w:rsidP="00BC2FCF">
      <w:pPr>
        <w:pStyle w:val="FootnoteText"/>
        <w:spacing w:after="120"/>
        <w:rPr>
          <w:rFonts w:ascii="Arial" w:hAnsi="Arial" w:cs="Arial"/>
        </w:rPr>
      </w:pPr>
      <w:r w:rsidRPr="00E900D9">
        <w:rPr>
          <w:rStyle w:val="FootnoteReference"/>
          <w:rFonts w:ascii="Arial" w:hAnsi="Arial" w:cs="Arial"/>
        </w:rPr>
        <w:footnoteRef/>
      </w:r>
      <w:r w:rsidRPr="00E900D9">
        <w:rPr>
          <w:rFonts w:ascii="Arial" w:hAnsi="Arial" w:cs="Arial"/>
        </w:rPr>
        <w:t xml:space="preserve"> Trade Regulation Rule on Commercial Surveillance and Data Security, 87 FR 51273 (Aug. 22, 2022); App Association views provided to the Federal Trade Commission in response to its Advanced Notice of Proposed Rulemaking are available at </w:t>
      </w:r>
      <w:hyperlink r:id="rId4" w:history="1">
        <w:r w:rsidRPr="00E900D9">
          <w:rPr>
            <w:rStyle w:val="Hyperlink"/>
            <w:rFonts w:ascii="Arial" w:hAnsi="Arial" w:cs="Arial"/>
          </w:rPr>
          <w:t>https://www.regulations.gov/comment/FTC-2022-0053-1089</w:t>
        </w:r>
      </w:hyperlink>
      <w:r w:rsidRPr="00E900D9">
        <w:rPr>
          <w:rFonts w:ascii="Arial" w:hAnsi="Arial" w:cs="Arial"/>
        </w:rPr>
        <w:t xml:space="preserve">. </w:t>
      </w:r>
    </w:p>
  </w:footnote>
  <w:footnote w:id="7">
    <w:p w14:paraId="7A7F7CA7" w14:textId="561597CD" w:rsidR="001D2F23" w:rsidRPr="00E900D9" w:rsidRDefault="001D2F23" w:rsidP="00BC2FCF">
      <w:pPr>
        <w:pStyle w:val="FootnoteText"/>
        <w:spacing w:after="120"/>
        <w:rPr>
          <w:rFonts w:ascii="Arial" w:hAnsi="Arial" w:cs="Arial"/>
        </w:rPr>
      </w:pPr>
      <w:r w:rsidRPr="00E900D9">
        <w:rPr>
          <w:rStyle w:val="FootnoteReference"/>
          <w:rFonts w:ascii="Arial" w:hAnsi="Arial" w:cs="Arial"/>
        </w:rPr>
        <w:footnoteRef/>
      </w:r>
      <w:r w:rsidRPr="00E900D9">
        <w:rPr>
          <w:rFonts w:ascii="Arial" w:hAnsi="Arial" w:cs="Arial"/>
        </w:rPr>
        <w:t xml:space="preserve"> </w:t>
      </w:r>
      <w:hyperlink r:id="rId5" w:history="1">
        <w:r w:rsidR="007158FC" w:rsidRPr="00E900D9">
          <w:rPr>
            <w:rStyle w:val="Hyperlink"/>
            <w:rFonts w:ascii="Arial" w:hAnsi="Arial" w:cs="Arial"/>
          </w:rPr>
          <w:t>https://www.nist.gov/itl/ai-risk-management-framework</w:t>
        </w:r>
      </w:hyperlink>
      <w:r w:rsidR="007158FC" w:rsidRPr="00E900D9">
        <w:rPr>
          <w:rFonts w:ascii="Arial" w:hAnsi="Arial" w:cs="Arial"/>
        </w:rPr>
        <w:t xml:space="preserve">. </w:t>
      </w:r>
    </w:p>
  </w:footnote>
  <w:footnote w:id="8">
    <w:p w14:paraId="7854CE28" w14:textId="1A89DC43" w:rsidR="007158FC" w:rsidRPr="00E900D9" w:rsidRDefault="007158FC" w:rsidP="00BC2FCF">
      <w:pPr>
        <w:pStyle w:val="FootnoteText"/>
        <w:spacing w:after="120"/>
        <w:rPr>
          <w:rFonts w:ascii="Arial" w:hAnsi="Arial" w:cs="Arial"/>
        </w:rPr>
      </w:pPr>
      <w:r w:rsidRPr="00E900D9">
        <w:rPr>
          <w:rStyle w:val="FootnoteReference"/>
          <w:rFonts w:ascii="Arial" w:hAnsi="Arial" w:cs="Arial"/>
        </w:rPr>
        <w:footnoteRef/>
      </w:r>
      <w:r w:rsidRPr="00E900D9">
        <w:rPr>
          <w:rFonts w:ascii="Arial" w:hAnsi="Arial" w:cs="Arial"/>
        </w:rPr>
        <w:t xml:space="preserve"> </w:t>
      </w:r>
      <w:hyperlink r:id="rId6" w:history="1">
        <w:r w:rsidRPr="00E900D9">
          <w:rPr>
            <w:rStyle w:val="Hyperlink"/>
            <w:rFonts w:ascii="Arial" w:hAnsi="Arial" w:cs="Arial"/>
          </w:rPr>
          <w:t>https://www.nist.gov/cyberframework</w:t>
        </w:r>
      </w:hyperlink>
      <w:r w:rsidRPr="00E900D9">
        <w:rPr>
          <w:rFonts w:ascii="Arial" w:hAnsi="Arial" w:cs="Aria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0ED8" w14:textId="745004D8" w:rsidR="003157A9" w:rsidRDefault="00315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7D94" w14:textId="77777777" w:rsidR="005D1248" w:rsidRDefault="005D1248" w:rsidP="005D1248">
    <w:pPr>
      <w:pStyle w:val="Header"/>
    </w:pPr>
    <w:r>
      <w:rPr>
        <w:noProof/>
      </w:rPr>
      <w:drawing>
        <wp:inline distT="0" distB="0" distL="0" distR="0" wp14:anchorId="6AE04631" wp14:editId="38F1C52E">
          <wp:extent cx="5907405" cy="359410"/>
          <wp:effectExtent l="0" t="0" r="0" b="2540"/>
          <wp:docPr id="1385048048" name="Picture 1385048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7405" cy="359410"/>
                  </a:xfrm>
                  <a:prstGeom prst="rect">
                    <a:avLst/>
                  </a:prstGeom>
                  <a:noFill/>
                </pic:spPr>
              </pic:pic>
            </a:graphicData>
          </a:graphic>
        </wp:inline>
      </w:drawing>
    </w:r>
  </w:p>
  <w:p w14:paraId="05083881" w14:textId="77777777" w:rsidR="005D1248" w:rsidRDefault="005D1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F5DDA"/>
    <w:multiLevelType w:val="hybridMultilevel"/>
    <w:tmpl w:val="9CA6120E"/>
    <w:lvl w:ilvl="0" w:tplc="256640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35203"/>
    <w:multiLevelType w:val="hybridMultilevel"/>
    <w:tmpl w:val="2A8A69FA"/>
    <w:lvl w:ilvl="0" w:tplc="D88CFC1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4B9"/>
    <w:multiLevelType w:val="hybridMultilevel"/>
    <w:tmpl w:val="82E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F3F5F"/>
    <w:multiLevelType w:val="hybridMultilevel"/>
    <w:tmpl w:val="9E2479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E35D5"/>
    <w:multiLevelType w:val="hybridMultilevel"/>
    <w:tmpl w:val="3A28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059567">
    <w:abstractNumId w:val="1"/>
  </w:num>
  <w:num w:numId="2" w16cid:durableId="1305042039">
    <w:abstractNumId w:val="0"/>
  </w:num>
  <w:num w:numId="3" w16cid:durableId="1290622470">
    <w:abstractNumId w:val="4"/>
  </w:num>
  <w:num w:numId="4" w16cid:durableId="225994530">
    <w:abstractNumId w:val="3"/>
  </w:num>
  <w:num w:numId="5" w16cid:durableId="959334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A9"/>
    <w:rsid w:val="000026A0"/>
    <w:rsid w:val="00041E40"/>
    <w:rsid w:val="00043291"/>
    <w:rsid w:val="0005091C"/>
    <w:rsid w:val="0006156C"/>
    <w:rsid w:val="000629FB"/>
    <w:rsid w:val="00071E13"/>
    <w:rsid w:val="00075162"/>
    <w:rsid w:val="00091A35"/>
    <w:rsid w:val="00094420"/>
    <w:rsid w:val="000C434C"/>
    <w:rsid w:val="000E2D6F"/>
    <w:rsid w:val="000E30F1"/>
    <w:rsid w:val="000E3E59"/>
    <w:rsid w:val="000E75FB"/>
    <w:rsid w:val="000F26C4"/>
    <w:rsid w:val="00105E50"/>
    <w:rsid w:val="00126AF9"/>
    <w:rsid w:val="00134F27"/>
    <w:rsid w:val="00143374"/>
    <w:rsid w:val="00147888"/>
    <w:rsid w:val="00175925"/>
    <w:rsid w:val="001A1D55"/>
    <w:rsid w:val="001C1726"/>
    <w:rsid w:val="001D2F23"/>
    <w:rsid w:val="00201C49"/>
    <w:rsid w:val="00207C0F"/>
    <w:rsid w:val="002144A1"/>
    <w:rsid w:val="00215812"/>
    <w:rsid w:val="00245CD7"/>
    <w:rsid w:val="00246FF5"/>
    <w:rsid w:val="00280CDF"/>
    <w:rsid w:val="002C3010"/>
    <w:rsid w:val="003157A9"/>
    <w:rsid w:val="00330608"/>
    <w:rsid w:val="00337A56"/>
    <w:rsid w:val="003841D7"/>
    <w:rsid w:val="00396503"/>
    <w:rsid w:val="003A278D"/>
    <w:rsid w:val="003E50DF"/>
    <w:rsid w:val="003E640F"/>
    <w:rsid w:val="003F76F7"/>
    <w:rsid w:val="00425DB8"/>
    <w:rsid w:val="00482A34"/>
    <w:rsid w:val="00490D87"/>
    <w:rsid w:val="004A646E"/>
    <w:rsid w:val="004C2362"/>
    <w:rsid w:val="004D0BF2"/>
    <w:rsid w:val="00513009"/>
    <w:rsid w:val="00517944"/>
    <w:rsid w:val="00532331"/>
    <w:rsid w:val="00550F3A"/>
    <w:rsid w:val="005665D9"/>
    <w:rsid w:val="00567210"/>
    <w:rsid w:val="0058422E"/>
    <w:rsid w:val="00585280"/>
    <w:rsid w:val="005903AC"/>
    <w:rsid w:val="005A4A3A"/>
    <w:rsid w:val="005C3133"/>
    <w:rsid w:val="005D1248"/>
    <w:rsid w:val="005D7F98"/>
    <w:rsid w:val="005E1EE2"/>
    <w:rsid w:val="0061239E"/>
    <w:rsid w:val="00640099"/>
    <w:rsid w:val="00645D45"/>
    <w:rsid w:val="006726A1"/>
    <w:rsid w:val="006766E3"/>
    <w:rsid w:val="00696B89"/>
    <w:rsid w:val="006A38B5"/>
    <w:rsid w:val="006D2E2D"/>
    <w:rsid w:val="006D5FB4"/>
    <w:rsid w:val="00705EE3"/>
    <w:rsid w:val="007118A4"/>
    <w:rsid w:val="007158FC"/>
    <w:rsid w:val="0073569F"/>
    <w:rsid w:val="0074418B"/>
    <w:rsid w:val="0074522C"/>
    <w:rsid w:val="00762EA7"/>
    <w:rsid w:val="00782A11"/>
    <w:rsid w:val="00785420"/>
    <w:rsid w:val="007D114A"/>
    <w:rsid w:val="007D6FA2"/>
    <w:rsid w:val="007E165F"/>
    <w:rsid w:val="007E4935"/>
    <w:rsid w:val="007E7A80"/>
    <w:rsid w:val="007F2595"/>
    <w:rsid w:val="007F7813"/>
    <w:rsid w:val="00836937"/>
    <w:rsid w:val="00837474"/>
    <w:rsid w:val="00843A55"/>
    <w:rsid w:val="00856EA0"/>
    <w:rsid w:val="008B79B7"/>
    <w:rsid w:val="008D6626"/>
    <w:rsid w:val="008E41C2"/>
    <w:rsid w:val="008E7397"/>
    <w:rsid w:val="008F1C9F"/>
    <w:rsid w:val="00944E45"/>
    <w:rsid w:val="009556E7"/>
    <w:rsid w:val="0096563E"/>
    <w:rsid w:val="00984936"/>
    <w:rsid w:val="009A1714"/>
    <w:rsid w:val="009C2A54"/>
    <w:rsid w:val="009C5C48"/>
    <w:rsid w:val="009E0CCE"/>
    <w:rsid w:val="009F3F1E"/>
    <w:rsid w:val="009F6FA5"/>
    <w:rsid w:val="00A06067"/>
    <w:rsid w:val="00A32BE3"/>
    <w:rsid w:val="00A34CA4"/>
    <w:rsid w:val="00A40735"/>
    <w:rsid w:val="00A47F6D"/>
    <w:rsid w:val="00A510C6"/>
    <w:rsid w:val="00A6643B"/>
    <w:rsid w:val="00A67DBC"/>
    <w:rsid w:val="00A71745"/>
    <w:rsid w:val="00A718CE"/>
    <w:rsid w:val="00A76F7C"/>
    <w:rsid w:val="00AA60B1"/>
    <w:rsid w:val="00AB1DBF"/>
    <w:rsid w:val="00AB3A43"/>
    <w:rsid w:val="00AE1039"/>
    <w:rsid w:val="00AF1F81"/>
    <w:rsid w:val="00AF579E"/>
    <w:rsid w:val="00B1014B"/>
    <w:rsid w:val="00B124A7"/>
    <w:rsid w:val="00B204F0"/>
    <w:rsid w:val="00B54CAD"/>
    <w:rsid w:val="00B805C2"/>
    <w:rsid w:val="00B82745"/>
    <w:rsid w:val="00BC1A8F"/>
    <w:rsid w:val="00BC2FCF"/>
    <w:rsid w:val="00C05C9F"/>
    <w:rsid w:val="00C12428"/>
    <w:rsid w:val="00C132FA"/>
    <w:rsid w:val="00C16200"/>
    <w:rsid w:val="00C331BD"/>
    <w:rsid w:val="00C44CB7"/>
    <w:rsid w:val="00C5551E"/>
    <w:rsid w:val="00C73E17"/>
    <w:rsid w:val="00C92BF1"/>
    <w:rsid w:val="00CA564C"/>
    <w:rsid w:val="00CE6421"/>
    <w:rsid w:val="00CF153A"/>
    <w:rsid w:val="00D00DEE"/>
    <w:rsid w:val="00D121A5"/>
    <w:rsid w:val="00D4080C"/>
    <w:rsid w:val="00D654C0"/>
    <w:rsid w:val="00D67E1F"/>
    <w:rsid w:val="00D7033B"/>
    <w:rsid w:val="00D80170"/>
    <w:rsid w:val="00D8404E"/>
    <w:rsid w:val="00D92F9A"/>
    <w:rsid w:val="00DD1E56"/>
    <w:rsid w:val="00DD5EA3"/>
    <w:rsid w:val="00DD6CA2"/>
    <w:rsid w:val="00DE0809"/>
    <w:rsid w:val="00E11E46"/>
    <w:rsid w:val="00E14E60"/>
    <w:rsid w:val="00E54A53"/>
    <w:rsid w:val="00E65757"/>
    <w:rsid w:val="00E70773"/>
    <w:rsid w:val="00E753D1"/>
    <w:rsid w:val="00E829B0"/>
    <w:rsid w:val="00E900D9"/>
    <w:rsid w:val="00EC03A6"/>
    <w:rsid w:val="00ED0138"/>
    <w:rsid w:val="00ED3DFF"/>
    <w:rsid w:val="00F0359E"/>
    <w:rsid w:val="00F05C5B"/>
    <w:rsid w:val="00F572D4"/>
    <w:rsid w:val="00F61BA9"/>
    <w:rsid w:val="00F876A4"/>
    <w:rsid w:val="00F919CD"/>
    <w:rsid w:val="00F95A5A"/>
    <w:rsid w:val="00FC5A46"/>
    <w:rsid w:val="00FD59A1"/>
    <w:rsid w:val="00FE2126"/>
    <w:rsid w:val="00FF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E425D"/>
  <w15:docId w15:val="{35BCFF2C-0CF7-457E-8FEC-51055C9F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7A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n,ft,fn Char,Footnote Text Char3 Char,Footnote Text Char1 Char1 Char,Footnote Text Char2 Char Char Char,Footnote Text Char1 Char Char Char Char,Char Char1 Char Char Char Char,Char Char2 Char Char Char,Style 5,Car,VBB Footnote Text,ECIS"/>
    <w:basedOn w:val="Normal"/>
    <w:link w:val="FootnoteTextChar"/>
    <w:unhideWhenUsed/>
    <w:qFormat/>
    <w:rsid w:val="003157A9"/>
    <w:pPr>
      <w:spacing w:after="0" w:line="240" w:lineRule="auto"/>
    </w:pPr>
    <w:rPr>
      <w:sz w:val="20"/>
      <w:szCs w:val="20"/>
    </w:rPr>
  </w:style>
  <w:style w:type="character" w:customStyle="1" w:styleId="FootnoteTextChar">
    <w:name w:val="Footnote Text Char"/>
    <w:aliases w:val="fn Char1,ft Char,fn Char Char,Footnote Text Char3 Char Char,Footnote Text Char1 Char1 Char Char,Footnote Text Char2 Char Char Char Char,Footnote Text Char1 Char Char Char Char Char,Char Char1 Char Char Char Char Char,Style 5 Char"/>
    <w:basedOn w:val="DefaultParagraphFont"/>
    <w:link w:val="FootnoteText"/>
    <w:rsid w:val="003157A9"/>
    <w:rPr>
      <w:kern w:val="0"/>
      <w:sz w:val="20"/>
      <w:szCs w:val="20"/>
      <w14:ligatures w14:val="none"/>
    </w:rPr>
  </w:style>
  <w:style w:type="character" w:styleId="FootnoteReference">
    <w:name w:val="footnote reference"/>
    <w:aliases w:val="fr,o,Style 8,(NECG) Footnote Reference,FR,Style 3,Appel note de bas de p,Style 17,Style 12,Style 124,Style 13,callout,Style 6,Footnote Reference/,Style 20,Style 4,de nota al pie,Ref,Style 18,FT Char1,a Footnote Reference,Char1,Nota,FC"/>
    <w:basedOn w:val="DefaultParagraphFont"/>
    <w:uiPriority w:val="99"/>
    <w:unhideWhenUsed/>
    <w:qFormat/>
    <w:rsid w:val="003157A9"/>
    <w:rPr>
      <w:vertAlign w:val="superscript"/>
    </w:rPr>
  </w:style>
  <w:style w:type="character" w:styleId="Hyperlink">
    <w:name w:val="Hyperlink"/>
    <w:basedOn w:val="DefaultParagraphFont"/>
    <w:uiPriority w:val="99"/>
    <w:unhideWhenUsed/>
    <w:rsid w:val="003157A9"/>
    <w:rPr>
      <w:color w:val="0563C1" w:themeColor="hyperlink"/>
      <w:u w:val="single"/>
    </w:rPr>
  </w:style>
  <w:style w:type="paragraph" w:styleId="Header">
    <w:name w:val="header"/>
    <w:basedOn w:val="Normal"/>
    <w:link w:val="HeaderChar"/>
    <w:uiPriority w:val="99"/>
    <w:unhideWhenUsed/>
    <w:rsid w:val="0031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7A9"/>
    <w:rPr>
      <w:kern w:val="0"/>
      <w14:ligatures w14:val="none"/>
    </w:rPr>
  </w:style>
  <w:style w:type="paragraph" w:styleId="Footer">
    <w:name w:val="footer"/>
    <w:basedOn w:val="Normal"/>
    <w:link w:val="FooterChar"/>
    <w:uiPriority w:val="99"/>
    <w:unhideWhenUsed/>
    <w:rsid w:val="0031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7A9"/>
    <w:rPr>
      <w:kern w:val="0"/>
      <w14:ligatures w14:val="none"/>
    </w:rPr>
  </w:style>
  <w:style w:type="character" w:styleId="UnresolvedMention">
    <w:name w:val="Unresolved Mention"/>
    <w:basedOn w:val="DefaultParagraphFont"/>
    <w:uiPriority w:val="99"/>
    <w:semiHidden/>
    <w:unhideWhenUsed/>
    <w:rsid w:val="003157A9"/>
    <w:rPr>
      <w:color w:val="605E5C"/>
      <w:shd w:val="clear" w:color="auto" w:fill="E1DFDD"/>
    </w:rPr>
  </w:style>
  <w:style w:type="paragraph" w:styleId="ListParagraph">
    <w:name w:val="List Paragraph"/>
    <w:basedOn w:val="Normal"/>
    <w:uiPriority w:val="34"/>
    <w:qFormat/>
    <w:rsid w:val="009C5C48"/>
    <w:pPr>
      <w:ind w:left="720"/>
      <w:contextualSpacing/>
    </w:pPr>
  </w:style>
  <w:style w:type="paragraph" w:styleId="Revision">
    <w:name w:val="Revision"/>
    <w:hidden/>
    <w:uiPriority w:val="99"/>
    <w:semiHidden/>
    <w:rsid w:val="00105E5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36599">
      <w:bodyDiv w:val="1"/>
      <w:marLeft w:val="0"/>
      <w:marRight w:val="0"/>
      <w:marTop w:val="0"/>
      <w:marBottom w:val="0"/>
      <w:divBdr>
        <w:top w:val="none" w:sz="0" w:space="0" w:color="auto"/>
        <w:left w:val="none" w:sz="0" w:space="0" w:color="auto"/>
        <w:bottom w:val="none" w:sz="0" w:space="0" w:color="auto"/>
        <w:right w:val="none" w:sz="0" w:space="0" w:color="auto"/>
      </w:divBdr>
    </w:div>
    <w:div w:id="103928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ist.gov/itl/ai-risk-management-framework" TargetMode="External"/><Relationship Id="rId2" Type="http://schemas.openxmlformats.org/officeDocument/2006/relationships/hyperlink" Target="https://actonline.org/wp-content/uploads/2020-App-economy-Report.pdf" TargetMode="External"/><Relationship Id="rId1" Type="http://schemas.openxmlformats.org/officeDocument/2006/relationships/hyperlink" Target="https://consult.industry.gov.au/supporting-responsible-ai" TargetMode="External"/><Relationship Id="rId6" Type="http://schemas.openxmlformats.org/officeDocument/2006/relationships/hyperlink" Target="https://www.nist.gov/cyberframework" TargetMode="External"/><Relationship Id="rId5" Type="http://schemas.openxmlformats.org/officeDocument/2006/relationships/hyperlink" Target="https://www.nist.gov/itl/ai-risk-management-framework" TargetMode="External"/><Relationship Id="rId4" Type="http://schemas.openxmlformats.org/officeDocument/2006/relationships/hyperlink" Target="https://www.regulations.gov/comment/FTC-2022-0053-108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85086-A44B-4470-9D46-0ED27452B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Leanna Wade</dc:creator>
  <cp:keywords/>
  <dc:description/>
  <cp:lastModifiedBy>Leanna Wade</cp:lastModifiedBy>
  <cp:revision>2</cp:revision>
  <cp:lastPrinted>2023-06-13T01:46:00Z</cp:lastPrinted>
  <dcterms:created xsi:type="dcterms:W3CDTF">2023-07-26T14:11:00Z</dcterms:created>
  <dcterms:modified xsi:type="dcterms:W3CDTF">2023-07-26T14:11:00Z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2ced292ddf6aedcc1142e0b7ce367af5d88ac2e7602656cd90c0bda4cc8f3fd2</vt:lpwstr>
  </property>
</Properties>
</file>