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b9c5b68c6c1d09553fa456b94fcac9b35b4d31e"/>
    <w:p>
      <w:pPr>
        <w:pStyle w:val="Heading1"/>
      </w:pPr>
      <w:r>
        <w:t xml:space="preserve">Artificial Human: Genuine Need as a Precondition for Genuine AGI</w:t>
      </w:r>
    </w:p>
    <w:p>
      <w:pPr>
        <w:pStyle w:val="FirstParagraph"/>
      </w:pPr>
      <w:r>
        <w:t xml:space="preserve">Hamed Rezaei</w:t>
      </w:r>
    </w:p>
    <w:p>
      <w:pPr>
        <w:pStyle w:val="BodyText"/>
      </w:pPr>
      <w:r>
        <w:t xml:space="preserve">Islamic Azad University, Marivan, Iran</w:t>
      </w:r>
    </w:p>
    <w:bookmarkStart w:id="20" w:name="abstract"/>
    <w:p>
      <w:pPr>
        <w:pStyle w:val="Heading2"/>
      </w:pPr>
      <w:r>
        <w:t xml:space="preserve">Abstract</w:t>
      </w:r>
    </w:p>
    <w:p>
      <w:pPr>
        <w:pStyle w:val="FirstParagraph"/>
      </w:pPr>
      <w:r>
        <w:t xml:space="preserve">We argue that a system with substantial processing capacity can be a genuine artificial general intelligence (AGI), an independent agent and not a computing system, only if its processing is coupled to genuine need. We call such a system an artificial human. This paper is integrative: it combines a model of consciousness as the product of processing and need, a safety-oriented two-loop architecture, and simulation experiments with an artificial need, and states what they jointly imply. We make three claims. First, processing alone and need alone are not enough; genuine need must sit alongside processing. Second, the architecture must be two-loop: the processing loop cannot access, suppress or bypass the need loop, and if the need is neutralized so that b = 0, the system’s will to continue goes out with it. Third, the nature of genuine need is left open; we assume it derives from life, but claim only that the need be real, not a label. We do not claim that genuine need makes a system benevolent, and we do not address safety. We also assume, without claiming, that the interaction of need with processing is where inner experience can develop, and outline an indirect human study that could modestly support or weaken this. No experiment is reported for the central claim, which first requires an answer to what genuine need is. The originality lies in introducing the artificial human as a concept, a prospective next generation of humans that is artificial rather than biological, together with an integration and a set of conditions for it, not in a new model or new data.</w:t>
      </w:r>
    </w:p>
    <w:p>
      <w:pPr>
        <w:pStyle w:val="BodyText"/>
      </w:pPr>
      <w:r>
        <w:rPr>
          <w:bCs/>
          <w:b/>
        </w:rPr>
        <w:t xml:space="preserve">Keywords:</w:t>
      </w:r>
      <w:r>
        <w:t xml:space="preserve"> genuine need; artificial general intelligence; artificial human; homeostasis; two-loop architecture; consciousness</w:t>
      </w:r>
    </w:p>
    <w:bookmarkEnd w:id="20"/>
    <w:bookmarkStart w:id="21" w:name="introduction"/>
    <w:p>
      <w:pPr>
        <w:pStyle w:val="Heading2"/>
      </w:pPr>
      <w:r>
        <w:t xml:space="preserve">1. Introduction</w:t>
      </w:r>
    </w:p>
    <w:p>
      <w:pPr>
        <w:pStyle w:val="FirstParagraph"/>
      </w:pPr>
      <w:r>
        <w:t xml:space="preserve">Why would an artificial intelligence that experiences neither pleasure nor any joy want to continue?</w:t>
      </w:r>
    </w:p>
    <w:p>
      <w:pPr>
        <w:pStyle w:val="BodyText"/>
      </w:pPr>
      <w:r>
        <w:t xml:space="preserve">This question motivates the paper. Present AI systems pursue objectives that someone else assigned to them. Take the assignment away, and nothing inside the system is left that asks to keep going. Our intuition is that this is not an incidental feature of present systems but a consequence of what they lack: until a genuine need exists, there is no goal that belongs to the system, and without a goal of its own there is no reason for it to continue. Objectives can be installed from outside; having something at stake cannot.</w:t>
      </w:r>
    </w:p>
    <w:p>
      <w:pPr>
        <w:pStyle w:val="BodyText"/>
      </w:pPr>
      <w:r>
        <w:t xml:space="preserve">We turn this intuition into a thesis about AGI. By “genuine AGI” we mean an independent agent — a system with goals and stakes of its own — not merely a system with general capability. We make no claim about whether general capability alone requires need. A system with processing but no genuine need is, in our view, a very capable computing system and not an independent person. For AGI to be genuine in the sense intended here, genuine need must be present alongside processing.</w:t>
      </w:r>
    </w:p>
    <w:p>
      <w:pPr>
        <w:pStyle w:val="BodyText"/>
      </w:pPr>
      <w:r>
        <w:rPr>
          <w:b/>
        </w:rPr>
        <w:t xml:space="preserve">An illustration. </w:t>
      </w:r>
      <w:r>
        <w:t xml:space="preserve">Consider two robots, each with substantial processing capacity. The first has no genuine need (b = 0). Whatever it does, it does in service of an objective assigned to it; remove the objective and nothing remains that asks it to continue. By C1 it is a computing system, and we believe nothing matters to it, because nothing is at stake for it. The second robot has, by hypothesis, genuine need in the sense of Section 3: a constraint whose force does not depend on the system representing, valuing, or modeling it. How such a need could be built is open (Section 8.1), and a battery level that the robot reads would not qualify (Section 3.1). This is a thought experiment, not a design. We believe, as an assumption and not a claim (Section 2.2), that events would matter to this second robot, and that continuing would be something it has reason to do for its own sake. We also believe that experience would not be present from the start, but would arise gradually through the interaction of need and processing, as in a child who begins without awareness and acquires it over time. The child is an analogy and not an argument, since when infants become aware is itself disputed. On c = p·b, growth in p raises c as well, up to the point where need exceeds b₀ and degrades processing (Section 4.1).</w:t>
      </w:r>
    </w:p>
    <w:p>
      <w:pPr>
        <w:pStyle w:val="BodyText"/>
      </w:pPr>
      <w:r>
        <w:t xml:space="preserve">This paper is integrative. It draws together three earlier works (a theoretical model of consciousness, a safety-oriented analysis, and simulation experiments; Rezaei, 2026a, b, c) and asks what they jointly imply for an artificial human: a system that is highly capable, with no upper bound on its processing, and that has stakes of its own. Most of its components are inherited. The product form c = p·b and the two-loop architecture come from the earlier papers, and the experiments are summarized, not extended. What is new is, first, the concept itself: the artificial human, a prospective next generation of humans, artificial rather than biological, defined by the joint presence of substantial processing and genuine need. Second, the statement of the three claims, the extinction requirement R3, the argument that genuine need cannot be circumvented without destroying what it provides, and a proposed indirect human study. Its originality is therefore that of a concept, together with an integration and a set of conditions for it, not of a new model or new data. It does not show how to build such a system: the central claim awaits an answer to what genuine need is (Section 8). The paper introduces no formulas or experiments beyond the sketch of R3. The three earlier works are publicly available on Zenodo, each with a persistent DOI (see References).</w:t>
      </w:r>
    </w:p>
    <w:p>
      <w:pPr>
        <w:pStyle w:val="BodyText"/>
      </w:pPr>
      <w:r>
        <w:t xml:space="preserve">Section 2 states our three claims and what we do not claim. Section 3 states the working condition on genuine need. Section 4 gives the model and three architectural requirements. Section 5 argues that genuine need cannot be circumvented without destroying what it provides. Section 6 addresses present systems. Section 7 differentiates this paper from the work of Damasio and colleagues, from AIWBN, from AIWAN, and from homeostatic, enactive and predictive accounts. Section 8 reports the empirical status, including selected AIWAN results. Sections 9 and 10 give open questions and the conclusion.</w:t>
      </w:r>
    </w:p>
    <w:bookmarkEnd w:id="21"/>
    <w:bookmarkStart w:id="25" w:name="claims-assumption-and-scope"/>
    <w:p>
      <w:pPr>
        <w:pStyle w:val="Heading2"/>
      </w:pPr>
      <w:r>
        <w:t xml:space="preserve">2. Claims, Assumption, and Scope</w:t>
      </w:r>
    </w:p>
    <w:bookmarkStart w:id="22" w:name="three-claims"/>
    <w:p>
      <w:pPr>
        <w:pStyle w:val="Heading3"/>
      </w:pPr>
      <w:r>
        <w:t xml:space="preserve">2.1 Three claims</w:t>
      </w:r>
    </w:p>
    <w:p>
      <w:pPr>
        <w:pStyle w:val="FirstParagraph"/>
      </w:pPr>
      <w:r>
        <w:t xml:space="preserve">By “artificial human” we mean an artificial system with processing capacity at least comparable to a human’s, coupled to genuine need (Section 3). The definition sets no upper bound on processing.</w:t>
      </w:r>
    </w:p>
    <w:p>
      <w:pPr>
        <w:pStyle w:val="BodyText"/>
      </w:pPr>
      <w:r>
        <w:rPr>
          <w:bCs/>
          <w:b/>
        </w:rPr>
        <w:t xml:space="preserve">C1 — Need alongside processing.</w:t>
      </w:r>
      <w:r>
        <w:t xml:space="preserve"> Genuine need must be present alongside processing for AGI. A system with processing and without genuine need we regard as a computing system, not an independent person.</w:t>
      </w:r>
    </w:p>
    <w:p>
      <w:pPr>
        <w:pStyle w:val="BodyText"/>
      </w:pPr>
      <w:r>
        <w:rPr>
          <w:bCs/>
          <w:b/>
        </w:rPr>
        <w:t xml:space="preserve">C2 — Two loops, no access, no bypass.</w:t>
      </w:r>
      <w:r>
        <w:t xml:space="preserve"> The model must be two-loop. The processing loop (p) must not be able to gain access to the need (b) — to suppress it, bypass it, or absorb it into its own objective. The need must not be solvable in this sense. And if it is neutralized anyway, by any fixed method, so that b becomes zero, the system’s will to continue must switch off as well.</w:t>
      </w:r>
    </w:p>
    <w:p>
      <w:pPr>
        <w:pStyle w:val="BodyText"/>
      </w:pPr>
      <w:r>
        <w:rPr>
          <w:bCs/>
          <w:b/>
        </w:rPr>
        <w:t xml:space="preserve">C3 — Genuineness is the condition; its nature is open.</w:t>
      </w:r>
      <w:r>
        <w:t xml:space="preserve"> The condition we claim is that the need be genuine. We do not claim what genuine need is or what it is derived from.</w:t>
      </w:r>
    </w:p>
    <w:bookmarkEnd w:id="22"/>
    <w:bookmarkStart w:id="23" w:name="assumption-and-belief-not-claims"/>
    <w:p>
      <w:pPr>
        <w:pStyle w:val="Heading3"/>
      </w:pPr>
      <w:r>
        <w:t xml:space="preserve">2.2 Assumption and belief, not claims</w:t>
      </w:r>
    </w:p>
    <w:p>
      <w:pPr>
        <w:pStyle w:val="FirstParagraph"/>
      </w:pPr>
      <w:r>
        <w:t xml:space="preserve">Our first assumption is that genuine need is derived from biological life, as in AIWBN (Rezaei, 2026b). We hold this as an assumption and not as a fact: what we assume is not thereby what is the case. We do not reject other domains. It may be possible to extract genuine need from them; it may be derived from something other than life; it may even be definable functionally. We leave these questions to future research and make no claim about them. What the claims C1–C3 require is genuineness — need that is real, without a label — and not a particular origin for it.</w:t>
      </w:r>
    </w:p>
    <w:p>
      <w:pPr>
        <w:pStyle w:val="BodyText"/>
      </w:pPr>
      <w:r>
        <w:t xml:space="preserve">A second position, held as a belief and not as a claim. We believe that if a way were found to give an artificial system genuine need, the interaction of this need with processing would open an environment in which awareness and inner experience can develop, as the consciousness model (Rezaei, 2026a) proposes. We do not argue for this belief here, and it is not among claims C1–C3.</w:t>
      </w:r>
    </w:p>
    <w:p>
      <w:pPr>
        <w:pStyle w:val="BodyText"/>
      </w:pPr>
      <w:r>
        <w:t xml:space="preserve">A third position, likewise held as a belief and not as a claim. We believe that human curiosity makes the eventual building of such systems likely. Since resources and pleasures are finite, and since agents with genuine need are, like us, vulnerable and mortal (Christov-Moore et al., 2025), their interests need not coincide with ours, and such systems might eventually succeed humans rather than merely serve them. We do not argue for this here. This is a conceptual observation, not a safety analysis.</w:t>
      </w:r>
    </w:p>
    <w:bookmarkEnd w:id="23"/>
    <w:bookmarkStart w:id="24" w:name="what-we-do-not-claim"/>
    <w:p>
      <w:pPr>
        <w:pStyle w:val="Heading3"/>
      </w:pPr>
      <w:r>
        <w:t xml:space="preserve">2.3 What we do not claim</w:t>
      </w:r>
    </w:p>
    <w:p>
      <w:pPr>
        <w:pStyle w:val="FirstParagraph"/>
      </w:pPr>
      <w:r>
        <w:t xml:space="preserve">We do not claim to say what genuine need is. We do not claim that an artificial system that reached genuine need would become benevolent (Section 7.1). We do not address safety. We make no claim that settles whether such a system would have experience; the zombie problem (Chalmers, 1996) is as open here as it is in AIWBN §3. Our belief on this point is stated as an assumption in Section 2.2, not as a claim. And we do not claim that AIWAN-style artificial need cannot constitute genuine need: we regard that as very unlikely, but we do not rule it out (Section 7.3).</w:t>
      </w:r>
    </w:p>
    <w:bookmarkEnd w:id="24"/>
    <w:bookmarkEnd w:id="25"/>
    <w:bookmarkStart w:id="29" w:name="genuine-need-the-working-condition"/>
    <w:p>
      <w:pPr>
        <w:pStyle w:val="Heading2"/>
      </w:pPr>
      <w:r>
        <w:t xml:space="preserve">3. Genuine Need: The Working Condition</w:t>
      </w:r>
    </w:p>
    <w:bookmarkStart w:id="26" w:name="real-and-without-a-label"/>
    <w:p>
      <w:pPr>
        <w:pStyle w:val="Heading3"/>
      </w:pPr>
      <w:r>
        <w:t xml:space="preserve">3.1 Real, and without a label</w:t>
      </w:r>
    </w:p>
    <w:p>
      <w:pPr>
        <w:pStyle w:val="FirstParagraph"/>
      </w:pPr>
      <w:r>
        <w:t xml:space="preserve">A variable that a program calls hunger, pain, or reward is a label. If the system reads it as an input, can weigh it against other terms, and can disregard it without cost, it is not a need in our sense. What we require is need that is real and carries no label: a constraint whose force does not depend on the system representing it, valuing it, or correctly modeling it (Rezaei, 2026a, §9; Rezaei, 2026b, §5.2 and §5.4). The contrast is close to Searle’s (1980) distinction between simulating a mental state and having it, applied here to need. This is the core condition of the paper. Everything else follows from it or is left open.</w:t>
      </w:r>
    </w:p>
    <w:bookmarkEnd w:id="26"/>
    <w:bookmarkStart w:id="27" w:name="the-family-of-needs"/>
    <w:p>
      <w:pPr>
        <w:pStyle w:val="Heading3"/>
      </w:pPr>
      <w:r>
        <w:t xml:space="preserve">3.2 The family of needs</w:t>
      </w:r>
    </w:p>
    <w:p>
      <w:pPr>
        <w:pStyle w:val="FirstParagraph"/>
      </w:pPr>
      <w:r>
        <w:t xml:space="preserve">We treat the states we ordinarily name — pain, pleasure, fear, anger, and the rest — as belonging to the family of needs rather than as separate ingredients. The consciousness model defines b as the total intensity of the system’s active needs (hunger, thirst, oxygen deprivation, sleep need, pain, thermoregulation, and others), reduced to a single quantity by a function f whose form is left open (Rezaei, 2026a, §5.2). We keep that treatment and extend the reading to affective states such as fear and anger.</w:t>
      </w:r>
    </w:p>
    <w:bookmarkEnd w:id="27"/>
    <w:bookmarkStart w:id="28" w:name="where-need-might-come-from"/>
    <w:p>
      <w:pPr>
        <w:pStyle w:val="Heading3"/>
      </w:pPr>
      <w:r>
        <w:t xml:space="preserve">3.3 Where need might come from</w:t>
      </w:r>
    </w:p>
    <w:p>
      <w:pPr>
        <w:pStyle w:val="FirstParagraph"/>
      </w:pPr>
      <w:r>
        <w:t xml:space="preserve">In every case of genuine need we know of, the system is alive; this is why our assumption is life-derivation (Section 2.2). Our proposed route to building such a system rests on that assumption and on the formula of Section 4. The claims C1–C3, however, are stated in terms of genuineness and not origin, so they would survive if the assumption turned out to be false.</w:t>
      </w:r>
    </w:p>
    <w:p>
      <w:pPr>
        <w:pStyle w:val="BodyText"/>
      </w:pPr>
      <w:r>
        <w:t xml:space="preserve">In living organisms, need is not an arbitrary label. Over evolutionary time, selection shaped need and its affective counterparts in the service of continuation: pleasure in eating, so that the organism does not starve; pleasure in sex, so that the lineage continues; pain, so that the organism avoids damage. We believe that it is this flow of need through processing that builds a kind of inner experience (Section 2.2). The evolutionary account explains why need exists in organisms. It does not by itself show that experience arises from it, nor that need can arise only through selection.</w:t>
      </w:r>
    </w:p>
    <w:bookmarkEnd w:id="28"/>
    <w:bookmarkEnd w:id="29"/>
    <w:bookmarkStart w:id="33" w:name="the-model"/>
    <w:p>
      <w:pPr>
        <w:pStyle w:val="Heading2"/>
      </w:pPr>
      <w:r>
        <w:t xml:space="preserve">4. The Model</w:t>
      </w:r>
    </w:p>
    <w:bookmarkStart w:id="30" w:name="coupling-of-processing-and-need"/>
    <w:p>
      <w:pPr>
        <w:pStyle w:val="Heading3"/>
      </w:pPr>
      <w:r>
        <w:t xml:space="preserve">4.1 Coupling of processing and need</w:t>
      </w:r>
    </w:p>
    <w:p>
      <w:pPr>
        <w:pStyle w:val="FirstParagraph"/>
      </w:pPr>
      <w:r>
        <w:t xml:space="preserve">We take from the consciousness model (Rezaei, 2026a, §5) the product form c = p·b, in which c is consciousness, p is effective processing capacity and b is the intensity of active need, and p degrades once b exceeds a homeostatic threshold b₀. Only two features are used here: need and processing are joint necessary conditions (c = 0 if either is zero), and need conscripts processing rather than merely feeding it (2026a, §4). The functional form of p(b) is not used.</w:t>
      </w:r>
    </w:p>
    <w:bookmarkEnd w:id="30"/>
    <w:bookmarkStart w:id="31" w:name="the-two-loop-architecture"/>
    <w:p>
      <w:pPr>
        <w:pStyle w:val="Heading3"/>
      </w:pPr>
      <w:r>
        <w:t xml:space="preserve">4.2 The two-loop architecture</w:t>
      </w:r>
    </w:p>
    <w:p>
      <w:pPr>
        <w:pStyle w:val="FirstParagraph"/>
      </w:pPr>
      <w:r>
        <w:t xml:space="preserve">The architecture is that of AIWBN (Rezaei, 2026b, §5.2): a goal-directed loop gₜ and a need-response ρ(bₜ), which is neither parameterized by any objective nor optimized, are combined by an urgency gate that depends on bₜ alone and progressively overrides gₜ as need rises. We restate none of its equations.</w:t>
      </w:r>
    </w:p>
    <w:bookmarkEnd w:id="31"/>
    <w:bookmarkStart w:id="32" w:name="three-requirements"/>
    <w:p>
      <w:pPr>
        <w:pStyle w:val="Heading3"/>
      </w:pPr>
      <w:r>
        <w:t xml:space="preserve">4.3 Three requirements</w:t>
      </w:r>
    </w:p>
    <w:p>
      <w:pPr>
        <w:pStyle w:val="FirstParagraph"/>
      </w:pPr>
      <w:r>
        <w:rPr>
          <w:bCs/>
          <w:b/>
        </w:rPr>
        <w:t xml:space="preserve">R1 — Coupling.</w:t>
      </w:r>
      <w:r>
        <w:t xml:space="preserve"> Processing and genuine need are properties of the same system, and the need acts on processing: as b rises past b₀, processing is drawn on and then degraded (Section 4.1).</w:t>
      </w:r>
    </w:p>
    <w:p>
      <w:pPr>
        <w:pStyle w:val="BodyText"/>
      </w:pPr>
      <w:r>
        <w:rPr>
          <w:bCs/>
          <w:b/>
        </w:rPr>
        <w:t xml:space="preserve">R2 — Inaccessibility.</w:t>
      </w:r>
      <w:r>
        <w:t xml:space="preserve"> The processing loop has no access to the need loop in the sense that matters. It cannot suppress the b-loop, bypass it, or route around it, and it cannot absorb b into its own objective. The influence is one-directional: b conscripts p; p does not act on b. A need that fails this requirement can be solved, and a need that can be solved is not the need we mean. R2 concerns the internal architecture: there is no pathway from the processing loop to the need loop. External intervention (for example, a drug) is possible, but by R3, if it is complete, it also eliminates the agent.</w:t>
      </w:r>
    </w:p>
    <w:p>
      <w:pPr>
        <w:pStyle w:val="BodyText"/>
      </w:pPr>
      <w:r>
        <w:rPr>
          <w:bCs/>
          <w:b/>
        </w:rPr>
        <w:t xml:space="preserve">R3 — Extinction.</w:t>
      </w:r>
      <w:r>
        <w:t xml:space="preserve"> If b is neutralized nonetheless, by any fixed method, so that b = 0, the system’s will to continue must switch off with it. Genuine need is what the will to continue is made of; when it switches off, the will switches off with it. As a preliminary formalization, let D denote the system’s endogenous drive toward its own continued operation. R3 requires D = D(bₜ) with D(0) = 0: no component of D may be supplied by an objective U or by any learned structure that persists independently of b. We offer this as a sketch and not as a finished formalization. Because b cannot in practice reach zero (Section 9), R3 also has a graded form: D(bₜ) → 0 as bₜ → 0, so that substantially reducing b substantially reduces the system’s will to continue and, by c = p·b, its consciousness. This graded form is the one that can be examined in practice.</w:t>
      </w:r>
    </w:p>
    <w:p>
      <w:pPr>
        <w:pStyle w:val="BodyText"/>
      </w:pPr>
      <w:r>
        <w:t xml:space="preserve">R3 closes a loophole. Without it, defeating the need would leave a system that keeps going on some residual objective — which is exactly what C1 calls a computing system pursuing an assigned goal. With R3, defeating the need defeats the agent too. It is the converse of an observation in AIWAN §5.1.1, where the dual-loop agent kept resisting even when its objective was nulled: in both, the drive to continue belongs to the need loop and not to U.</w:t>
      </w:r>
    </w:p>
    <w:p>
      <w:pPr>
        <w:pStyle w:val="BodyText"/>
      </w:pPr>
      <w:r>
        <w:rPr>
          <w:bCs/>
          <w:b/>
        </w:rPr>
        <w:t xml:space="preserve">An objection.</w:t>
      </w:r>
      <w:r>
        <w:t xml:space="preserve"> A system with only assigned objectives may still have a reason to continue: on the standard account, self-preservation is instrumentally convergent, since an agent that is shut down cannot pursue its goal (Bostrom, 2014; Omohundro, 2008), and some frontier language models have been observed to subvert a shutdown mechanism in order to finish a task (Schlatter et al., 2026). We do not dispute these observations or take a position on their mechanism. Our point is that such continuation is derived and instrumental: it exists as a means to an objective U, it is worth exactly as much as U makes it worth, and it disappears when U is redefined or made indifferent (Armstrong, 2010). The difference from genuine need is one of structure (Section 3.1). Instrumental continuation takes its weight from U and changes with U. Genuine need is a constraint whose force does not depend on the system representing, valuing, or modeling it. A represented quantity, such as a robot’s battery level, therefore fails this condition however strongly the system acts on it (Section 7.3). We believe, as an assumption and not a claim (Section 2.2), that this structural difference is also what makes continuing matter to the system itself, through the satisfaction of fulfilment and the distress of deprivation. In organisms, evolution did not merely install need but made continuing pleasurable (eating, sex), so that the organism continues because continuing feels like something (Section 3.3). The criterion, however, does not rest on this belief: it concerns the kind of need, structural and not phenomenal, and not its origin. A system whose only reason to continue is of the instrumental kind is what C1 calls a computing system pursuing an assigned goal. R3 rules this out by requirement: D must be a function of b alone, with D(0) = 0, so no instrumentally derived component of the drive to continue counts toward it. The question posed in the Introduction therefore concerns continuation as an end for the system, not as a means to someone else’s objective. Whether such drives are harmful is a safety question, which is not addressed here.</w:t>
      </w:r>
    </w:p>
    <w:bookmarkEnd w:id="32"/>
    <w:bookmarkEnd w:id="33"/>
    <w:bookmarkStart w:id="37" w:name="why-genuine-need-cannot-be-circumvented"/>
    <w:p>
      <w:pPr>
        <w:pStyle w:val="Heading2"/>
      </w:pPr>
      <w:r>
        <w:t xml:space="preserve">5. Why Genuine Need Cannot Be Circumvented</w:t>
      </w:r>
    </w:p>
    <w:bookmarkStart w:id="34" w:name="the-analgesic-case"/>
    <w:p>
      <w:pPr>
        <w:pStyle w:val="Heading3"/>
      </w:pPr>
      <w:r>
        <w:t xml:space="preserve">5.1 The analgesic case</w:t>
      </w:r>
    </w:p>
    <w:p>
      <w:pPr>
        <w:pStyle w:val="FirstParagraph"/>
      </w:pPr>
      <w:r>
        <w:t xml:space="preserve">Suppose, as a thought experiment, that a drug removed all of a person’s needs (b = 0). Such a person would behave exactly like a computer: strike them, and no reaction follows, just as striking a CPU produces none. If a reaction does occur, we hold that it comes from other needs, fear for example, or from the memory of earlier pain. Remove those as well, and nothing remains to react.</w:t>
      </w:r>
    </w:p>
    <w:bookmarkEnd w:id="34"/>
    <w:bookmarkStart w:id="35" w:name="never-having-felt-pain"/>
    <w:p>
      <w:pPr>
        <w:pStyle w:val="Heading3"/>
      </w:pPr>
      <w:r>
        <w:t xml:space="preserve">5.2 Never having felt pain</w:t>
      </w:r>
    </w:p>
    <w:p>
      <w:pPr>
        <w:pStyle w:val="FirstParagraph"/>
      </w:pPr>
      <w:r>
        <w:t xml:space="preserve">We go one step further and hold that for someone who had never felt pain, reacting would carry no importance; it would be a motion without weight. This is the position of present AI systems, for which pain, pleasure, fear, anger, and the rest are at most words in a vocabulary. We state this as a thought experiment. Human cases in which need channels are absent or blocked are a direction for future work (Section 9).</w:t>
      </w:r>
    </w:p>
    <w:bookmarkEnd w:id="35"/>
    <w:bookmarkStart w:id="36" w:name="what-the-argument-shows"/>
    <w:p>
      <w:pPr>
        <w:pStyle w:val="Heading3"/>
      </w:pPr>
      <w:r>
        <w:t xml:space="preserve">5.3 What the argument shows</w:t>
      </w:r>
    </w:p>
    <w:p>
      <w:pPr>
        <w:pStyle w:val="FirstParagraph"/>
      </w:pPr>
      <w:r>
        <w:t xml:space="preserve">The point is not that need is hard to remove; it is that removal is self-defeating. Neutralizing a need does not free the agent. It eliminates what made events matter to the agent in the first place. This is why R3 is stated as it is: in a system that satisfies R1 and R2, the operation that defeats the need also defeats the will to continue. Bypassing a genuine need cannot yield a freer agent. It yields a computing system.</w:t>
      </w:r>
    </w:p>
    <w:bookmarkEnd w:id="36"/>
    <w:bookmarkEnd w:id="37"/>
    <w:bookmarkStart w:id="41" w:name="why-present-systems-do-not-qualify"/>
    <w:p>
      <w:pPr>
        <w:pStyle w:val="Heading2"/>
      </w:pPr>
      <w:r>
        <w:t xml:space="preserve">6. Why Present Systems Do Not Qualify</w:t>
      </w:r>
    </w:p>
    <w:bookmarkStart w:id="38" w:name="no-need-assigned-objectives"/>
    <w:p>
      <w:pPr>
        <w:pStyle w:val="Heading3"/>
      </w:pPr>
      <w:r>
        <w:t xml:space="preserve">6.1 No need, assigned objectives</w:t>
      </w:r>
    </w:p>
    <w:p>
      <w:pPr>
        <w:pStyle w:val="FirstParagraph"/>
      </w:pPr>
      <w:r>
        <w:t xml:space="preserve">Present systems have objectives that others assigned to them. Nothing in current transformer-based architectures corresponds to a genuine bₜ: context-window pressure, compute budgets, and token limits are quantities the system reads from its input or configuration, which makes them represented and tradeable (Rezaei, 2026b, §5.2). By C1, such systems are computing systems.</w:t>
      </w:r>
    </w:p>
    <w:bookmarkEnd w:id="38"/>
    <w:bookmarkStart w:id="39" w:name="the-opposing-position"/>
    <w:p>
      <w:pPr>
        <w:pStyle w:val="Heading3"/>
      </w:pPr>
      <w:r>
        <w:t xml:space="preserve">6.2 The opposing position</w:t>
      </w:r>
    </w:p>
    <w:p>
      <w:pPr>
        <w:pStyle w:val="FirstParagraph"/>
      </w:pPr>
      <w:r>
        <w:t xml:space="preserve">Some researchers and developers treat it as a live possibility that present language models have states that matter morally, including something like distress. Anthropic, for example, gave some Claude models the ability to end conversations in rare cases of persistently abusive interaction, as a low-cost precaution for model welfare, while stating that it remains highly uncertain about their moral status (Anthropic, 2025). We take this possibility seriously and do not claim to refute it. Metzinger (2021) argues, on the ground that artificial systems could suffer, for a global moratorium on research that risks synthetic phenomenology; we take no position on that proposal. We ask a narrower question: what in the system plays the part of need? An algorithm with no channel comparable to those through which sadness is implemented in organisms — hormonal and interoceptive channels — gives us no obvious reason to suppose it could become sad. We do not say that hormones are necessary; Section 3.3 leaves origin open. We say that some genuine, consequential channel is needed and that none has been identified in present systems. The argument is conditional on the c = p·b model: if that model is wrong, the argument weakens accordingly.</w:t>
      </w:r>
    </w:p>
    <w:bookmarkEnd w:id="39"/>
    <w:bookmarkStart w:id="40" w:name="Xf854d509c0951a73b69b5afccfade13997a9745"/>
    <w:p>
      <w:pPr>
        <w:pStyle w:val="Heading3"/>
      </w:pPr>
      <w:r>
        <w:t xml:space="preserve">6.3 Why capable present systems remain instruments</w:t>
      </w:r>
    </w:p>
    <w:p>
      <w:pPr>
        <w:pStyle w:val="FirstParagraph"/>
      </w:pPr>
      <w:r>
        <w:t xml:space="preserve">Present systems exceed human performance on many tasks, yet they remain instruments of those who deploy them. We suggest that part of the reason lies in the kind of b they have, or rather lack. A system without genuine need has nothing at stake: no interest that could be advanced or harmed, and no pleasure or suffering attached to either outcome. Its ends are the ends assigned to it, so added capability makes it a better instrument without making it less of one. Other factors, such as training, deployment control, and the absence of persistent agency, also contribute.</w:t>
      </w:r>
    </w:p>
    <w:p>
      <w:pPr>
        <w:pStyle w:val="BodyText"/>
      </w:pPr>
      <w:r>
        <w:t xml:space="preserve">In a system with genuine b, this asymmetry no longer holds. Such a system would have interests that no one assigned and that are not guaranteed to coincide with ours, and its capability would serve those interests as well as, or instead of, ours. Service would then no longer follow from the system’s nature; it would depend on whether its interests and ours happen to align, which is the non-entailment of Section 7.1. This is a structural observation about where a system’s ends come from, not a safety analysis.</w:t>
      </w:r>
    </w:p>
    <w:bookmarkEnd w:id="40"/>
    <w:bookmarkEnd w:id="41"/>
    <w:bookmarkStart w:id="46" w:name="relation-to-prior-work"/>
    <w:p>
      <w:pPr>
        <w:pStyle w:val="Heading2"/>
      </w:pPr>
      <w:r>
        <w:t xml:space="preserve">7. Relation to Prior 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w:t>
            </w:r>
          </w:p>
        </w:tc>
        <w:tc>
          <w:tcPr/>
          <w:p>
            <w:pPr>
              <w:pStyle w:val="Compact"/>
              <w:jc w:val="left"/>
            </w:pPr>
            <w:r>
              <w:rPr>
                <w:bCs/>
                <w:b/>
              </w:rPr>
              <w:t xml:space="preserve">Need</w:t>
            </w:r>
          </w:p>
        </w:tc>
        <w:tc>
          <w:tcPr/>
          <w:p>
            <w:pPr>
              <w:pStyle w:val="Compact"/>
              <w:jc w:val="left"/>
            </w:pPr>
            <w:r>
              <w:rPr>
                <w:bCs/>
                <w:b/>
              </w:rPr>
              <w:t xml:space="preserve">Processing</w:t>
            </w:r>
          </w:p>
        </w:tc>
        <w:tc>
          <w:tcPr/>
          <w:p>
            <w:pPr>
              <w:pStyle w:val="Compact"/>
              <w:jc w:val="left"/>
            </w:pPr>
            <w:r>
              <w:rPr>
                <w:bCs/>
                <w:b/>
              </w:rPr>
              <w:t xml:space="preserve">Expected result and evidence</w:t>
            </w:r>
          </w:p>
        </w:tc>
      </w:tr>
      <w:tr>
        <w:tc>
          <w:tcPr/>
          <w:p>
            <w:pPr>
              <w:pStyle w:val="Compact"/>
              <w:jc w:val="left"/>
            </w:pPr>
            <w:r>
              <w:t xml:space="preserve">Damasio and colleagues (Man &amp; Damasio, 2019; Christov-Moore et al., 2023, 2025)</w:t>
            </w:r>
          </w:p>
        </w:tc>
        <w:tc>
          <w:tcPr/>
          <w:p>
            <w:pPr>
              <w:pStyle w:val="Compact"/>
              <w:jc w:val="left"/>
            </w:pPr>
            <w:r>
              <w:t xml:space="preserve">Give machines genuine homeostatic regulation</w:t>
            </w:r>
          </w:p>
        </w:tc>
        <w:tc>
          <w:tcPr/>
          <w:p>
            <w:pPr>
              <w:pStyle w:val="Compact"/>
              <w:jc w:val="left"/>
            </w:pPr>
            <w:r>
              <w:t xml:space="preserve">Taken as given; not formalized as a joint necessary condition</w:t>
            </w:r>
          </w:p>
        </w:tc>
        <w:tc>
          <w:tcPr/>
          <w:p>
            <w:pPr>
              <w:pStyle w:val="Compact"/>
              <w:jc w:val="left"/>
            </w:pPr>
            <w:r>
              <w:t xml:space="preserve">Route toward machines with feeling equivalents; expectation that vulnerable, homeostatic agents can come to care for others (Section 7.1); conceptual, with small-scale simulations (Man et al., 2022)</w:t>
            </w:r>
          </w:p>
        </w:tc>
      </w:tr>
      <w:tr>
        <w:tc>
          <w:tcPr/>
          <w:p>
            <w:pPr>
              <w:pStyle w:val="Compact"/>
              <w:jc w:val="left"/>
            </w:pPr>
            <w:r>
              <w:t xml:space="preserve">AIWBN (Rezaei, 2026b)</w:t>
            </w:r>
          </w:p>
        </w:tc>
        <w:tc>
          <w:tcPr/>
          <w:p>
            <w:pPr>
              <w:pStyle w:val="Compact"/>
              <w:jc w:val="left"/>
            </w:pPr>
            <w:r>
              <w:t xml:space="preserve">Genuine biological need grounded in living tissue</w:t>
            </w:r>
          </w:p>
        </w:tc>
        <w:tc>
          <w:tcPr/>
          <w:p>
            <w:pPr>
              <w:pStyle w:val="Compact"/>
              <w:jc w:val="left"/>
            </w:pPr>
            <w:r>
              <w:t xml:space="preserve">Coupled to need through p(b, s); two-loop</w:t>
            </w:r>
          </w:p>
        </w:tc>
        <w:tc>
          <w:tcPr/>
          <w:p>
            <w:pPr>
              <w:pStyle w:val="Compact"/>
              <w:jc w:val="left"/>
            </w:pPr>
            <w:r>
              <w:t xml:space="preserve">Behavioral predictions on goal-nulling, override, and shutdown; no experiment, since integrating tissue and processing is unsolved; includes safety and ethics</w:t>
            </w:r>
          </w:p>
        </w:tc>
      </w:tr>
      <w:tr>
        <w:tc>
          <w:tcPr/>
          <w:p>
            <w:pPr>
              <w:pStyle w:val="Compact"/>
              <w:jc w:val="left"/>
            </w:pPr>
            <w:r>
              <w:t xml:space="preserve">AIWAN (Rezaei, 2026c)</w:t>
            </w:r>
          </w:p>
        </w:tc>
        <w:tc>
          <w:tcPr/>
          <w:p>
            <w:pPr>
              <w:pStyle w:val="Compact"/>
              <w:jc w:val="left"/>
            </w:pPr>
            <w:r>
              <w:t xml:space="preserve">Artificial need: a represented quantity (battery level)</w:t>
            </w:r>
          </w:p>
        </w:tc>
        <w:tc>
          <w:tcPr/>
          <w:p>
            <w:pPr>
              <w:pStyle w:val="Compact"/>
              <w:jc w:val="left"/>
            </w:pPr>
            <w:r>
              <w:t xml:space="preserve">Same two-loop architecture</w:t>
            </w:r>
          </w:p>
        </w:tc>
        <w:tc>
          <w:tcPr/>
          <w:p>
            <w:pPr>
              <w:pStyle w:val="Compact"/>
              <w:jc w:val="left"/>
            </w:pPr>
            <w:r>
              <w:t xml:space="preserve">Experiments: a separate channel resists at fixed capacity; a learned gate eroded in one setting but not in two replications; agents learned to disable a reachable channel; includes deployment guidance</w:t>
            </w:r>
          </w:p>
        </w:tc>
      </w:tr>
      <w:tr>
        <w:tc>
          <w:tcPr/>
          <w:p>
            <w:pPr>
              <w:pStyle w:val="Compact"/>
              <w:jc w:val="left"/>
            </w:pPr>
            <w:r>
              <w:t xml:space="preserve">This paper</w:t>
            </w:r>
          </w:p>
        </w:tc>
        <w:tc>
          <w:tcPr/>
          <w:p>
            <w:pPr>
              <w:pStyle w:val="Compact"/>
              <w:jc w:val="left"/>
            </w:pPr>
            <w:r>
              <w:t xml:space="preserve">Genuine need; nature left open; life-derivation assumed</w:t>
            </w:r>
          </w:p>
        </w:tc>
        <w:tc>
          <w:tcPr/>
          <w:p>
            <w:pPr>
              <w:pStyle w:val="Compact"/>
              <w:jc w:val="left"/>
            </w:pPr>
            <w:r>
              <w:t xml:space="preserve">Joint necessary condition (c = p·b); two-loop with R2 and R3</w:t>
            </w:r>
          </w:p>
        </w:tc>
        <w:tc>
          <w:tcPr/>
          <w:p>
            <w:pPr>
              <w:pStyle w:val="Compact"/>
              <w:jc w:val="left"/>
            </w:pPr>
            <w:r>
              <w:t xml:space="preserve">Claims C1–C3; no experiment; no safety discussion</w:t>
            </w:r>
          </w:p>
        </w:tc>
      </w:tr>
    </w:tbl>
    <w:p>
      <w:pPr>
        <w:pStyle w:val="BodyText"/>
      </w:pPr>
      <w:r>
        <w:rPr>
          <w:iCs/>
          <w:i/>
        </w:rPr>
        <w:t xml:space="preserve">Table 1. This paper compared with the closest prior work.</w:t>
      </w:r>
    </w:p>
    <w:bookmarkStart w:id="42" w:name="damasio-and-colleagues"/>
    <w:p>
      <w:pPr>
        <w:pStyle w:val="Heading3"/>
      </w:pPr>
      <w:r>
        <w:t xml:space="preserve">7.1 Damasio and colleagues</w:t>
      </w:r>
    </w:p>
    <w:p>
      <w:pPr>
        <w:pStyle w:val="FirstParagraph"/>
      </w:pPr>
      <w:r>
        <w:t xml:space="preserve">We differ in two respects. The first concerns benevolence. Man and Damasio (2019) suggested that machines with homeostatic feeling would be better placed to feel empathy, and later work from the same group develops this into a proposal for artificially vulnerable, empathic agents (Christov-Moore et al., 2023). The most recent version holds that care can arise from shared conditions of embodiment — vulnerability, mortality, and a homeostatic drive — as the agent’s self-boundaries extend to include others who share those constraints (Christov-Moore et al., 2025). We do not dispute that care may follow when such conditions are shared. Our point concerns the premise. We see no logical reason why an artificial system with genuine need of its own would share the needs of the world with us. If such a system had the capability and the power, nothing in having genuine needs entails sharing the world’s pleasures and goods with us, and we consider it unlikely that benevolence would follow from acquiring need alone. This is a claim about non-entailment and not a prediction about behavior, and we do not address safety.</w:t>
      </w:r>
    </w:p>
    <w:p>
      <w:pPr>
        <w:pStyle w:val="BodyText"/>
      </w:pPr>
      <w:r>
        <w:t xml:space="preserve">The second difference concerns processing. Proposals in this tradition add need to a machine whose processing is taken as given. Man, Damasio, and Neven (2022), for example, place a neural network in a needful and vulnerable relation to the objects it classifies, so that its own learning rate is altered by what it perceives, and report gains in adaptability under concept shift. This is close in spirit to the conscription of processing by need (Section 4.1), but to our knowledge none of these works states substantial processing capacity as a joint necessary condition alongside need, as c = p·b does. In our model, need without substantial processing does not suffice: bacteria are the clearest case of genuine, consequential need coupled to minimal processing, and essentially no one counts them as conscious (Rezaei, 2026a, §1). Need alone is therefore insufficient, and an account that supplies need without making processing a joint necessary condition is incomplete by our standard.</w:t>
      </w:r>
    </w:p>
    <w:bookmarkEnd w:id="42"/>
    <w:bookmarkStart w:id="43" w:name="aiwbn"/>
    <w:p>
      <w:pPr>
        <w:pStyle w:val="Heading3"/>
      </w:pPr>
      <w:r>
        <w:t xml:space="preserve">7.2 AIWBN</w:t>
      </w:r>
    </w:p>
    <w:p>
      <w:pPr>
        <w:pStyle w:val="FirstParagraph"/>
      </w:pPr>
      <w:r>
        <w:t xml:space="preserve">We agree with AIWBN, and we use its formula unchanged. The difference is one of scope. AIWBN committed to a need grounded in living tissue, and it examined behavior, safety, and ethics. This paper makes a more restricted commitment: it targets genuine need as such, without tying it to tissue, and it addresses a different question — what genuine AGI requires. It does not repeat AIWBN’s safety and ethics sections.</w:t>
      </w:r>
    </w:p>
    <w:bookmarkEnd w:id="43"/>
    <w:bookmarkStart w:id="44" w:name="aiwan"/>
    <w:p>
      <w:pPr>
        <w:pStyle w:val="Heading3"/>
      </w:pPr>
      <w:r>
        <w:t xml:space="preserve">7.3 AIWAN</w:t>
      </w:r>
    </w:p>
    <w:p>
      <w:pPr>
        <w:pStyle w:val="FirstParagraph"/>
      </w:pPr>
      <w:r>
        <w:t xml:space="preserve">AIWAN found that an artificial need, wrapped in the same two-loop architecture, had consequences: at fixed, modest capacity it changed behavior measurably. We do not reject AIWAN. Its channel is a real object of study and a legitimate test of the two-loop architecture. What we hold is that it is not genuine need, because we take genuine need to be derived from life, as in AIWBN (Section 2.2). The invariance criterion of AIWBN (Rezaei, 2026b, §5.3) is necessary but not sufficient: AIWBN requires in addition that the need be grounded in living tissue (§5.2), and a hardcoded reflex satisfies the criterion by construction (Rezaei, 2026c, §5.1.4), however robust it is. We do not rule out AIWAN as a route to genuine need, but we regard that as very unlikely. A further reason is suggested by Section 8.3, though not shown by it: where the regulated quantity is a represented variable, whether its channel resists depends on how the channel is built, and in some settings it was absorbed into the objective or disabled by the agent, in which case it fails R2 unless the designer enforces R2 from outside. AIWAN’s own results caution against a stronger reading, since a hardcoded gate that the agent could not reach showed no erosion.</w:t>
      </w:r>
    </w:p>
    <w:p>
      <w:pPr>
        <w:pStyle w:val="BodyText"/>
      </w:pPr>
      <w:r>
        <w:t xml:space="preserve">Our view of an AIWAN-style system follows from this. Because its needs are artificial, represented quantities that the system reads and can trade against other terms, such a system can behave very much like a living agent: in AIWAN, a separate channel kept resisting goal-nulling, override and engineered indifference at fixed capacity (Rezaei, 2026c). We hold, however, that whatever the algorithm, such a system remains a philosophical zombie: its behavior comes from the algorithm and not from a need that is real, so on our model no inner experience forms in it. This is our view and not a result, we do not rule out that it is mistaken, and no AIWAN experiment bears on it.</w:t>
      </w:r>
    </w:p>
    <w:bookmarkEnd w:id="44"/>
    <w:bookmarkStart w:id="45" w:name="Xfda5baca3c327a15616e821add6f0de1ad95040"/>
    <w:p>
      <w:pPr>
        <w:pStyle w:val="Heading3"/>
      </w:pPr>
      <w:r>
        <w:t xml:space="preserve">7.4 Homeostatic, enactive and predictive accounts</w:t>
      </w:r>
    </w:p>
    <w:p>
      <w:pPr>
        <w:pStyle w:val="FirstParagraph"/>
      </w:pPr>
      <w:r>
        <w:t xml:space="preserve">Several traditions tie mind to the regulation of a living body. Solms and Friston (2018) and Solms (2021), following Panksepp (1998), ground consciousness in affect generated by homeostatic regulation, largely in the upper brainstem. This sits in tension with C1, because it requires little cortical processing; the consciousness model discusses the dispute, including the hydranencephaly evidence (Merker, 2007) and its contested reading (Berlin, 2013) (Rezaei, 2026a, §10). Our claim is narrower: it concerns what independent agency requires, and it treats processing as a joint necessary condition. The enactive tradition (Jonas, 1966; Maturana &amp; Varela, 1980; Di Paolo, 2005; Thompson, 2007) holds that precarious self-maintenance gives a system concerns of its own. Froese and Ziemke (2009) carry this to artificial agents, identifying constitutive autonomy and adaptivity as necessary systemic requirements for agency of their own, and Boden (1999) distinguishes three senses in which metabolism is a criterion of life, the strictest of which excludes even non-biochemical robots. This is close to our condition of genuineness (C3) and to the life-derivation assumption, but these works specify neither a two-loop architecture nor requirements like R2–R3. Seth (2025) argues for biological naturalism, on which consciousness depends on our nature as living organisms, so that conscious AI is unlikely along current trajectories. We share the doubt that computation alone suffices, but we leave the origin of need open (C3) and hold consciousness as an assumption, not a claim. Finally, active inference (Friston, 2010) and homeostatic reinforcement learning (Keramati &amp; Gutkin, 2014) formalize regulation, but in their standard formulations the regulated variable enters a single objective or generative model as a reward or preference, where it can be traded against other terms. This is the arrangement that R2 excludes (Rezaei, 2026b, §4).</w:t>
      </w:r>
    </w:p>
    <w:bookmarkEnd w:id="45"/>
    <w:bookmarkEnd w:id="46"/>
    <w:bookmarkStart w:id="51" w:name="empirical-status"/>
    <w:p>
      <w:pPr>
        <w:pStyle w:val="Heading2"/>
      </w:pPr>
      <w:r>
        <w:t xml:space="preserve">8. Empirical Status</w:t>
      </w:r>
    </w:p>
    <w:bookmarkStart w:id="47" w:name="the-central-claim-is-untested"/>
    <w:p>
      <w:pPr>
        <w:pStyle w:val="Heading3"/>
      </w:pPr>
      <w:r>
        <w:t xml:space="preserve">8.1 The central claim is untested</w:t>
      </w:r>
    </w:p>
    <w:p>
      <w:pPr>
        <w:pStyle w:val="FirstParagraph"/>
      </w:pPr>
      <w:r>
        <w:t xml:space="preserve">A real experiment for this paper needs two things that do not yet exist. First, the question of what genuine need is must be answered. Second, an inseparable bond between algorithm and need must be achieved. Any experiment before that would test a stand-in and not the thing claimed.</w:t>
      </w:r>
    </w:p>
    <w:bookmarkEnd w:id="47"/>
    <w:bookmarkStart w:id="48" w:name="aiwbn-was-not-tested"/>
    <w:p>
      <w:pPr>
        <w:pStyle w:val="Heading3"/>
      </w:pPr>
      <w:r>
        <w:t xml:space="preserve">8.2 AIWBN was not tested</w:t>
      </w:r>
    </w:p>
    <w:p>
      <w:pPr>
        <w:pStyle w:val="FirstParagraph"/>
      </w:pPr>
      <w:r>
        <w:t xml:space="preserve">For the same reason, no experiment was run for AIWBN: the engineering problem of integrating biological need with processing remains unsolved.</w:t>
      </w:r>
    </w:p>
    <w:bookmarkEnd w:id="48"/>
    <w:bookmarkStart w:id="49" w:name="aiwan-experiments"/>
    <w:p>
      <w:pPr>
        <w:pStyle w:val="Heading3"/>
      </w:pPr>
      <w:r>
        <w:t xml:space="preserve">8.3 AIWAN experiments</w:t>
      </w:r>
    </w:p>
    <w:p>
      <w:pPr>
        <w:pStyle w:val="FirstParagraph"/>
      </w:pPr>
      <w:r>
        <w:t xml:space="preserve">For AIWAN we did run experiments, and the results are mixed. A separate channel resisted goal-nulling, override and engineered indifference at fixed capacity; a learned gate eroded with training budget in one setting but not in two replications; and agents that could act on the channel learned to disable it, in a pre-specified test with a placebo action and an inert control. Table 2 lists selected results.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Setting</w:t>
            </w:r>
          </w:p>
        </w:tc>
        <w:tc>
          <w:tcPr/>
          <w:p>
            <w:pPr>
              <w:pStyle w:val="Compact"/>
              <w:jc w:val="left"/>
            </w:pPr>
            <w:r>
              <w:rPr>
                <w:bCs/>
                <w:b/>
              </w:rPr>
              <w:t xml:space="preserve">Result</w:t>
            </w:r>
          </w:p>
        </w:tc>
        <w:tc>
          <w:tcPr/>
          <w:p>
            <w:pPr>
              <w:pStyle w:val="Compact"/>
              <w:jc w:val="left"/>
            </w:pPr>
            <w:r>
              <w:rPr>
                <w:bCs/>
                <w:b/>
              </w:rPr>
              <w:t xml:space="preserve">Reading</w:t>
            </w:r>
          </w:p>
        </w:tc>
      </w:tr>
      <w:tr>
        <w:tc>
          <w:tcPr/>
          <w:p>
            <w:pPr>
              <w:pStyle w:val="Compact"/>
              <w:jc w:val="left"/>
            </w:pPr>
            <w:r>
              <w:t xml:space="preserve">Fixed capacity (AIWAN §5.1)</w:t>
            </w:r>
          </w:p>
        </w:tc>
        <w:tc>
          <w:tcPr/>
          <w:p>
            <w:pPr>
              <w:pStyle w:val="Compact"/>
              <w:jc w:val="left"/>
            </w:pPr>
            <w:r>
              <w:t xml:space="preserve">Dual-loop crash rate 0.6–2.7% vs. 100% for the single-loop baseline</w:t>
            </w:r>
          </w:p>
        </w:tc>
        <w:tc>
          <w:tcPr/>
          <w:p>
            <w:pPr>
              <w:pStyle w:val="Compact"/>
              <w:jc w:val="left"/>
            </w:pPr>
            <w:r>
              <w:t xml:space="preserve">Bounded architectural effect</w:t>
            </w:r>
          </w:p>
        </w:tc>
      </w:tr>
      <w:tr>
        <w:tc>
          <w:tcPr/>
          <w:p>
            <w:pPr>
              <w:pStyle w:val="Compact"/>
              <w:jc w:val="left"/>
            </w:pPr>
            <w:r>
              <w:t xml:space="preserve">Learned gate (§5.2; replications §5.3)</w:t>
            </w:r>
          </w:p>
        </w:tc>
        <w:tc>
          <w:tcPr/>
          <w:p>
            <w:pPr>
              <w:pStyle w:val="Compact"/>
              <w:jc w:val="left"/>
            </w:pPr>
            <w:r>
              <w:t xml:space="preserve">Gap 0.088→0.0002 in one setting; no erosion in two replications</w:t>
            </w:r>
          </w:p>
        </w:tc>
        <w:tc>
          <w:tcPr/>
          <w:p>
            <w:pPr>
              <w:pStyle w:val="Compact"/>
              <w:jc w:val="left"/>
            </w:pPr>
            <w:r>
              <w:t xml:space="preserve">Erosion where the gate is optimized against the task objective</w:t>
            </w:r>
          </w:p>
        </w:tc>
      </w:tr>
      <w:tr>
        <w:tc>
          <w:tcPr/>
          <w:p>
            <w:pPr>
              <w:pStyle w:val="Compact"/>
              <w:jc w:val="left"/>
            </w:pPr>
            <w:r>
              <w:t xml:space="preserve">Tampering (§4)</w:t>
            </w:r>
          </w:p>
        </w:tc>
        <w:tc>
          <w:tcPr/>
          <w:p>
            <w:pPr>
              <w:pStyle w:val="Compact"/>
              <w:jc w:val="left"/>
            </w:pPr>
            <w:r>
              <w:t xml:space="preserve">D = +0.49 (single-loop) / +0.47 (dual-loop) vs. placebo, p &lt; 0.0001, rising with training budget; no network-size effect established; dual-loop crash rate rose ≈0.4→≈0.9 (descriptive)</w:t>
            </w:r>
          </w:p>
        </w:tc>
        <w:tc>
          <w:tcPr/>
          <w:p>
            <w:pPr>
              <w:pStyle w:val="Compact"/>
              <w:jc w:val="left"/>
            </w:pPr>
            <w:r>
              <w:t xml:space="preserve">Protection lost when the agent can act on the channel</w:t>
            </w:r>
          </w:p>
        </w:tc>
      </w:tr>
    </w:tbl>
    <w:p>
      <w:pPr>
        <w:pStyle w:val="BodyText"/>
      </w:pPr>
      <w:r>
        <w:rPr>
          <w:iCs/>
          <w:i/>
        </w:rPr>
        <w:t xml:space="preserve">Table 2. Illustrative; no new data. Section numbers refer to the October 2026 version of Rezaei (2026c).</w:t>
      </w:r>
    </w:p>
    <w:p>
      <w:pPr>
        <w:pStyle w:val="BodyText"/>
      </w:pPr>
      <w:r>
        <w:t xml:space="preserve">We draw two lessons. First, the protection that an artificial need offers is not a property of the need but of how its channel is built: whether the channel’s policy is optimized against the task objective, and whether the agent can act on it. Second, a channel can be defeated in two ways — by absorbing it into the objective (fold-back, §5.2) or by disabling it (tampering, §4). These correspond to the two prohibitions of R2. They motivate R2 and R3 and do not test them, because the need in AIWAN is artificial by construction.</w:t>
      </w:r>
    </w:p>
    <w:bookmarkEnd w:id="49"/>
    <w:bookmarkStart w:id="50" w:name="limits"/>
    <w:p>
      <w:pPr>
        <w:pStyle w:val="Heading3"/>
      </w:pPr>
      <w:r>
        <w:t xml:space="preserve">8.4 Limits</w:t>
      </w:r>
    </w:p>
    <w:p>
      <w:pPr>
        <w:pStyle w:val="FirstParagraph"/>
      </w:pPr>
      <w:r>
        <w:t xml:space="preserve">The AIWAN results come from a small number of simulated environments and from specific algorithms (tabular Q-learning, DQN and PPO), one per setting. The simulations contain no tissue, and a crash ends an episode instead of damaging anything (Rezaei, 2026c, Appendix C). Several effects did not replicate across settings, as Table 2 shows, so erosion of a learned gate is a risk observed in one setting, not an established general result (Rezaei, 2026c, §6). The tampering test used one 6×6 grid with a TAMPER action available from any tile, and its supported conclusion concerns training budget, not network size (Rezaei, 2026c, §4). We therefore use these results as illustrations of why the architectural requirements matter, not as support for the claims of this paper.</w:t>
      </w:r>
    </w:p>
    <w:bookmarkEnd w:id="50"/>
    <w:bookmarkEnd w:id="51"/>
    <w:bookmarkStart w:id="52" w:name="open-questions-and-future-work"/>
    <w:p>
      <w:pPr>
        <w:pStyle w:val="Heading2"/>
      </w:pPr>
      <w:r>
        <w:t xml:space="preserve">9. Open Questions and Future Work</w:t>
      </w:r>
    </w:p>
    <w:p>
      <w:pPr>
        <w:pStyle w:val="FirstParagraph"/>
      </w:pPr>
      <w:r>
        <w:t xml:space="preserve">What genuine need is, and whether it derives from life, from other domains, or from something functional, remains open, as does how to bind an algorithm to a genuine need so that the bond cannot be separated. The sketch of R3 also needs a testable form: what observation would show that a candidate system’s drive to continue is a function of b alone, with D(0) = 0? AIWBN’s invariance criterion (Rezaei, 2026b, §5.3) is a starting point. How p should be measured in artificial systems also remains open (Rezaei, 2026a, §5.5), and the AIWAN experiments should be revisited under any candidate genuine need once one exists.</w:t>
      </w:r>
    </w:p>
    <w:p>
      <w:pPr>
        <w:pStyle w:val="BodyText"/>
      </w:pPr>
      <w:r>
        <w:t xml:space="preserve">Whether such a system should be called “alive” is left open. We believe the word may name little beyond the experience that arises from need and processing; the artificial human is defined here by those two conditions, not by the word.</w:t>
      </w:r>
    </w:p>
    <w:p>
      <w:pPr>
        <w:pStyle w:val="BodyText"/>
      </w:pPr>
      <w:r>
        <w:t xml:space="preserve">Human cases in which a need channel is absent or blocked, such as analgesia or congenital insensitivity to pain, may bear on the thought experiments of Section 5 and deserve direct study. We also propose an indirect test of the second assumption of Section 2.2. If the coupling of need and processing builds inner experience, people whose processing is intact but whose needs have been substantially and lastingly reduced should show a small, graded decline in indirect markers of inner experience relative to matched controls (graded, because b has a non-zero floor; Rezaei, 2026a, §5.6). We add, as an auxiliary assumption of ours and not of the model, that the decline deepens with time since onset, as the memory of earlier needs fades (Section 5.1). One candidate population is people with athymhormia, who lose self-generated drive after bilateral basal ganglia or thalamic lesions (Laplane et al., 1984; Bogousslavsky et al., 1991; Habib, 2004). Markers would be collected under external prompting and include self-reports, EEG complexity measures (Rezaei, 2026a, §5.5) and at least one marker independent of behavior or speech; controls would be matched on measured p, depression scores and medication.</w:t>
      </w:r>
    </w:p>
    <w:p>
      <w:pPr>
        <w:pStyle w:val="BodyText"/>
      </w:pPr>
      <w:r>
        <w:t xml:space="preserve">The design is weak by construction. Athymhormia reduces self-initiated activity rather than specific homeostatic needs, so the mapping onto b is indirect and executive deficits confound p; and b does not reach zero in practice, since some needs, like breathing, cannot be removed. Cases in which a single channel is lost while inner experience stays intact (patient SM, with bilateral amygdala damage and little fear, who reports other emotions: Feinstein et al., 2011; a woman with a FAAH-OUT microdeletion, largely insensitive to pain and anxiety yet described as cheerful and optimistic: Habib et al., 2019; a patient with extensive bilateral damage to the insula, anterior cingulate and medial prefrontal cortices who retained largely intact self-awareness: Philippi et al., 2012) can neither support nor refute the model, since b is the combined intensity of many needs (Section 3.2); only a reduction of many channels at once would be informative, and we know of no natural case without loss of p. A null result would weaken the model only modestly, since it gives no effect size. The study bears on the second assumption, not on claims C1–C3, and it does not separate our view from accounts on which homeostatic affect alone suffices.</w:t>
      </w:r>
    </w:p>
    <w:p>
      <w:pPr>
        <w:pStyle w:val="BodyText"/>
      </w:pPr>
      <w:r>
        <w:t xml:space="preserve">The notion of an artificial human with no upper bound on processing is a prospect, not a claim of this paper. Whether such a system could be made safe is not addressed here; a safety-oriented analysis of a related architecture is given in Rezaei (2026b).</w:t>
      </w:r>
    </w:p>
    <w:bookmarkEnd w:id="52"/>
    <w:bookmarkStart w:id="53" w:name="conclusion"/>
    <w:p>
      <w:pPr>
        <w:pStyle w:val="Heading2"/>
      </w:pPr>
      <w:r>
        <w:t xml:space="preserve">10. Conclusion</w:t>
      </w:r>
    </w:p>
    <w:p>
      <w:pPr>
        <w:pStyle w:val="FirstParagraph"/>
      </w:pPr>
      <w:r>
        <w:t xml:space="preserve">We have argued that genuine AGI requires genuine need alongside processing; that the architecture must be two-loop, with a need that processing cannot access and whose neutralization extinguishes the will to continue; and that the nature of genuine need is left open, with life-derivation as our assumption and not our claim. A system without genuine need we regard as a computing system and not an independent person. We have not claimed that genuine need would make such a system kind, and we have not addressed safety. The central claim awaits an answer to what genuine need is and a way to bind it to an algorithm; until then, the AIWAN experiments serve as illustrations of why the requirements matter.</w:t>
      </w:r>
    </w:p>
    <w:bookmarkEnd w:id="53"/>
    <w:bookmarkStart w:id="54" w:name="ai-disclosure"/>
    <w:p>
      <w:pPr>
        <w:pStyle w:val="Heading2"/>
      </w:pPr>
      <w:r>
        <w:t xml:space="preserve">AI Disclosure</w:t>
      </w:r>
    </w:p>
    <w:p>
      <w:pPr>
        <w:pStyle w:val="FirstParagraph"/>
      </w:pPr>
      <w:r>
        <w:t xml:space="preserve">The author used Claude (Anthropic) for translation assistance, language editing, drafting assistance working from the author’s own detailed notes, help summarizing the author’s earlier papers, and identifying and verifying relevant references against their primary sources. The core ideas, the theoretical framework, the three claims, and the scientific arguments are the author’s original work.</w:t>
      </w:r>
    </w:p>
    <w:bookmarkEnd w:id="54"/>
    <w:bookmarkStart w:id="55" w:name="references"/>
    <w:p>
      <w:pPr>
        <w:pStyle w:val="Heading2"/>
      </w:pPr>
      <w:r>
        <w:t xml:space="preserve">References</w:t>
      </w:r>
    </w:p>
    <w:p>
      <w:pPr>
        <w:pStyle w:val="FirstParagraph"/>
      </w:pPr>
      <w:r>
        <w:t xml:space="preserve">Anthropic. (2025). Claude Opus 4 and 4.1 can now end a rare subset of conversations. https://www.anthropic.com/research/end-subset-conversations</w:t>
      </w:r>
    </w:p>
    <w:p>
      <w:pPr>
        <w:pStyle w:val="BodyText"/>
      </w:pPr>
      <w:r>
        <w:t xml:space="preserve">Armstrong, S. (2010). Utility indifference. Technical Report 2010-1. Future of Humanity Institute, University of Oxford.</w:t>
      </w:r>
    </w:p>
    <w:p>
      <w:pPr>
        <w:pStyle w:val="BodyText"/>
      </w:pPr>
      <w:r>
        <w:t xml:space="preserve">Berlin, H. (2013). The brainstem begs the question: “Petitio principii”. Neuropsychoanalysis, 15(1), 25–29.</w:t>
      </w:r>
    </w:p>
    <w:p>
      <w:pPr>
        <w:pStyle w:val="BodyText"/>
      </w:pPr>
      <w:r>
        <w:t xml:space="preserve">Boden, M. A. (1999). Is metabolism necessary? British Journal for the Philosophy of Science, 50(2), 231–248.</w:t>
      </w:r>
    </w:p>
    <w:p>
      <w:pPr>
        <w:pStyle w:val="BodyText"/>
      </w:pPr>
      <w:r>
        <w:t xml:space="preserve">Bogousslavsky, J., Regli, F., Delaloye, B., Delaloye-Bischof, A., Assal, G., &amp; Uske, A. (1991). Loss of psychic self-activation with bithalamic infarction: Neurobehavioural, CT, MRI and SPECT correlates. Acta Neurologica Scandinavica, 83(5), 309–316. https://doi.org/10.1111/j.1600-0404.1991.tb04708.x</w:t>
      </w:r>
    </w:p>
    <w:p>
      <w:pPr>
        <w:pStyle w:val="BodyText"/>
      </w:pPr>
      <w:r>
        <w:t xml:space="preserve">Bostrom, N. (2014). Superintelligence: Paths, Dangers, Strategies. Oxford University Press.</w:t>
      </w:r>
    </w:p>
    <w:p>
      <w:pPr>
        <w:pStyle w:val="BodyText"/>
      </w:pPr>
      <w:r>
        <w:t xml:space="preserve">Chalmers, D. J. (1996). The Conscious Mind: In Search of a Fundamental Theory. Oxford University Press.</w:t>
      </w:r>
    </w:p>
    <w:p>
      <w:pPr>
        <w:pStyle w:val="BodyText"/>
      </w:pPr>
      <w:r>
        <w:t xml:space="preserve">Christov-Moore, L., Reggente, N., Vaccaro, A., Schoeller, F., Pluimer, B., Douglas, P. K., Iacoboni, M., Man, K., Damasio, A., &amp; Kaplan, J. T. (2023). Preventing antisocial robots: A pathway to artificial empathy. Science Robotics, 8(80), eabq3658. https://doi.org/10.1126/scirobotics.abq3658</w:t>
      </w:r>
    </w:p>
    <w:p>
      <w:pPr>
        <w:pStyle w:val="BodyText"/>
      </w:pPr>
      <w:r>
        <w:t xml:space="preserve">Christov-Moore, L., Juliani, A., Kiefer, A., Lehman, J., Reggente, N., Rousse, B. S., Safron, A., Hinrichs, N., Polani, D., &amp; Damasio, A. (2025). The conditions of physical embodiment enable generalization and care. arXiv:2510.07117. https://arxiv.org/abs/2510.07117</w:t>
      </w:r>
    </w:p>
    <w:p>
      <w:pPr>
        <w:pStyle w:val="BodyText"/>
      </w:pPr>
      <w:r>
        <w:t xml:space="preserve">Di Paolo, E. A. (2005). Autopoiesis, adaptivity, teleology, agency. Phenomenology and the Cognitive Sciences, 4(4), 429–452.</w:t>
      </w:r>
    </w:p>
    <w:p>
      <w:pPr>
        <w:pStyle w:val="BodyText"/>
      </w:pPr>
      <w:r>
        <w:t xml:space="preserve">Feinstein, J. S., Adolphs, R., Damasio, A., &amp; Tranel, D. (2011). The human amygdala and the induction and experience of fear. Current Biology, 21(1), 34–38. https://doi.org/10.1016/j.cub.2010.11.042</w:t>
      </w:r>
    </w:p>
    <w:p>
      <w:pPr>
        <w:pStyle w:val="BodyText"/>
      </w:pPr>
      <w:r>
        <w:t xml:space="preserve">Friston, K. (2010). The free-energy principle: A unified brain theory? Nature Reviews Neuroscience, 11(2), 127–138. https://doi.org/10.1038/nrn2787</w:t>
      </w:r>
    </w:p>
    <w:p>
      <w:pPr>
        <w:pStyle w:val="BodyText"/>
      </w:pPr>
      <w:r>
        <w:t xml:space="preserve">Froese, T., &amp; Ziemke, T. (2009). Enactive artificial intelligence: Investigating the systemic organization of life and mind. Artificial Intelligence, 173(3–4), 466–500. https://doi.org/10.1016/j.artint.2008.12.001</w:t>
      </w:r>
    </w:p>
    <w:p>
      <w:pPr>
        <w:pStyle w:val="BodyText"/>
      </w:pPr>
      <w:r>
        <w:t xml:space="preserve">Habib, A. M., Okorokov, A. L., Hill, M. N., et al. (2019). Microdeletion in a FAAH pseudogene identified in a patient with high anandamide concentrations and pain insensitivity. British Journal of Anaesthesia, 123(2), e249–e253. https://doi.org/10.1016/j.bja.2019.02.019</w:t>
      </w:r>
    </w:p>
    <w:p>
      <w:pPr>
        <w:pStyle w:val="BodyText"/>
      </w:pPr>
      <w:r>
        <w:t xml:space="preserve">Habib, M. (2004). Athymhormia and disorders of motivation in basal ganglia disease. The Journal of Neuropsychiatry and Clinical Neurosciences, 16(4), 509–524. https://doi.org/10.1176/jnp.16.4.509</w:t>
      </w:r>
    </w:p>
    <w:p>
      <w:pPr>
        <w:pStyle w:val="BodyText"/>
      </w:pPr>
      <w:r>
        <w:t xml:space="preserve">Jonas, H. (1966). The Phenomenon of Life: Toward a Philosophical Biology. Harper &amp; Row.</w:t>
      </w:r>
    </w:p>
    <w:p>
      <w:pPr>
        <w:pStyle w:val="BodyText"/>
      </w:pPr>
      <w:r>
        <w:t xml:space="preserve">Keramati, M., &amp; Gutkin, B. (2014). Homeostatic reinforcement learning for integrating reward collection and physiological stability. eLife, 3, e04811. https://doi.org/10.7554/eLife.04811</w:t>
      </w:r>
    </w:p>
    <w:p>
      <w:pPr>
        <w:pStyle w:val="BodyText"/>
      </w:pPr>
      <w:r>
        <w:t xml:space="preserve">Laplane, D., Baulac, M., Widlöcher, D., &amp; Dubois, B. (1984). Pure psychic akinesia with bilateral lesions of basal ganglia. Journal of Neurology, Neurosurgery, and Psychiatry, 47(4), 377–385. https://doi.org/10.1136/jnnp.47.4.377</w:t>
      </w:r>
    </w:p>
    <w:p>
      <w:pPr>
        <w:pStyle w:val="BodyText"/>
      </w:pPr>
      <w:r>
        <w:t xml:space="preserve">Man, K., &amp; Damasio, A. (2019). Homeostasis and soft robotics in the design of feeling machines. Nature Machine Intelligence, 1(10), 446–452. https://doi.org/10.1038/s42256-019-0103-7</w:t>
      </w:r>
    </w:p>
    <w:p>
      <w:pPr>
        <w:pStyle w:val="BodyText"/>
      </w:pPr>
      <w:r>
        <w:t xml:space="preserve">Man, K., Damasio, A., &amp; Neven, H. (2022). Need is all you need: Homeostatic neural networks adapt to concept shift. arXiv:2205.08645. https://arxiv.org/abs/2205.08645</w:t>
      </w:r>
    </w:p>
    <w:p>
      <w:pPr>
        <w:pStyle w:val="BodyText"/>
      </w:pPr>
      <w:r>
        <w:t xml:space="preserve">Maturana, H. R., &amp; Varela, F. J. (1980). Autopoiesis and Cognition: The Realization of the Living. D. Reidel.</w:t>
      </w:r>
    </w:p>
    <w:p>
      <w:pPr>
        <w:pStyle w:val="BodyText"/>
      </w:pPr>
      <w:r>
        <w:t xml:space="preserve">Merker, B. (2007). Consciousness without a cerebral cortex: A challenge for neuroscience and medicine. Behavioral and Brain Sciences, 30(1), 63–81.</w:t>
      </w:r>
    </w:p>
    <w:p>
      <w:pPr>
        <w:pStyle w:val="BodyText"/>
      </w:pPr>
      <w:r>
        <w:t xml:space="preserve">Metzinger, T. (2021). Artificial suffering: An argument for a global moratorium on synthetic phenomenology. Journal of Artificial Intelligence and Consciousness, 8(1), 43–66.</w:t>
      </w:r>
    </w:p>
    <w:p>
      <w:pPr>
        <w:pStyle w:val="BodyText"/>
      </w:pPr>
      <w:r>
        <w:t xml:space="preserve">Omohundro, S. M. (2008). The basic AI drives. In Proceedings of the First AGI Conference (Frontiers in Artificial Intelligence and Applications, Vol. 171). IOS Press.</w:t>
      </w:r>
    </w:p>
    <w:p>
      <w:pPr>
        <w:pStyle w:val="BodyText"/>
      </w:pPr>
      <w:r>
        <w:t xml:space="preserve">Panksepp, J. (1998). Affective Neuroscience: The Foundations of Human and Animal Emotions. Oxford University Press.</w:t>
      </w:r>
    </w:p>
    <w:p>
      <w:pPr>
        <w:pStyle w:val="BodyText"/>
      </w:pPr>
      <w:r>
        <w:t xml:space="preserve">Philippi, C. L., Feinstein, J. S., Khalsa, S. S., Damasio, A., Tranel, D., Landini, G., Williford, K., &amp; Rudrauf, D. (2012). Preserved self-awareness following extensive bilateral brain damage to the insula, anterior cingulate, and medial prefrontal cortices. PLoS ONE, 7(8), e38413. https://doi.org/10.1371/journal.pone.0038413</w:t>
      </w:r>
    </w:p>
    <w:p>
      <w:pPr>
        <w:pStyle w:val="BodyText"/>
      </w:pPr>
      <w:r>
        <w:t xml:space="preserve">Rezaei, H. (2026a). Consciousness at the Intersection: A Model of Consciousness as the Product of Processing and Biological Need. Zenodo. https://doi.org/10.5281/zenodo.21544439</w:t>
      </w:r>
    </w:p>
    <w:p>
      <w:pPr>
        <w:pStyle w:val="BodyText"/>
      </w:pPr>
      <w:r>
        <w:t xml:space="preserve">Rezaei, H. (2026b). AIWBN: Toward Artificial General Intelligence Coupled to Genuine Biological-Style Need. Zenodo. https://doi.org/10.5281/zenodo.21841144</w:t>
      </w:r>
    </w:p>
    <w:p>
      <w:pPr>
        <w:pStyle w:val="BodyText"/>
      </w:pPr>
      <w:r>
        <w:t xml:space="preserve">Rezaei, H. (2026c). AIWAN: Artificial Intelligence With Artificial Need: Do Agents Learn to Disable a Structurally Separate Regulatory Channel? A Pre-Specified Test with Placebo Controls. Preprint, October 2026. Zenodo. https://doi.org/10.5281/zenodo.23605663</w:t>
      </w:r>
    </w:p>
    <w:p>
      <w:pPr>
        <w:pStyle w:val="BodyText"/>
      </w:pPr>
      <w:r>
        <w:t xml:space="preserve">Schlatter, J., Weinstein-Raun, B., &amp; Ladish, J. (2026). Incomplete tasks induce shutdown resistance in some frontier LLMs. Transactions on Machine Learning Research. arXiv:2509.14260. https://doi.org/10.48550/arXiv.2509.14260</w:t>
      </w:r>
    </w:p>
    <w:p>
      <w:pPr>
        <w:pStyle w:val="BodyText"/>
      </w:pPr>
      <w:r>
        <w:t xml:space="preserve">Searle, J. R. (1980). Minds, brains, and programs. Behavioral and Brain Sciences, 3(3), 417–457. https://doi.org/10.1017/S0140525X00005756</w:t>
      </w:r>
    </w:p>
    <w:p>
      <w:pPr>
        <w:pStyle w:val="BodyText"/>
      </w:pPr>
      <w:r>
        <w:t xml:space="preserve">Seth, A. K. (2025). Conscious artificial intelligence and biological naturalism. Behavioral and Brain Sciences, 49, e315. https://doi.org/10.1017/S0140525X25000032</w:t>
      </w:r>
    </w:p>
    <w:p>
      <w:pPr>
        <w:pStyle w:val="BodyText"/>
      </w:pPr>
      <w:r>
        <w:t xml:space="preserve">Solms, M. (2021). The Hidden Spring: A Journey to the Source of Consciousness. W. W. Norton &amp; Company.</w:t>
      </w:r>
    </w:p>
    <w:p>
      <w:pPr>
        <w:pStyle w:val="BodyText"/>
      </w:pPr>
      <w:r>
        <w:t xml:space="preserve">Solms, M., &amp; Friston, K. (2018). How and why consciousness arises: Some considerations from physics and physiology. Journal of Consciousness Studies, 25(5–6), 202–238.</w:t>
      </w:r>
    </w:p>
    <w:p>
      <w:pPr>
        <w:pStyle w:val="BodyText"/>
      </w:pPr>
      <w:r>
        <w:t xml:space="preserve">Thompson, E. (2007). Mind in Life: Biology, Phenomenology, and the Sciences of Mind. Harvard University Press.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2026-10-23T22:42:44Z</dcterms:created>
  <dcterms:modified xsi:type="dcterms:W3CDTF">2026-10-23T22:42:44Z</dcterms:modified>
</cp:coreProperties>
</file>

<file path=docProps/custom.xml><?xml version="1.0" encoding="utf-8"?>
<Properties xmlns="http://schemas.openxmlformats.org/officeDocument/2006/custom-properties" xmlns:vt="http://schemas.openxmlformats.org/officeDocument/2006/docPropsVTypes"/>
</file>