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Accidents, Recognition, and Uptake: Serendipity in the Origins of Machine Learning Ideas</w:t>
      </w:r>
    </w:p>
    <w:p>
      <w:pPr>
        <w:spacing w:after="120" w:line="276"/>
        <w:jc w:val="center"/>
      </w:pPr>
      <w:r>
        <w:rPr>
          <w:rFonts w:ascii="Times New Roman" w:cs="Times New Roman" w:eastAsia="Times New Roman" w:hAnsi="Times New Roman"/>
          <w:sz w:val="22"/>
          <w:szCs w:val="22"/>
        </w:rPr>
        <w:t xml:space="preserve">Hamed Rezaei</w:t>
      </w:r>
    </w:p>
    <w:p>
      <w:pPr>
        <w:spacing w:after="120" w:line="276"/>
        <w:jc w:val="left"/>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Much of machine learning progress is made by experiment, and researchers routinely obtain results they did not expect. Yet it is unclear how often influential ideas begin this way, in part because published papers tend to present findings as following from an initial hypothesis, and origin stories are rarely traceable to contemporaneous records. Drawing on the sociology of serendipity, we decompose serendipity into three separable constructs: an accident (an unexpected, non-targeted observation), its recognition, and its uptake as an influential idea, so that analyses need not select only on success. We propose a taxonomy of six trigger types and a staged model of the conditions that plausibly affect each stage, including experiment cost, group diversity, and venue norms, and we derive testable hypotheses. We design two observational studies on public records: a corpus-level analysis of surprise-related language and long-term citation impact across four arXiv categories (cs.LG, cs.CL, cs.CV, stat.ML), and an evidence-graded coding of the origins of highly influential ideas. Because papers record only accidents that were recognized and reported, our designs address the uptake of reported accidents rather than the base rate of accidents.</w:t>
      </w:r>
    </w:p>
    <w:p>
      <w:pPr>
        <w:spacing w:after="120" w:line="276"/>
        <w:jc w:val="left"/>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serendipity, unexpected results, meta-research, science of science, machine learning research, citation analysis</w:t>
      </w:r>
    </w:p>
    <w:p>
      <w:pPr>
        <w:pStyle w:val="Heading1"/>
        <w:keepNext/>
        <w:spacing w:after="120" w:before="300"/>
      </w:pPr>
      <w:r>
        <w:rPr>
          <w:rFonts w:ascii="Times New Roman" w:cs="Times New Roman" w:eastAsia="Times New Roman" w:hAnsi="Times New Roman"/>
        </w:rPr>
        <w:t xml:space="preserve">1. Introduction</w:t>
      </w:r>
    </w:p>
    <w:p>
      <w:pPr>
        <w:spacing w:after="120" w:line="276"/>
        <w:jc w:val="left"/>
      </w:pPr>
      <w:r>
        <w:rPr>
          <w:rFonts w:ascii="Times New Roman" w:cs="Times New Roman" w:eastAsia="Times New Roman" w:hAnsi="Times New Roman"/>
          <w:sz w:val="22"/>
          <w:szCs w:val="22"/>
        </w:rPr>
        <w:t xml:space="preserve">Much of machine learning progress is made by experiment: researchers try many ideas, observe outcomes, and build on what works. A workshop on learning from unexpected results observed that, in a field where empirical methods dominate, people routinely obtain surprising results, yet the insight these carry is rarely recorded in the literature because of a publication bias toward incremental success (Vanschoren &amp; Duivesteijn, 2012). The community has since built venues for negative and unexpected outcomes, including the I Can’t Believe It’s Not Better workshops and Insights from Negative Results in NLP. What remains unclear is how much of what the field has come to value began as a result nobody expected.</w:t>
      </w:r>
    </w:p>
    <w:p>
      <w:pPr>
        <w:spacing w:after="120" w:line="276"/>
        <w:jc w:val="left"/>
      </w:pPr>
      <w:r>
        <w:rPr>
          <w:rFonts w:ascii="Times New Roman" w:cs="Times New Roman" w:eastAsia="Times New Roman" w:hAnsi="Times New Roman"/>
          <w:sz w:val="22"/>
          <w:szCs w:val="22"/>
        </w:rPr>
        <w:t xml:space="preserve">Other sciences offer reasons to think the answer is substantial, and also reasons to doubt what published papers show. Observational studies of molecular biology laboratories report that a large share of results are unexpected, and that what happens next depends on whether researchers treat anomalies as real and discuss them with colleagues from diverse backgrounds (Dunbar, 1995, 1997). At the same time, van Andel (1994) argued that the convention of presenting findings as following logically from an initial hypothesis hides unsought findings, so that serendipity is underestimated in the record. In ML, origin stories of influential ideas circulate widely, but they are rarely traceable to contemporaneous records, and accounts that emphasize accidents may be told in hindsight. We lack a systematic way to separate what happened from what is retold.</w:t>
      </w:r>
    </w:p>
    <w:p>
      <w:pPr>
        <w:spacing w:after="120" w:line="276"/>
        <w:jc w:val="left"/>
      </w:pPr>
      <w:r>
        <w:rPr>
          <w:rFonts w:ascii="Times New Roman" w:cs="Times New Roman" w:eastAsia="Times New Roman" w:hAnsi="Times New Roman"/>
          <w:sz w:val="22"/>
          <w:szCs w:val="22"/>
        </w:rPr>
        <w:t xml:space="preserve">This paper takes a step toward such a way. We make three contributions. First, drawing on the sociology of serendipity (Merton &amp; Barber, 2004; van Andel, 1994; Makri &amp; Blandford, 2012a, b), we decompose serendipity into three separable constructs: an accident (an unexpected, non-targeted observation), its recognition, and its uptake as an influential idea. Separating trigger from outcome allows analyses that do not select only on success. Second, we propose a taxonomy of six trigger types and a staged model of the conditions that plausibly affect each stage, including experiment cost, group diversity, and venue norms. Third, we derive testable hypotheses and design two observational studies on public records: a corpus-level analysis of surprise-related language and long-term citation impact across four arXiv categories, and an evidence-graded coding of the origins of highly influential ideas.</w:t>
      </w:r>
    </w:p>
    <w:p>
      <w:pPr>
        <w:spacing w:after="120" w:line="276"/>
        <w:jc w:val="left"/>
      </w:pPr>
      <w:r>
        <w:rPr>
          <w:rFonts w:ascii="Times New Roman" w:cs="Times New Roman" w:eastAsia="Times New Roman" w:hAnsi="Times New Roman"/>
          <w:sz w:val="22"/>
          <w:szCs w:val="22"/>
        </w:rPr>
        <w:t xml:space="preserve">Our designs have a deliberate limit. Papers record only accidents that were recognized and reported; discarded accidents leave no trace. We therefore study the uptake of reported accidents, not the base rate of accidents, and we restrict our claims accordingly. Our notion of surprise is also distinct from the combinatorial surprise that Shi and Evans (2023) relate to impact: we are concerned with results that diverged from what researchers expected, not with improbable pairings of topics.</w:t>
      </w:r>
    </w:p>
    <w:p>
      <w:pPr>
        <w:spacing w:after="120" w:line="276"/>
        <w:jc w:val="left"/>
      </w:pPr>
      <w:r>
        <w:rPr>
          <w:rFonts w:ascii="Times New Roman" w:cs="Times New Roman" w:eastAsia="Times New Roman" w:hAnsi="Times New Roman"/>
          <w:sz w:val="22"/>
          <w:szCs w:val="22"/>
        </w:rPr>
        <w:t xml:space="preserve">We organize the paper around three research questions. RQ1: How often do highly influential ML ideas originate in reported unexpected results? RQ2: Is surprise-related reporting associated with later impact, and does this vary across subfields? RQ3: Which conditions (experiment cost, group diversity, venue norms) are associated with the reporting and uptake of unexpected results? Section 2 reviews related work; Section 3 presents the conceptual framework; Section 4 describes the study design; Section 5 discusses threats to validity; Section 6 discusses implications; and Section 7 concludes.</w:t>
      </w:r>
    </w:p>
    <w:p>
      <w:pPr>
        <w:pStyle w:val="Heading1"/>
        <w:keepNext/>
        <w:spacing w:after="120" w:before="300"/>
      </w:pPr>
      <w:r>
        <w:rPr>
          <w:rFonts w:ascii="Times New Roman" w:cs="Times New Roman" w:eastAsia="Times New Roman" w:hAnsi="Times New Roman"/>
        </w:rPr>
        <w:t xml:space="preserve">2. Related Work</w:t>
      </w:r>
    </w:p>
    <w:p>
      <w:pPr>
        <w:pStyle w:val="Heading2"/>
        <w:keepNext/>
        <w:spacing w:after="100" w:before="200"/>
      </w:pPr>
      <w:r>
        <w:rPr>
          <w:rFonts w:ascii="Times New Roman" w:cs="Times New Roman" w:eastAsia="Times New Roman" w:hAnsi="Times New Roman"/>
        </w:rPr>
        <w:t xml:space="preserve">2.1 Serendipity: concepts and models</w:t>
      </w:r>
    </w:p>
    <w:p>
      <w:pPr>
        <w:spacing w:after="120" w:line="276"/>
        <w:jc w:val="left"/>
      </w:pPr>
      <w:r>
        <w:rPr>
          <w:rFonts w:ascii="Times New Roman" w:cs="Times New Roman" w:eastAsia="Times New Roman" w:hAnsi="Times New Roman"/>
          <w:sz w:val="22"/>
          <w:szCs w:val="22"/>
        </w:rPr>
        <w:t xml:space="preserve">The sociology of science has long treated serendipity as central to discovery. Merton described a “serendipity pattern” in empirical research in which an unanticipated, anomalous observation prompts new theory, and wrote with Barber a history of the term (Merton &amp; Barber, 2004 [written 1958]). Van Andel (1994) defined serendipity as the art of making an unsought finding, catalogued patterns of such findings, and argued that the convention of reporting results as following from an initial hypothesis leads to underestimating their role. Makri and Blandford (2012a, b) built an empirically grounded process model and classification framework from interviews with 28 interdisciplinary researchers, centered on unexpectedness, insight, and value; Makri et al. (2014) identified strategies, such as varying routines and being observant, that creative professionals use to raise the likelihood of serendipity. Recent volumes consolidate serendipity as an emerging field (Copeland et al., 2023; Ross et al., 2024).</w:t>
      </w:r>
    </w:p>
    <w:p>
      <w:pPr>
        <w:pStyle w:val="Heading2"/>
        <w:keepNext/>
        <w:spacing w:after="100" w:before="200"/>
      </w:pPr>
      <w:r>
        <w:rPr>
          <w:rFonts w:ascii="Times New Roman" w:cs="Times New Roman" w:eastAsia="Times New Roman" w:hAnsi="Times New Roman"/>
        </w:rPr>
        <w:t xml:space="preserve">2.2 Unexpected results in scientific practice</w:t>
      </w:r>
    </w:p>
    <w:p>
      <w:pPr>
        <w:spacing w:after="120" w:line="276"/>
        <w:jc w:val="left"/>
      </w:pPr>
      <w:r>
        <w:rPr>
          <w:rFonts w:ascii="Times New Roman" w:cs="Times New Roman" w:eastAsia="Times New Roman" w:hAnsi="Times New Roman"/>
          <w:sz w:val="22"/>
          <w:szCs w:val="22"/>
        </w:rPr>
        <w:t xml:space="preserve">Dunbar’s in vivo studies of molecular biology laboratories (Dunbar, 1995, 1997) report that a large share of results are unexpected, and that conceptual change depends on whether researchers treat anomalies as real and discuss them with colleagues of diverse backgrounds. These studies suggest that recognition, not occurrence, is the bottleneck. Whether this holds in ML is untested.</w:t>
      </w:r>
    </w:p>
    <w:p>
      <w:pPr>
        <w:pStyle w:val="Heading2"/>
        <w:keepNext/>
        <w:spacing w:after="100" w:before="200"/>
      </w:pPr>
      <w:r>
        <w:rPr>
          <w:rFonts w:ascii="Times New Roman" w:cs="Times New Roman" w:eastAsia="Times New Roman" w:hAnsi="Times New Roman"/>
        </w:rPr>
        <w:t xml:space="preserve">2.3 Surprise and impact at scale</w:t>
      </w:r>
    </w:p>
    <w:p>
      <w:pPr>
        <w:spacing w:after="120" w:line="276"/>
        <w:jc w:val="left"/>
      </w:pPr>
      <w:r>
        <w:rPr>
          <w:rFonts w:ascii="Times New Roman" w:cs="Times New Roman" w:eastAsia="Times New Roman" w:hAnsi="Times New Roman"/>
          <w:sz w:val="22"/>
          <w:szCs w:val="22"/>
        </w:rPr>
        <w:t xml:space="preserve">Shi and Evans (2023) show that unexpected combinations of research contents and contexts predict outsized citation impact and arise from outsiders working across distant disciplines. Their notion of surprise is combinatorial: an improbable pairing of topics and venues. Ours is outcome-level: a result that diverged from what the researchers expected. The two are complementary, and we do not claim they coincide.</w:t>
      </w:r>
    </w:p>
    <w:p>
      <w:pPr>
        <w:pStyle w:val="Heading2"/>
        <w:keepNext/>
        <w:spacing w:after="100" w:before="200"/>
      </w:pPr>
      <w:r>
        <w:rPr>
          <w:rFonts w:ascii="Times New Roman" w:cs="Times New Roman" w:eastAsia="Times New Roman" w:hAnsi="Times New Roman"/>
        </w:rPr>
        <w:t xml:space="preserve">2.4 Serendipity in computing systems</w:t>
      </w:r>
    </w:p>
    <w:p>
      <w:pPr>
        <w:spacing w:after="120" w:line="276"/>
        <w:jc w:val="left"/>
      </w:pPr>
      <w:r>
        <w:rPr>
          <w:rFonts w:ascii="Times New Roman" w:cs="Times New Roman" w:eastAsia="Times New Roman" w:hAnsi="Times New Roman"/>
          <w:sz w:val="22"/>
          <w:szCs w:val="22"/>
        </w:rPr>
        <w:t xml:space="preserve">Computer scientists have designed systems to encourage serendipity, from digital information environments to recommender systems and, recently, AI frameworks that model the recognition of unexpected observations by AI agents (Kumar, 2025) and detect unexpected results in materials characterization (SciLink; Yao et al., 2025). This work builds tools that support discovery. We instead study how discovery occurred within ML itself.</w:t>
      </w:r>
    </w:p>
    <w:p>
      <w:pPr>
        <w:pStyle w:val="Heading2"/>
        <w:keepNext/>
        <w:spacing w:after="100" w:before="200"/>
      </w:pPr>
      <w:r>
        <w:rPr>
          <w:rFonts w:ascii="Times New Roman" w:cs="Times New Roman" w:eastAsia="Times New Roman" w:hAnsi="Times New Roman"/>
        </w:rPr>
        <w:t xml:space="preserve">2.5 Meta-research on machine learning</w:t>
      </w:r>
    </w:p>
    <w:p>
      <w:pPr>
        <w:spacing w:after="120" w:line="276"/>
        <w:jc w:val="left"/>
      </w:pPr>
      <w:r>
        <w:rPr>
          <w:rFonts w:ascii="Times New Roman" w:cs="Times New Roman" w:eastAsia="Times New Roman" w:hAnsi="Times New Roman"/>
          <w:sz w:val="22"/>
          <w:szCs w:val="22"/>
        </w:rPr>
        <w:t xml:space="preserve">Lipton and Steinhardt (2018) identify troubling patterns in ML scholarship, including speculation presented as explanation and failure to identify the sources of empirical gains, and attribute them partly to misaligned incentives. Herrmann et al. (2024) argue that most empirical ML research is framed as confirmatory although it is better regarded as exploratory. A parallel literature advocates publishing negative and unexpected results: workshops such as I Can’t Believe It’s Not Better (NeurIPS 2020–2023; ICLR 2025; ICBINB Organizing Team, 2020–2025) and Insights from Negative Results in NLP (EMNLP 2020, 2021; Rogers et al., 2020; Sedoc et al., 2021), the ECML PKDD 2012 workshop on learning from unexpected results (Vanschoren &amp; Duivesteijn, 2012), and a position paper arguing for negative-result tracks (Karl et al., 2024). These works advocate and describe; to our knowledge, none quantifies how unexpected results relate to later influence across the field.</w:t>
      </w:r>
    </w:p>
    <w:p>
      <w:pPr>
        <w:pStyle w:val="Heading2"/>
        <w:keepNext/>
        <w:spacing w:after="100" w:before="200"/>
      </w:pPr>
      <w:r>
        <w:rPr>
          <w:rFonts w:ascii="Times New Roman" w:cs="Times New Roman" w:eastAsia="Times New Roman" w:hAnsi="Times New Roman"/>
        </w:rPr>
        <w:t xml:space="preserve">2.6 “Luck” in the optimization sense</w:t>
      </w:r>
    </w:p>
    <w:p>
      <w:pPr>
        <w:spacing w:after="120" w:line="276"/>
        <w:jc w:val="left"/>
      </w:pPr>
      <w:r>
        <w:rPr>
          <w:rFonts w:ascii="Times New Roman" w:cs="Times New Roman" w:eastAsia="Times New Roman" w:hAnsi="Times New Roman"/>
          <w:sz w:val="22"/>
          <w:szCs w:val="22"/>
        </w:rPr>
        <w:t xml:space="preserve">Work on training dynamics studies luck in initialization (Tian et al., 2019) and variation across seeds (Zhao et al., 2025). This concerns stochasticity within a training run, not the role of chance in how research ideas arise, though the two may interact (Section 3.3).</w:t>
      </w:r>
    </w:p>
    <w:p>
      <w:pPr>
        <w:pStyle w:val="Heading1"/>
        <w:keepNext/>
        <w:spacing w:after="120" w:before="300"/>
      </w:pPr>
      <w:r>
        <w:rPr>
          <w:rFonts w:ascii="Times New Roman" w:cs="Times New Roman" w:eastAsia="Times New Roman" w:hAnsi="Times New Roman"/>
        </w:rPr>
        <w:t xml:space="preserve">3. Conceptual Framework</w:t>
      </w:r>
    </w:p>
    <w:p>
      <w:pPr>
        <w:pStyle w:val="Heading2"/>
        <w:keepNext/>
        <w:spacing w:after="100" w:before="200"/>
      </w:pPr>
      <w:r>
        <w:rPr>
          <w:rFonts w:ascii="Times New Roman" w:cs="Times New Roman" w:eastAsia="Times New Roman" w:hAnsi="Times New Roman"/>
        </w:rPr>
        <w:t xml:space="preserve">3.1 Definitions</w:t>
      </w:r>
    </w:p>
    <w:p>
      <w:pPr>
        <w:spacing w:after="120" w:line="276"/>
        <w:jc w:val="left"/>
      </w:pPr>
      <w:r>
        <w:rPr>
          <w:rFonts w:ascii="Times New Roman" w:cs="Times New Roman" w:eastAsia="Times New Roman" w:hAnsi="Times New Roman"/>
          <w:sz w:val="22"/>
          <w:szCs w:val="22"/>
        </w:rPr>
        <w:t xml:space="preserve">The notion of serendipity as an unforeseen, anomalous observation that prompts new theory goes back to Merton’s “serendipity pattern” (Merton, 1948; Merton &amp; Barber, 2004 [written 1958]). Van Andel (1994) later catalogued patterns of unsought findings, and Makri and Blandford (2012a, b) proposed, on the basis of interviews with researchers, that experiences judged serendipitous combine unexpectedness, insight, and value. Our decomposition is closest to the latter but serves a different purpose: whereas they classify how serendipitous a given experience is, we separate trigger from outcome so that the uptake of reported accidents, including those that led nowhere, can be estimated.</w:t>
      </w:r>
    </w:p>
    <w:p>
      <w:pPr>
        <w:spacing w:after="120" w:line="276"/>
        <w:jc w:val="left"/>
      </w:pPr>
      <w:r>
        <w:rPr>
          <w:rFonts w:ascii="Times New Roman" w:cs="Times New Roman" w:eastAsia="Times New Roman" w:hAnsi="Times New Roman"/>
          <w:sz w:val="22"/>
          <w:szCs w:val="22"/>
        </w:rPr>
        <w:t xml:space="preserve">In the classical sense, serendipity is the combination of an accident and the sagacity to exploit it: an unexpected event noticed by an agent prepared to make use of it. Because this definition bundles the trigger, its recognition, and its value, it cannot by itself support a study free of survivorship bias. We therefore decompose it into three separable constructs.</w:t>
      </w:r>
    </w:p>
    <w:p>
      <w:pPr>
        <w:spacing w:after="120" w:line="276"/>
        <w:jc w:val="left"/>
      </w:pPr>
      <w:r>
        <w:rPr>
          <w:rFonts w:ascii="Times New Roman" w:cs="Times New Roman" w:eastAsia="Times New Roman" w:hAnsi="Times New Roman"/>
          <w:b/>
          <w:bCs/>
          <w:sz w:val="22"/>
          <w:szCs w:val="22"/>
        </w:rPr>
        <w:t xml:space="preserve">Accident (trigger-level).</w:t>
      </w:r>
      <w:r>
        <w:rPr>
          <w:rFonts w:ascii="Times New Roman" w:cs="Times New Roman" w:eastAsia="Times New Roman" w:hAnsi="Times New Roman"/>
          <w:sz w:val="22"/>
          <w:szCs w:val="22"/>
        </w:rPr>
        <w:t xml:space="preserve"> An accident is an event in a research process that satisfies both of the following: (a) Unexpectedness: the observation diverges from, or is orthogonal to, what the researchers expected at the time, as evidenced by their stated hypotheses or contemporaneous accounts; (b) Non-targeted origin: the observation arose while pursuing a goal other than the one it later served.</w:t>
      </w:r>
    </w:p>
    <w:p>
      <w:pPr>
        <w:spacing w:after="120" w:line="276"/>
        <w:jc w:val="left"/>
      </w:pPr>
      <w:r>
        <w:rPr>
          <w:rFonts w:ascii="Times New Roman" w:cs="Times New Roman" w:eastAsia="Times New Roman" w:hAnsi="Times New Roman"/>
          <w:b/>
          <w:bCs/>
          <w:sz w:val="22"/>
          <w:szCs w:val="22"/>
        </w:rPr>
        <w:t xml:space="preserve">Recognition.</w:t>
      </w:r>
      <w:r>
        <w:rPr>
          <w:rFonts w:ascii="Times New Roman" w:cs="Times New Roman" w:eastAsia="Times New Roman" w:hAnsi="Times New Roman"/>
          <w:sz w:val="22"/>
          <w:szCs w:val="22"/>
        </w:rPr>
        <w:t xml:space="preserve"> An accident is recognized if researchers noticed it and pursued it, rather than discarding it as noise, error, or irrelevance.</w:t>
      </w:r>
    </w:p>
    <w:p>
      <w:pPr>
        <w:spacing w:after="120" w:line="276"/>
        <w:jc w:val="left"/>
      </w:pPr>
      <w:r>
        <w:rPr>
          <w:rFonts w:ascii="Times New Roman" w:cs="Times New Roman" w:eastAsia="Times New Roman" w:hAnsi="Times New Roman"/>
          <w:b/>
          <w:bCs/>
          <w:sz w:val="22"/>
          <w:szCs w:val="22"/>
        </w:rPr>
        <w:t xml:space="preserve">Serendipity (outcome-level; uptake).</w:t>
      </w:r>
      <w:r>
        <w:rPr>
          <w:rFonts w:ascii="Times New Roman" w:cs="Times New Roman" w:eastAsia="Times New Roman" w:hAnsi="Times New Roman"/>
          <w:sz w:val="22"/>
          <w:szCs w:val="22"/>
        </w:rPr>
        <w:t xml:space="preserve"> A recognized accident is serendipitous if it later led to an idea that was adopted, extended, or highly cited by the community.</w:t>
      </w:r>
    </w:p>
    <w:p>
      <w:pPr>
        <w:spacing w:after="120" w:line="276"/>
        <w:jc w:val="left"/>
      </w:pPr>
      <w:r>
        <w:rPr>
          <w:rFonts w:ascii="Times New Roman" w:cs="Times New Roman" w:eastAsia="Times New Roman" w:hAnsi="Times New Roman"/>
          <w:sz w:val="22"/>
          <w:szCs w:val="22"/>
        </w:rPr>
        <w:t xml:space="preserve">This decomposition lets us distinguish three questions: how often accidents occur, what fraction are recognized, and what fraction of recognized accidents become influential. Public records inform only the later stages (Section 4.2).</w:t>
      </w:r>
    </w:p>
    <w:p>
      <w:pPr>
        <w:spacing w:after="120" w:line="276"/>
        <w:jc w:val="left"/>
      </w:pPr>
      <w:r>
        <w:rPr>
          <w:rFonts w:ascii="Times New Roman" w:cs="Times New Roman" w:eastAsia="Times New Roman" w:hAnsi="Times New Roman"/>
          <w:b/>
          <w:bCs/>
          <w:sz w:val="22"/>
          <w:szCs w:val="22"/>
        </w:rPr>
        <w:t xml:space="preserve">Exclusions.</w:t>
      </w:r>
      <w:r>
        <w:rPr>
          <w:rFonts w:ascii="Times New Roman" w:cs="Times New Roman" w:eastAsia="Times New Roman" w:hAnsi="Times New Roman"/>
          <w:sz w:val="22"/>
          <w:szCs w:val="22"/>
        </w:rPr>
        <w:t xml:space="preserve"> We do not count as accidents: (i) planned exploration and ablation-driven refinement, (ii) improvements predicted by scaling laws or prior theory, and (iii) pseudo-serendipity, where a sought-after result is reached by an unexpected route (a term introduced by Roberts, 1989; see also van Andel, 1994).</w:t>
      </w:r>
    </w:p>
    <w:p>
      <w:pPr>
        <w:pStyle w:val="Heading2"/>
        <w:keepNext/>
        <w:spacing w:after="100" w:before="200"/>
      </w:pPr>
      <w:r>
        <w:rPr>
          <w:rFonts w:ascii="Times New Roman" w:cs="Times New Roman" w:eastAsia="Times New Roman" w:hAnsi="Times New Roman"/>
        </w:rPr>
        <w:t xml:space="preserve">3.2 Taxonomy of triggers and evidence grades</w:t>
      </w:r>
    </w:p>
    <w:p>
      <w:pPr>
        <w:spacing w:after="120" w:line="276"/>
        <w:jc w:val="left"/>
      </w:pPr>
      <w:r>
        <w:rPr>
          <w:rFonts w:ascii="Times New Roman" w:cs="Times New Roman" w:eastAsia="Times New Roman" w:hAnsi="Times New Roman"/>
          <w:sz w:val="22"/>
          <w:szCs w:val="22"/>
        </w:rPr>
        <w:t xml:space="preserve">We distinguish six types of accident trigger. Candidate cases are hypotheses, not established cases; several are known to us only through secondary or tertiary accounts. Candidate cases that fall within the sampling frame of Study 2 (Section 4.4) will be coded there. Two of the cases below, adversarial examples (Szegedy et al., 2013) and dropout (Hinton et al., 2012), date from before the 2014–2022 frame; they serve only as illustrative examples and are not part of the N = 225 sampled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26"/>
      </w:tblGrid>
      <w:tr>
        <w:trPr>
          <w:cantSplit/>
          <w:tblHeader/>
        </w:trPr>
        <w:tc>
          <w:tcPr>
            <w:tcW w:type="dxa" w:w="1800"/>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Category</w:t>
            </w:r>
          </w:p>
        </w:tc>
        <w:tc>
          <w:tcPr>
            <w:tcW w:type="dxa" w:w="3100"/>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Operational definition</w:t>
            </w:r>
          </w:p>
        </w:tc>
        <w:tc>
          <w:tcPr>
            <w:tcW w:type="dxa" w:w="4126"/>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Candidate cases (unverified)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Implementation error</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An error or bug in code or setup that produced a useful behavior.</w:t>
            </w:r>
          </w:p>
        </w:tc>
        <w:tc>
          <w:tcPr>
            <w:tcW w:type="dxa" w:w="4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None identified yet.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Resource contingency</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A hardware, data, or compute constraint or opportunity that redirected the research path.</w:t>
            </w:r>
          </w:p>
        </w:tc>
        <w:tc>
          <w:tcPr>
            <w:tcW w:type="dxa" w:w="4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None identified yet. (The use of GPUs in early deep convolutional networks, Krizhevsky et al., 2012, was a deliberate engineering choice and falls under exclusion (i); it is not a candidate.)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Side observation</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An observation made while pursuing a different goal.</w:t>
            </w:r>
          </w:p>
        </w:tc>
        <w:tc>
          <w:tcPr>
            <w:tcW w:type="dxa" w:w="4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Adversarial examples (Szegedy et al., 2013); illustrative only, outside the Study 2 frame.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Cross-domain encounter</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An idea arising from conversation or work in another subfield or discipline.</w:t>
            </w:r>
          </w:p>
        </w:tc>
        <w:tc>
          <w:tcPr>
            <w:tcW w:type="dxa" w:w="4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GANs (Goodfellow et al., 2014; researcher’s account: Goodfellow, 2017); the account is grade B, coding pending (Study 2). Dropout (Hinton et al., 2012; Srivastava et al., 2014; researcher’s account: Hinton, 2016; grade B); illustrative only, outside the Study 2 frame.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Negative-to-positive reversal</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An unwanted or failed result that changed the direction of work.</w:t>
            </w:r>
          </w:p>
        </w:tc>
        <w:tc>
          <w:tcPr>
            <w:tcW w:type="dxa" w:w="4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Grokking (Power et al., 2022).</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Stochastic luck</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A difference in outcome attributable to seed or hyperparameter chance.</w:t>
            </w:r>
          </w:p>
        </w:tc>
        <w:tc>
          <w:tcPr>
            <w:tcW w:type="dxa" w:w="41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None identified yet.</w:t>
            </w:r>
          </w:p>
        </w:tc>
      </w:tr>
    </w:tbl>
    <w:p>
      <w:pPr>
        <w:spacing w:after="120"/>
      </w:pPr>
    </w:p>
    <w:p>
      <w:pPr>
        <w:spacing w:after="120" w:line="276"/>
        <w:jc w:val="left"/>
      </w:pPr>
      <w:r>
        <w:rPr>
          <w:rFonts w:ascii="Times New Roman" w:cs="Times New Roman" w:eastAsia="Times New Roman" w:hAnsi="Times New Roman"/>
          <w:sz w:val="22"/>
          <w:szCs w:val="22"/>
        </w:rPr>
        <w:t xml:space="preserve">Three of the six types (implementation error, resource contingency, stochastic luck) currently have no candidate case, so the taxonomy should be read as provisional. Study 2 adds a residual type, “other accident”, for accident origins that fit none of the six. A type with no cases in the sample will be reported as empty and merged or dropped in the final analysis rather than retained by default.</w:t>
      </w:r>
    </w:p>
    <w:p>
      <w:pPr>
        <w:spacing w:after="120" w:line="276"/>
        <w:jc w:val="left"/>
      </w:pPr>
      <w:r>
        <w:rPr>
          <w:rFonts w:ascii="Times New Roman" w:cs="Times New Roman" w:eastAsia="Times New Roman" w:hAnsi="Times New Roman"/>
          <w:sz w:val="22"/>
          <w:szCs w:val="22"/>
        </w:rPr>
        <w:t xml:space="preserve">Each case is also graded by the strength of its strongest source: A, a record contemporaneous with the event (code, logs, letters, early posts); B, a later account by the researchers themselves (paper, interview, talk); C, a third-party account (blog, book, media). Only grades A and B count as evidence of origin in the main analysis. A paper whose best source is grade C, or that has no source on its origin, is coded as insufficient evidence; it stays in the denominator of the main estimate (Section 4.4), and grade C material appears in an appendix.</w:t>
      </w:r>
    </w:p>
    <w:p>
      <w:pPr>
        <w:pStyle w:val="Heading2"/>
        <w:keepNext/>
        <w:spacing w:after="100" w:before="200"/>
      </w:pPr>
      <w:r>
        <w:rPr>
          <w:rFonts w:ascii="Times New Roman" w:cs="Times New Roman" w:eastAsia="Times New Roman" w:hAnsi="Times New Roman"/>
        </w:rPr>
        <w:t xml:space="preserve">3.3 Conditions shaping accidents, recognition, and uptake</w:t>
      </w:r>
    </w:p>
    <w:p>
      <w:pPr>
        <w:spacing w:after="120" w:line="276"/>
        <w:jc w:val="left"/>
      </w:pPr>
      <w:r>
        <w:rPr>
          <w:rFonts w:ascii="Times New Roman" w:cs="Times New Roman" w:eastAsia="Times New Roman" w:hAnsi="Times New Roman"/>
          <w:sz w:val="22"/>
          <w:szCs w:val="22"/>
        </w:rPr>
        <w:t xml:space="preserve">Because we separate accident, recognition, and serendipity (Section 3.1), conditions that affect research need not act on all three stages equally. We organize candidate conditions by the stage they plausibly influence (Figure 1).</w:t>
      </w:r>
    </w:p>
    <w:p>
      <w:pPr>
        <w:keepNext/>
        <w:spacing w:after="60" w:before="120"/>
        <w:jc w:val="center"/>
      </w:pPr>
      <w:r>
        <w:drawing>
          <wp:inline distT="0" distB="0" distL="0" distR="0">
            <wp:extent cx="5715000" cy="2428875"/>
            <wp:effectExtent t="0" r="0" b="0" l="0"/>
            <wp:docPr id="1" name="fig1" descr="Accident, recognition and uptake, with conditions per stage and the span visible in public records" title="Three-stag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28875"/>
                    </a:xfrm>
                    <a:prstGeom prst="rect">
                      <a:avLst/>
                    </a:prstGeom>
                  </pic:spPr>
                </pic:pic>
              </a:graphicData>
            </a:graphic>
          </wp:inline>
        </w:drawing>
      </w:r>
    </w:p>
    <w:p>
      <w:pPr>
        <w:spacing w:after="160" w:line="264"/>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Staged model. Accidents occur (stage 1), are recognized (stage 2), and become influential ideas (stage 3). Public records show only accidents that were recognized and reported; discarded accidents leave no trace. Conditions listed under each stage are those discussed in Section 3.3.</w:t>
      </w:r>
    </w:p>
    <w:p>
      <w:pPr>
        <w:spacing w:after="120" w:line="276"/>
        <w:jc w:val="left"/>
      </w:pPr>
      <w:r>
        <w:rPr>
          <w:rFonts w:ascii="Times New Roman" w:cs="Times New Roman" w:eastAsia="Times New Roman" w:hAnsi="Times New Roman"/>
          <w:sz w:val="22"/>
          <w:szCs w:val="22"/>
        </w:rPr>
        <w:t xml:space="preserve">Evidence from other sciences suggests that unexpected results are frequent and that the bottleneck lies downstream. In observational studies of molecular biology laboratories, Dunbar (1995, 1997) reported that more than half of the data were unexpected, and that researchers frequently explained anomalies away rather than pursuing them. If machine learning resembles this picture, the study of serendipity is less about generating accidents than about recognizing and following them up. We treat this as an open empirical question. ML differs from wet-lab science in ways that cut both ways: runs are cheap and numerous, which should raise the number of unexpected outcomes, but results are summarized by benchmark scores, which may make deviations easier to dismiss as noise.</w:t>
      </w:r>
    </w:p>
    <w:p>
      <w:pPr>
        <w:spacing w:after="120" w:line="276"/>
        <w:jc w:val="left"/>
      </w:pPr>
      <w:r>
        <w:rPr>
          <w:rFonts w:ascii="Times New Roman" w:cs="Times New Roman" w:eastAsia="Times New Roman" w:hAnsi="Times New Roman"/>
          <w:b/>
          <w:bCs/>
          <w:sz w:val="22"/>
          <w:szCs w:val="22"/>
        </w:rPr>
        <w:t xml:space="preserve">Stage 1: Occurrence.</w:t>
      </w:r>
      <w:r>
        <w:rPr>
          <w:rFonts w:ascii="Times New Roman" w:cs="Times New Roman" w:eastAsia="Times New Roman" w:hAnsi="Times New Roman"/>
          <w:sz w:val="22"/>
          <w:szCs w:val="22"/>
        </w:rPr>
        <w:t xml:space="preserve"> Factors that change how often outcomes diverge from expectation: the cost of an experimental run, the degree to which a subfield is guided by predictive theory, and run-to-run stochasticity. The last matters because recent work shows that apparent sudden jumps in capability can reflect shifting distributions of outcomes across random seeds (Zhao et al., 2025).</w:t>
      </w:r>
    </w:p>
    <w:p>
      <w:pPr>
        <w:spacing w:after="120" w:line="276"/>
        <w:jc w:val="left"/>
      </w:pPr>
      <w:r>
        <w:rPr>
          <w:rFonts w:ascii="Times New Roman" w:cs="Times New Roman" w:eastAsia="Times New Roman" w:hAnsi="Times New Roman"/>
          <w:b/>
          <w:bCs/>
          <w:sz w:val="22"/>
          <w:szCs w:val="22"/>
        </w:rPr>
        <w:t xml:space="preserve">Stage 2: Recognition.</w:t>
      </w:r>
      <w:r>
        <w:rPr>
          <w:rFonts w:ascii="Times New Roman" w:cs="Times New Roman" w:eastAsia="Times New Roman" w:hAnsi="Times New Roman"/>
          <w:sz w:val="22"/>
          <w:szCs w:val="22"/>
        </w:rPr>
        <w:t xml:space="preserve"> Factors that determine whether an anomaly is noticed and pursued. Dunbar’s analyses suggest that conceptual change follows when a surprising result is believed not to be an error and is challenged by other group members, and that groups need diverse knowledge to draw fruitful analogies. Individual strategies matter too: in interviews with creative professionals, Makri et al. (2014) identified practices such as varying routines, being observant, making mental space, and drawing on previous experience.</w:t>
      </w:r>
    </w:p>
    <w:p>
      <w:pPr>
        <w:spacing w:after="120" w:line="276"/>
        <w:jc w:val="left"/>
      </w:pPr>
      <w:r>
        <w:rPr>
          <w:rFonts w:ascii="Times New Roman" w:cs="Times New Roman" w:eastAsia="Times New Roman" w:hAnsi="Times New Roman"/>
          <w:b/>
          <w:bCs/>
          <w:sz w:val="22"/>
          <w:szCs w:val="22"/>
        </w:rPr>
        <w:t xml:space="preserve">Stage 3: Uptake.</w:t>
      </w:r>
      <w:r>
        <w:rPr>
          <w:rFonts w:ascii="Times New Roman" w:cs="Times New Roman" w:eastAsia="Times New Roman" w:hAnsi="Times New Roman"/>
          <w:sz w:val="22"/>
          <w:szCs w:val="22"/>
        </w:rPr>
        <w:t xml:space="preserve"> Factors that determine whether a recognized accident becomes a published, adopted idea: venue norms and reviewer expectations, ease of replication and open-source release, and the cost of follow-up work. Narrative pressure belongs here as well: van Andel (1994) argued that the convention of reporting results as following logically from the initial hypothesis hides unsought findings and leads to underestimating serendipity.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326"/>
        <w:gridCol w:w="2400"/>
      </w:tblGrid>
      <w:tr>
        <w:trPr>
          <w:cantSplit/>
          <w:tblHeader/>
        </w:trPr>
        <w:tc>
          <w:tcPr>
            <w:tcW w:type="dxa" w:w="1200"/>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Stage</w:t>
            </w:r>
          </w:p>
        </w:tc>
        <w:tc>
          <w:tcPr>
            <w:tcW w:type="dxa" w:w="2100"/>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Condition</w:t>
            </w:r>
          </w:p>
        </w:tc>
        <w:tc>
          <w:tcPr>
            <w:tcW w:type="dxa" w:w="3326"/>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Mechanism</w:t>
            </w:r>
          </w:p>
        </w:tc>
        <w:tc>
          <w:tcPr>
            <w:tcW w:type="dxa" w:w="2400"/>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Observable proxy</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Occurrence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Cost per run</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More runs yield more outcomes that diverge from expectation.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Model scale; reported hardware</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Occurrence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Theory-guidedness of subfield</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Weaker predictive theory leaves more room for divergence from expectation.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Primary category; theorem or proof content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Occurrence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Run-to-run stochasticity</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Variance across random seeds.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Number of seeds reported</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Recognition</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Group diversity</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Diverse knowledge supports interpreting anomalies.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Diversity of authors’ affiliations and backgrounds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Uptake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Venue norms</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Tolerance of results without an a priori hypothesis.</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Venue type; negative-result workshops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Uptake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Reproducibility and open release</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Faster verification and adoption.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Code release</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Uptake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Cost of follow-up</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Ease of building on the result.</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Time to follow-up paper (approximate)</w:t>
            </w:r>
          </w:p>
        </w:tc>
      </w:tr>
    </w:tbl>
    <w:p>
      <w:pPr>
        <w:spacing w:after="120"/>
      </w:pPr>
    </w:p>
    <w:p>
      <w:pPr>
        <w:spacing w:after="120" w:line="276"/>
        <w:jc w:val="left"/>
      </w:pPr>
      <w:r>
        <w:rPr>
          <w:rFonts w:ascii="Times New Roman" w:cs="Times New Roman" w:eastAsia="Times New Roman" w:hAnsi="Times New Roman"/>
          <w:sz w:val="22"/>
          <w:szCs w:val="22"/>
        </w:rPr>
        <w:t xml:space="preserve">Two further conditions at the recognition stage, namely logging practices and individual strategies, are not observable from public records and are discussed in Section 6.4.</w:t>
      </w:r>
    </w:p>
    <w:p>
      <w:pPr>
        <w:pStyle w:val="Heading2"/>
        <w:keepNext/>
        <w:spacing w:after="100" w:before="200"/>
      </w:pPr>
      <w:r>
        <w:rPr>
          <w:rFonts w:ascii="Times New Roman" w:cs="Times New Roman" w:eastAsia="Times New Roman" w:hAnsi="Times New Roman"/>
        </w:rPr>
        <w:t xml:space="preserve">3.4 Hypotheses</w:t>
      </w:r>
    </w:p>
    <w:p>
      <w:pPr>
        <w:spacing w:after="120" w:line="276"/>
        <w:jc w:val="left"/>
      </w:pPr>
      <w:r>
        <w:rPr>
          <w:rFonts w:ascii="Times New Roman" w:cs="Times New Roman" w:eastAsia="Times New Roman" w:hAnsi="Times New Roman"/>
          <w:b/>
          <w:bCs/>
          <w:sz w:val="22"/>
          <w:szCs w:val="22"/>
        </w:rPr>
        <w:t xml:space="preserve">H1.</w:t>
      </w:r>
      <w:r>
        <w:rPr>
          <w:rFonts w:ascii="Times New Roman" w:cs="Times New Roman" w:eastAsia="Times New Roman" w:hAnsi="Times New Roman"/>
          <w:sz w:val="22"/>
          <w:szCs w:val="22"/>
        </w:rPr>
        <w:t xml:space="preserve"> Among the highly cited papers sampled in Study 2 (N = 225; Section 4.4), the share with a documented accident origin (grade A or B evidence), computed over all sampled papers, exceeds 10%. H1 is supported if the lower limit of the 95% Wilson interval for this share exceeds 0.10, which requires at least 32 of the 225 papers.</w:t>
      </w:r>
    </w:p>
    <w:p>
      <w:pPr>
        <w:spacing w:after="120" w:line="276"/>
        <w:jc w:val="left"/>
      </w:pPr>
      <w:r>
        <w:rPr>
          <w:rFonts w:ascii="Times New Roman" w:cs="Times New Roman" w:eastAsia="Times New Roman" w:hAnsi="Times New Roman"/>
          <w:b/>
          <w:bCs/>
          <w:sz w:val="22"/>
          <w:szCs w:val="22"/>
        </w:rPr>
        <w:t xml:space="preserve">H2.</w:t>
      </w:r>
      <w:r>
        <w:rPr>
          <w:rFonts w:ascii="Times New Roman" w:cs="Times New Roman" w:eastAsia="Times New Roman" w:hAnsi="Times New Roman"/>
          <w:sz w:val="22"/>
          <w:szCs w:val="22"/>
        </w:rPr>
        <w:t xml:space="preserve"> Surprise-related reporting, measured by the surprise-language score (Section 4.3), is higher in empirically oriented subfields than in theory-oriented ones.</w:t>
      </w:r>
    </w:p>
    <w:p>
      <w:pPr>
        <w:spacing w:after="120" w:line="276"/>
        <w:jc w:val="left"/>
      </w:pPr>
      <w:r>
        <w:rPr>
          <w:rFonts w:ascii="Times New Roman" w:cs="Times New Roman" w:eastAsia="Times New Roman" w:hAnsi="Times New Roman"/>
          <w:b/>
          <w:bCs/>
          <w:sz w:val="22"/>
          <w:szCs w:val="22"/>
        </w:rPr>
        <w:t xml:space="preserve">H3a.</w:t>
      </w:r>
      <w:r>
        <w:rPr>
          <w:rFonts w:ascii="Times New Roman" w:cs="Times New Roman" w:eastAsia="Times New Roman" w:hAnsi="Times New Roman"/>
          <w:sz w:val="22"/>
          <w:szCs w:val="22"/>
        </w:rPr>
        <w:t xml:space="preserve"> Lower cost per experimental run is associated with higher surprise-language scores (occurrence).</w:t>
      </w:r>
    </w:p>
    <w:p>
      <w:pPr>
        <w:spacing w:after="120" w:line="276"/>
        <w:jc w:val="left"/>
      </w:pPr>
      <w:r>
        <w:rPr>
          <w:rFonts w:ascii="Times New Roman" w:cs="Times New Roman" w:eastAsia="Times New Roman" w:hAnsi="Times New Roman"/>
          <w:b/>
          <w:bCs/>
          <w:sz w:val="22"/>
          <w:szCs w:val="22"/>
        </w:rPr>
        <w:t xml:space="preserve">H3b.</w:t>
      </w:r>
      <w:r>
        <w:rPr>
          <w:rFonts w:ascii="Times New Roman" w:cs="Times New Roman" w:eastAsia="Times New Roman" w:hAnsi="Times New Roman"/>
          <w:sz w:val="22"/>
          <w:szCs w:val="22"/>
        </w:rPr>
        <w:t xml:space="preserve"> The association between surprise-language score and citation percentile is stronger for groups with more diverse author affiliations (recognition).</w:t>
      </w:r>
    </w:p>
    <w:p>
      <w:pPr>
        <w:spacing w:after="120" w:line="276"/>
        <w:jc w:val="left"/>
      </w:pPr>
      <w:r>
        <w:rPr>
          <w:rFonts w:ascii="Times New Roman" w:cs="Times New Roman" w:eastAsia="Times New Roman" w:hAnsi="Times New Roman"/>
          <w:b/>
          <w:bCs/>
          <w:sz w:val="22"/>
          <w:szCs w:val="22"/>
        </w:rPr>
        <w:t xml:space="preserve">H3c.</w:t>
      </w:r>
      <w:r>
        <w:rPr>
          <w:rFonts w:ascii="Times New Roman" w:cs="Times New Roman" w:eastAsia="Times New Roman" w:hAnsi="Times New Roman"/>
          <w:sz w:val="22"/>
          <w:szCs w:val="22"/>
        </w:rPr>
        <w:t xml:space="preserve"> Venues with norms that accept negative and unexpected results show higher surprise-language scores (uptake).</w:t>
      </w:r>
    </w:p>
    <w:p>
      <w:pPr>
        <w:spacing w:after="120" w:line="276"/>
        <w:jc w:val="left"/>
      </w:pPr>
      <w:r>
        <w:rPr>
          <w:rFonts w:ascii="Times New Roman" w:cs="Times New Roman" w:eastAsia="Times New Roman" w:hAnsi="Times New Roman"/>
          <w:sz w:val="22"/>
          <w:szCs w:val="22"/>
        </w:rPr>
        <w:t xml:space="preserve">H2 and H3 are stated in terms of the surprise-language score because Study 1 measures reported surprise, not accident origin as defined in Section 3.1. Only H1 concerns accident origins proper.</w:t>
      </w:r>
    </w:p>
    <w:p>
      <w:pPr>
        <w:pStyle w:val="Heading1"/>
        <w:keepNext/>
        <w:spacing w:after="120" w:before="300"/>
      </w:pPr>
      <w:r>
        <w:rPr>
          <w:rFonts w:ascii="Times New Roman" w:cs="Times New Roman" w:eastAsia="Times New Roman" w:hAnsi="Times New Roman"/>
        </w:rPr>
        <w:t xml:space="preserve">4. Study Design</w:t>
      </w:r>
    </w:p>
    <w:p>
      <w:pPr>
        <w:pStyle w:val="Heading2"/>
        <w:keepNext/>
        <w:spacing w:after="100" w:before="200"/>
      </w:pPr>
      <w:r>
        <w:rPr>
          <w:rFonts w:ascii="Times New Roman" w:cs="Times New Roman" w:eastAsia="Times New Roman" w:hAnsi="Times New Roman"/>
        </w:rPr>
        <w:t xml:space="preserve">4.1 Overview</w:t>
      </w:r>
    </w:p>
    <w:p>
      <w:pPr>
        <w:spacing w:after="120" w:line="276"/>
        <w:jc w:val="left"/>
      </w:pPr>
      <w:r>
        <w:rPr>
          <w:rFonts w:ascii="Times New Roman" w:cs="Times New Roman" w:eastAsia="Times New Roman" w:hAnsi="Times New Roman"/>
          <w:sz w:val="22"/>
          <w:szCs w:val="22"/>
        </w:rPr>
        <w:t xml:space="preserve">We conduct two complementary observational studies based exclusively on public records: (Study 1) a large-scale analysis of the association between surprise-related language and long-term citation impact, and (Study 2) an evidence-graded coding of the origins of a sample of highly influential ML ideas.</w:t>
      </w:r>
    </w:p>
    <w:p>
      <w:pPr>
        <w:pStyle w:val="Heading2"/>
        <w:keepNext/>
        <w:spacing w:after="100" w:before="200"/>
      </w:pPr>
      <w:r>
        <w:rPr>
          <w:rFonts w:ascii="Times New Roman" w:cs="Times New Roman" w:eastAsia="Times New Roman" w:hAnsi="Times New Roman"/>
        </w:rPr>
        <w:t xml:space="preserve">4.2 What can be observed</w:t>
      </w:r>
    </w:p>
    <w:p>
      <w:pPr>
        <w:spacing w:after="120" w:line="276"/>
        <w:jc w:val="left"/>
      </w:pPr>
      <w:r>
        <w:rPr>
          <w:rFonts w:ascii="Times New Roman" w:cs="Times New Roman" w:eastAsia="Times New Roman" w:hAnsi="Times New Roman"/>
          <w:sz w:val="22"/>
          <w:szCs w:val="22"/>
        </w:rPr>
        <w:t xml:space="preserve">Publications record only accidents that were recognized and reported. Accidents that were discarded leave no trace, so our designs estimate the uptake of reported accidents rather than the base rate of accidents. We state this limitation explicitly and restrict our claims accordingly.</w:t>
      </w:r>
    </w:p>
    <w:p>
      <w:pPr>
        <w:pStyle w:val="Heading2"/>
        <w:keepNext/>
        <w:spacing w:after="100" w:before="200"/>
      </w:pPr>
      <w:r>
        <w:rPr>
          <w:rFonts w:ascii="Times New Roman" w:cs="Times New Roman" w:eastAsia="Times New Roman" w:hAnsi="Times New Roman"/>
        </w:rPr>
        <w:t xml:space="preserve">4.3 Study 1</w:t>
      </w:r>
    </w:p>
    <w:p>
      <w:pPr>
        <w:spacing w:after="120" w:line="276"/>
        <w:jc w:val="left"/>
      </w:pPr>
      <w:r>
        <w:rPr>
          <w:rFonts w:ascii="Times New Roman" w:cs="Times New Roman" w:eastAsia="Times New Roman" w:hAnsi="Times New Roman"/>
          <w:b/>
          <w:bCs/>
          <w:sz w:val="22"/>
          <w:szCs w:val="22"/>
        </w:rPr>
        <w:t xml:space="preserve">Corpus.</w:t>
      </w:r>
      <w:r>
        <w:rPr>
          <w:rFonts w:ascii="Times New Roman" w:cs="Times New Roman" w:eastAsia="Times New Roman" w:hAnsi="Times New Roman"/>
          <w:sz w:val="22"/>
          <w:szCs w:val="22"/>
        </w:rPr>
        <w:t xml:space="preserve"> Papers posted to arXiv in cs.LG, cs.CL, cs.CV, and stat.ML between 2014 and 2022, restricted to pre-2023 papers to avoid shifts in word frequency from LLM-assisted writing. Each paper is assigned to its primary arXiv category; cross-listed papers are analyzed separately as a sensitivity check. Because categories differ in citation practices, citation percentiles are computed within category-by-year cells. Because only four categories are available, we do not fit random-effects models across them: a between-category variance estimated from four units is unreliable. Instead, we fit a pooled regression with a surprise-score-by-category interaction, report category-specific slopes with confidence intervals, and test heterogeneity across categories with a joint test of the interaction terms, which bears on H2. Standard errors are clustered by category-by-year cell. If full-text processing of the whole corpus is infeasible, stratified random sampling within category-by-year cells replaces it.</w:t>
      </w:r>
    </w:p>
    <w:p>
      <w:pPr>
        <w:spacing w:after="120" w:line="276"/>
        <w:jc w:val="left"/>
      </w:pPr>
      <w:r>
        <w:rPr>
          <w:rFonts w:ascii="Times New Roman" w:cs="Times New Roman" w:eastAsia="Times New Roman" w:hAnsi="Times New Roman"/>
          <w:b/>
          <w:bCs/>
          <w:sz w:val="22"/>
          <w:szCs w:val="22"/>
        </w:rPr>
        <w:t xml:space="preserve">Exposure.</w:t>
      </w:r>
      <w:r>
        <w:rPr>
          <w:rFonts w:ascii="Times New Roman" w:cs="Times New Roman" w:eastAsia="Times New Roman" w:hAnsi="Times New Roman"/>
          <w:sz w:val="22"/>
          <w:szCs w:val="22"/>
        </w:rPr>
        <w:t xml:space="preserve"> A surprise-language score computed from a fixed lexicon (e.g., “surprisingly”, “unexpectedly”, “counterintuitively”), applied to the abstract, introduction, and discussion of the first posted version (v1), before any reviewer-driven rewriting. The score measures reported surprise, not accident origin in the sense of Section 3.1 (see Section 5). The measure is validated against a hand-labeled sample (two coders; agreement and precision reported): for each flagged passage, coders record whether it reports a result that diverged from the authors’ stated expectation or only rhetorical emphasis, and the share of the former is reported as the score’s precision for unexpected results.</w:t>
      </w:r>
    </w:p>
    <w:p>
      <w:pPr>
        <w:spacing w:after="120" w:line="276"/>
        <w:jc w:val="left"/>
      </w:pPr>
      <w:r>
        <w:rPr>
          <w:rFonts w:ascii="Times New Roman" w:cs="Times New Roman" w:eastAsia="Times New Roman" w:hAnsi="Times New Roman"/>
          <w:b/>
          <w:bCs/>
          <w:sz w:val="22"/>
          <w:szCs w:val="22"/>
        </w:rPr>
        <w:t xml:space="preserve">Outcome.</w:t>
      </w:r>
      <w:r>
        <w:rPr>
          <w:rFonts w:ascii="Times New Roman" w:cs="Times New Roman" w:eastAsia="Times New Roman" w:hAnsi="Times New Roman"/>
          <w:sz w:val="22"/>
          <w:szCs w:val="22"/>
        </w:rPr>
        <w:t xml:space="preserve"> Citations after a fixed window (primary: three years after posting; secondary: five years, for papers posted through 2021), normalized within category-by-year cells (percentile rank, plus a top-decile indicator).</w:t>
      </w:r>
    </w:p>
    <w:p>
      <w:pPr>
        <w:spacing w:after="120" w:line="276"/>
        <w:jc w:val="left"/>
      </w:pPr>
      <w:r>
        <w:rPr>
          <w:rFonts w:ascii="Times New Roman" w:cs="Times New Roman" w:eastAsia="Times New Roman" w:hAnsi="Times New Roman"/>
          <w:b/>
          <w:bCs/>
          <w:sz w:val="22"/>
          <w:szCs w:val="22"/>
        </w:rPr>
        <w:t xml:space="preserve">Controls and design.</w:t>
      </w:r>
      <w:r>
        <w:rPr>
          <w:rFonts w:ascii="Times New Roman" w:cs="Times New Roman" w:eastAsia="Times New Roman" w:hAnsi="Times New Roman"/>
          <w:sz w:val="22"/>
          <w:szCs w:val="22"/>
        </w:rPr>
        <w:t xml:space="preserve"> Year, subfield, team size, author prior citations, affiliation type, code release, and venue type (linked through Semantic Scholar or OpenAlex; unmatched papers are reported as missing and examined in sensitivity analyses). We use coarsened exact matching and regression with year-by-field fixed effects. Subfield orientation for H2 is measured at the category level and, where LaTeX source is available, at the paper level by the presence of theorem, lemma, or proof environments.</w:t>
      </w:r>
    </w:p>
    <w:p>
      <w:pPr>
        <w:spacing w:after="120" w:line="276"/>
        <w:jc w:val="left"/>
      </w:pPr>
      <w:r>
        <w:rPr>
          <w:rFonts w:ascii="Times New Roman" w:cs="Times New Roman" w:eastAsia="Times New Roman" w:hAnsi="Times New Roman"/>
          <w:b/>
          <w:bCs/>
          <w:sz w:val="22"/>
          <w:szCs w:val="22"/>
        </w:rPr>
        <w:t xml:space="preserve">Placebo and additional comparison.</w:t>
      </w:r>
      <w:r>
        <w:rPr>
          <w:rFonts w:ascii="Times New Roman" w:cs="Times New Roman" w:eastAsia="Times New Roman" w:hAnsi="Times New Roman"/>
          <w:sz w:val="22"/>
          <w:szCs w:val="22"/>
        </w:rPr>
        <w:t xml:space="preserve"> As a placebo we use generic emphasis words (“importantly”, “notably”) to check that any effect is specific to surprise rather than to rhetorical emphasis. We also compare papers from negative-result workshops with matched papers from main tracks.</w:t>
      </w:r>
    </w:p>
    <w:p>
      <w:pPr>
        <w:pStyle w:val="Heading2"/>
        <w:keepNext/>
        <w:spacing w:after="100" w:before="200"/>
      </w:pPr>
      <w:r>
        <w:rPr>
          <w:rFonts w:ascii="Times New Roman" w:cs="Times New Roman" w:eastAsia="Times New Roman" w:hAnsi="Times New Roman"/>
        </w:rPr>
        <w:t xml:space="preserve">4.4 Study 2</w:t>
      </w:r>
    </w:p>
    <w:p>
      <w:pPr>
        <w:spacing w:after="120" w:line="276"/>
        <w:jc w:val="left"/>
      </w:pPr>
      <w:r>
        <w:rPr>
          <w:rFonts w:ascii="Times New Roman" w:cs="Times New Roman" w:eastAsia="Times New Roman" w:hAnsi="Times New Roman"/>
          <w:b/>
          <w:bCs/>
          <w:sz w:val="22"/>
          <w:szCs w:val="22"/>
        </w:rPr>
        <w:t xml:space="preserve">Sampling frame.</w:t>
      </w:r>
      <w:r>
        <w:rPr>
          <w:rFonts w:ascii="Times New Roman" w:cs="Times New Roman" w:eastAsia="Times New Roman" w:hAnsi="Times New Roman"/>
          <w:sz w:val="22"/>
          <w:szCs w:val="22"/>
        </w:rPr>
        <w:t xml:space="preserve"> For each year from 2014 to 2022, the 25 most-cited papers whose primary arXiv category is cs.LG, cs.CL, cs.CV, or stat.ML, ranked by total citations in OpenAlex at a fixed extraction date, giving N = 225 papers. The frame is defined by citations alone, without reference to whether a paper’s origin story is known. The extraction date and the resulting list (with duplicates removed) are fixed and deposited before coding begins.</w:t>
      </w:r>
    </w:p>
    <w:p>
      <w:pPr>
        <w:spacing w:after="120" w:line="276"/>
        <w:jc w:val="left"/>
      </w:pPr>
      <w:r>
        <w:rPr>
          <w:rFonts w:ascii="Times New Roman" w:cs="Times New Roman" w:eastAsia="Times New Roman" w:hAnsi="Times New Roman"/>
          <w:b/>
          <w:bCs/>
          <w:sz w:val="22"/>
          <w:szCs w:val="22"/>
        </w:rPr>
        <w:t xml:space="preserve">Coding.</w:t>
      </w:r>
      <w:r>
        <w:rPr>
          <w:rFonts w:ascii="Times New Roman" w:cs="Times New Roman" w:eastAsia="Times New Roman" w:hAnsi="Times New Roman"/>
          <w:sz w:val="22"/>
          <w:szCs w:val="22"/>
        </w:rPr>
        <w:t xml:space="preserve"> Each paper receives one of three origin codes: (1) accident origin, with a trigger type from Section 3.2 or “other accident”; (2) non-accident origin, where grade A or B evidence shows that the idea arose from planned or hypothesis-driven work (the exclusions of Section 3.1); (3) insufficient evidence, where no grade A or B source speaks to the origin. Each code carries an evidence grade. Two coders work independently; disagreements are resolved by discussion, and agreement (Cohen’s kappa) is reported. As a validity check on Study 1, the surprise-language score of the sampled papers is compared across the three origin codes.</w:t>
      </w:r>
    </w:p>
    <w:p>
      <w:pPr>
        <w:spacing w:after="120" w:line="276"/>
        <w:jc w:val="left"/>
      </w:pPr>
      <w:r>
        <w:rPr>
          <w:rFonts w:ascii="Times New Roman" w:cs="Times New Roman" w:eastAsia="Times New Roman" w:hAnsi="Times New Roman"/>
          <w:b/>
          <w:bCs/>
          <w:sz w:val="22"/>
          <w:szCs w:val="22"/>
        </w:rPr>
        <w:t xml:space="preserve">Estimands.</w:t>
      </w:r>
      <w:r>
        <w:rPr>
          <w:rFonts w:ascii="Times New Roman" w:cs="Times New Roman" w:eastAsia="Times New Roman" w:hAnsi="Times New Roman"/>
          <w:sz w:val="22"/>
          <w:szCs w:val="22"/>
        </w:rPr>
        <w:t xml:space="preserve"> The primary estimate for H1 is the share of papers coded (1) over all N sampled papers, so that papers with insufficient evidence count against H1; it is a conservative lower bound on the share with a documented accident origin. The secondary estimate is the share among papers with sufficient evidence, (1) / ((1) + (2)). Because accident stories are told more often than routine ones, the secondary estimate may be inflated, and it is reported together with the share of papers coded (3). With N = 225, the H1 decision rule rejects a true share of exactly 10% about 3% of the time, and has power of about 66% if the true share is 15% and about 99% if it is 20%. The 10% threshold is a design choice: it asks whether about one in ten of the most influential ideas has a documented unexpected origin. Results are reported as intervals whatever the outcome.</w:t>
      </w:r>
    </w:p>
    <w:p>
      <w:pPr>
        <w:pStyle w:val="Heading2"/>
        <w:keepNext/>
        <w:spacing w:after="100" w:before="200"/>
      </w:pPr>
      <w:r>
        <w:rPr>
          <w:rFonts w:ascii="Times New Roman" w:cs="Times New Roman" w:eastAsia="Times New Roman" w:hAnsi="Times New Roman"/>
        </w:rPr>
        <w:t xml:space="preserve">4.5 Preregistration and holdout</w:t>
      </w:r>
    </w:p>
    <w:p>
      <w:pPr>
        <w:spacing w:after="120" w:line="276"/>
        <w:jc w:val="left"/>
      </w:pPr>
      <w:r>
        <w:rPr>
          <w:rFonts w:ascii="Times New Roman" w:cs="Times New Roman" w:eastAsia="Times New Roman" w:hAnsi="Times New Roman"/>
          <w:sz w:val="22"/>
          <w:szCs w:val="22"/>
        </w:rPr>
        <w:t xml:space="preserve">The lexicon, windows, matching variables, and models are fixed before outcome data are examined. The lexicon is developed on papers from 2014–2017 and evaluated on 2018–2022. The protocol will be registered before data collection.</w:t>
      </w:r>
    </w:p>
    <w:p>
      <w:pPr>
        <w:pStyle w:val="Heading2"/>
        <w:keepNext/>
        <w:spacing w:after="100" w:before="200"/>
      </w:pPr>
      <w:r>
        <w:rPr>
          <w:rFonts w:ascii="Times New Roman" w:cs="Times New Roman" w:eastAsia="Times New Roman" w:hAnsi="Times New Roman"/>
        </w:rPr>
        <w:t xml:space="preserve">4.6 Hypotheses and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6826"/>
      </w:tblGrid>
      <w:tr>
        <w:trPr>
          <w:cantSplit/>
          <w:tblHeader/>
        </w:trPr>
        <w:tc>
          <w:tcPr>
            <w:tcW w:type="dxa" w:w="1300"/>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Hypothesis</w:t>
            </w:r>
          </w:p>
        </w:tc>
        <w:tc>
          <w:tcPr>
            <w:tcW w:type="dxa" w:w="900"/>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Study</w:t>
            </w:r>
          </w:p>
        </w:tc>
        <w:tc>
          <w:tcPr>
            <w:tcW w:type="dxa" w:w="6826"/>
            <w:tcBorders>
              <w:top w:val="single" w:color="999999" w:sz="4"/>
              <w:left w:val="single" w:color="999999" w:sz="4"/>
              <w:bottom w:val="single" w:color="999999" w:sz="4"/>
              <w:right w:val="single" w:color="999999" w:sz="4"/>
            </w:tcBorders>
            <w:shd w:fill="E8ECF1" w:color="auto" w:val="clear"/>
            <w:tcMar>
              <w:top w:type="dxa" w:w="60"/>
              <w:left w:type="dxa" w:w="90"/>
              <w:bottom w:type="dxa" w:w="60"/>
              <w:right w:type="dxa" w:w="90"/>
            </w:tcMar>
          </w:tcPr>
          <w:p>
            <w:pPr>
              <w:spacing w:after="0" w:line="252"/>
            </w:pPr>
            <w:r>
              <w:rPr>
                <w:rFonts w:ascii="Times New Roman" w:cs="Times New Roman" w:eastAsia="Times New Roman" w:hAnsi="Times New Roman"/>
                <w:b/>
                <w:bCs/>
                <w:sz w:val="19"/>
                <w:szCs w:val="19"/>
              </w:rPr>
              <w:t xml:space="preserve">Main variable</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H1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2</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Share of all sampled papers (N = 225) coded as grade A/B accident origin; supported if the Wilson 95% lower limit exceeds 0.10</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H2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1</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Difference in surprise-language score between subfields and between theory-oriented and empirical papers</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H3a</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1</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Surprise-language score as a function of a proxy for cost per run (model scale, hardware)</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H3b</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1</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Interaction of surprise-language score with diversity of authors’ affiliations; outcome: citation percentile</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H3c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1</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2"/>
            </w:pPr>
            <w:r>
              <w:rPr>
                <w:rFonts w:ascii="Times New Roman" w:cs="Times New Roman" w:eastAsia="Times New Roman" w:hAnsi="Times New Roman"/>
                <w:b w:val="false"/>
                <w:bCs w:val="false"/>
                <w:sz w:val="19"/>
                <w:szCs w:val="19"/>
              </w:rPr>
              <w:t xml:space="preserve">Surprise-language score by venue type, including negative-result workshops</w:t>
            </w:r>
          </w:p>
        </w:tc>
      </w:tr>
    </w:tbl>
    <w:p>
      <w:pPr>
        <w:spacing w:after="120"/>
      </w:pPr>
    </w:p>
    <w:p>
      <w:pPr>
        <w:pStyle w:val="Heading1"/>
        <w:keepNext/>
        <w:spacing w:after="120" w:before="300"/>
      </w:pPr>
      <w:r>
        <w:rPr>
          <w:rFonts w:ascii="Times New Roman" w:cs="Times New Roman" w:eastAsia="Times New Roman" w:hAnsi="Times New Roman"/>
        </w:rPr>
        <w:t xml:space="preserve">5. Threats to Validity</w:t>
      </w:r>
    </w:p>
    <w:p>
      <w:pPr>
        <w:spacing w:after="120" w:line="276"/>
        <w:jc w:val="left"/>
      </w:pPr>
      <w:r>
        <w:rPr>
          <w:rFonts w:ascii="Times New Roman" w:cs="Times New Roman" w:eastAsia="Times New Roman" w:hAnsi="Times New Roman"/>
          <w:b/>
          <w:bCs/>
          <w:sz w:val="22"/>
          <w:szCs w:val="22"/>
        </w:rPr>
        <w:t xml:space="preserve">Construct validity.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Reported surprise versus accident origin.</w:t>
      </w:r>
      <w:r>
        <w:rPr>
          <w:rFonts w:ascii="Times New Roman" w:cs="Times New Roman" w:eastAsia="Times New Roman" w:hAnsi="Times New Roman"/>
          <w:sz w:val="22"/>
          <w:szCs w:val="22"/>
        </w:rPr>
        <w:t xml:space="preserve"> The lexicon score measures reported surprise, which is neither necessary nor sufficient for an accident as defined in Section 3.1: a paper may express surprise at a result that was targeted, and may describe a genuine accident without any surprise language. Study 1 therefore supports claims about reported surprise only; its link to accident origin is examined indirectly, by comparing the score across the origin codes of Study 2. </w:t>
      </w:r>
      <w:r>
        <w:rPr>
          <w:rFonts w:ascii="Times New Roman" w:cs="Times New Roman" w:eastAsia="Times New Roman" w:hAnsi="Times New Roman"/>
          <w:i/>
          <w:iCs/>
          <w:sz w:val="22"/>
          <w:szCs w:val="22"/>
        </w:rPr>
        <w:t xml:space="preserve">Rhetorical versus genuine surprise.</w:t>
      </w:r>
      <w:r>
        <w:rPr>
          <w:rFonts w:ascii="Times New Roman" w:cs="Times New Roman" w:eastAsia="Times New Roman" w:hAnsi="Times New Roman"/>
          <w:sz w:val="22"/>
          <w:szCs w:val="22"/>
        </w:rPr>
        <w:t xml:space="preserve"> Words such as “surprisingly” may reflect writing style rather than a result that diverged from expectation. We mitigate this with hand-labeled validation, a placebo lexicon of emphasis words, and by reporting precision, but cannot eliminate it. </w:t>
      </w:r>
      <w:r>
        <w:rPr>
          <w:rFonts w:ascii="Times New Roman" w:cs="Times New Roman" w:eastAsia="Times New Roman" w:hAnsi="Times New Roman"/>
          <w:i/>
          <w:iCs/>
          <w:sz w:val="22"/>
          <w:szCs w:val="22"/>
        </w:rPr>
        <w:t xml:space="preserve">Underreporting of accidents.</w:t>
      </w:r>
      <w:r>
        <w:rPr>
          <w:rFonts w:ascii="Times New Roman" w:cs="Times New Roman" w:eastAsia="Times New Roman" w:hAnsi="Times New Roman"/>
          <w:sz w:val="22"/>
          <w:szCs w:val="22"/>
        </w:rPr>
        <w:t xml:space="preserve"> Authors often present results as following logically from an initial hypothesis, which hides unsought findings (van Andel, 1994); lexicon-based measures therefore likely undercount accidents, biasing estimates in a direction we cannot determine in advance. </w:t>
      </w:r>
      <w:r>
        <w:rPr>
          <w:rFonts w:ascii="Times New Roman" w:cs="Times New Roman" w:eastAsia="Times New Roman" w:hAnsi="Times New Roman"/>
          <w:i/>
          <w:iCs/>
          <w:sz w:val="22"/>
          <w:szCs w:val="22"/>
        </w:rPr>
        <w:t xml:space="preserve">Citations as a proxy for influence.</w:t>
      </w:r>
      <w:r>
        <w:rPr>
          <w:rFonts w:ascii="Times New Roman" w:cs="Times New Roman" w:eastAsia="Times New Roman" w:hAnsi="Times New Roman"/>
          <w:sz w:val="22"/>
          <w:szCs w:val="22"/>
        </w:rPr>
        <w:t xml:space="preserve"> Citation counts reflect visibility, venue, and author reputation as well as the idea’s value; we therefore also report the top-decile indicator and, in Study 2, adoption evidence beyond citations.</w:t>
      </w:r>
    </w:p>
    <w:p>
      <w:pPr>
        <w:spacing w:after="120" w:line="276"/>
        <w:jc w:val="left"/>
      </w:pPr>
      <w:r>
        <w:rPr>
          <w:rFonts w:ascii="Times New Roman" w:cs="Times New Roman" w:eastAsia="Times New Roman" w:hAnsi="Times New Roman"/>
          <w:b/>
          <w:bCs/>
          <w:sz w:val="22"/>
          <w:szCs w:val="22"/>
        </w:rPr>
        <w:t xml:space="preserve">Internal validity.</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Survivorship.</w:t>
      </w:r>
      <w:r>
        <w:rPr>
          <w:rFonts w:ascii="Times New Roman" w:cs="Times New Roman" w:eastAsia="Times New Roman" w:hAnsi="Times New Roman"/>
          <w:sz w:val="22"/>
          <w:szCs w:val="22"/>
        </w:rPr>
        <w:t xml:space="preserve"> Study 2 samples influential ideas, so it cannot by itself show that accidental origin predicts influence; Study 1’s comparison with matched papers addresses this only partially. </w:t>
      </w:r>
      <w:r>
        <w:rPr>
          <w:rFonts w:ascii="Times New Roman" w:cs="Times New Roman" w:eastAsia="Times New Roman" w:hAnsi="Times New Roman"/>
          <w:i/>
          <w:iCs/>
          <w:sz w:val="22"/>
          <w:szCs w:val="22"/>
        </w:rPr>
        <w:t xml:space="preserve">Narrative selection.</w:t>
      </w:r>
      <w:r>
        <w:rPr>
          <w:rFonts w:ascii="Times New Roman" w:cs="Times New Roman" w:eastAsia="Times New Roman" w:hAnsi="Times New Roman"/>
          <w:sz w:val="22"/>
          <w:szCs w:val="22"/>
        </w:rPr>
        <w:t xml:space="preserve"> Accident stories are told and retold more often than routine ones, so papers with grade A or B evidence of an accident origin may be over-represented among those with any sufficient evidence. We therefore take the all-papers denominator as the primary estimate, report the share of papers with insufficient evidence, and treat the secondary estimate as an upper-leaning bound. </w:t>
      </w:r>
      <w:r>
        <w:rPr>
          <w:rFonts w:ascii="Times New Roman" w:cs="Times New Roman" w:eastAsia="Times New Roman" w:hAnsi="Times New Roman"/>
          <w:i/>
          <w:iCs/>
          <w:sz w:val="22"/>
          <w:szCs w:val="22"/>
        </w:rPr>
        <w:t xml:space="preserve">Confounding.</w:t>
      </w:r>
      <w:r>
        <w:rPr>
          <w:rFonts w:ascii="Times New Roman" w:cs="Times New Roman" w:eastAsia="Times New Roman" w:hAnsi="Times New Roman"/>
          <w:sz w:val="22"/>
          <w:szCs w:val="22"/>
        </w:rPr>
        <w:t xml:space="preserve"> Author prestige, lab resources, and team size plausibly affect both how a result is framed and how often it is cited. We control for observable proxies but cannot rule out unobserved confounders. </w:t>
      </w:r>
      <w:r>
        <w:rPr>
          <w:rFonts w:ascii="Times New Roman" w:cs="Times New Roman" w:eastAsia="Times New Roman" w:hAnsi="Times New Roman"/>
          <w:i/>
          <w:iCs/>
          <w:sz w:val="22"/>
          <w:szCs w:val="22"/>
        </w:rPr>
        <w:t xml:space="preserve">Observability.</w:t>
      </w:r>
      <w:r>
        <w:rPr>
          <w:rFonts w:ascii="Times New Roman" w:cs="Times New Roman" w:eastAsia="Times New Roman" w:hAnsi="Times New Roman"/>
          <w:sz w:val="22"/>
          <w:szCs w:val="22"/>
        </w:rPr>
        <w:t xml:space="preserve"> Only recognized and reported accidents leave traces, so we estimate uptake of reported accidents, not accident base rates (Section 4.2).</w:t>
      </w:r>
    </w:p>
    <w:p>
      <w:pPr>
        <w:spacing w:after="120" w:line="276"/>
        <w:jc w:val="left"/>
      </w:pPr>
      <w:r>
        <w:rPr>
          <w:rFonts w:ascii="Times New Roman" w:cs="Times New Roman" w:eastAsia="Times New Roman" w:hAnsi="Times New Roman"/>
          <w:b/>
          <w:bCs/>
          <w:sz w:val="22"/>
          <w:szCs w:val="22"/>
        </w:rPr>
        <w:t xml:space="preserve">External validity.</w:t>
      </w:r>
      <w:r>
        <w:rPr>
          <w:rFonts w:ascii="Times New Roman" w:cs="Times New Roman" w:eastAsia="Times New Roman" w:hAnsi="Times New Roman"/>
          <w:sz w:val="22"/>
          <w:szCs w:val="22"/>
        </w:rPr>
        <w:t xml:space="preserve"> Our corpus covers arXiv papers in four categories between 2014 and 2022. Results may not generalize to unposted work, other subfields, other periods, or to proprietary research whose origin stories are not public.</w:t>
      </w:r>
    </w:p>
    <w:p>
      <w:pPr>
        <w:spacing w:after="120" w:line="276"/>
        <w:jc w:val="left"/>
      </w:pPr>
      <w:r>
        <w:rPr>
          <w:rFonts w:ascii="Times New Roman" w:cs="Times New Roman" w:eastAsia="Times New Roman" w:hAnsi="Times New Roman"/>
          <w:b/>
          <w:bCs/>
          <w:sz w:val="22"/>
          <w:szCs w:val="22"/>
        </w:rPr>
        <w:t xml:space="preserve">Statistical conclusion validity.</w:t>
      </w:r>
      <w:r>
        <w:rPr>
          <w:rFonts w:ascii="Times New Roman" w:cs="Times New Roman" w:eastAsia="Times New Roman" w:hAnsi="Times New Roman"/>
          <w:sz w:val="22"/>
          <w:szCs w:val="22"/>
        </w:rPr>
        <w:t xml:space="preserve"> Multiple hypotheses and many specification choices invite false positives. We address this by preregistering lexicon, windows, models, and the H1 decision rule, using a temporal holdout, avoiding random-effects estimation across only four categories (Section 4.3), and reporting effect sizes with intervals rather than only significance.</w:t>
      </w:r>
    </w:p>
    <w:p>
      <w:pPr>
        <w:spacing w:after="120" w:line="276"/>
        <w:jc w:val="left"/>
      </w:pPr>
      <w:r>
        <w:rPr>
          <w:rFonts w:ascii="Times New Roman" w:cs="Times New Roman" w:eastAsia="Times New Roman" w:hAnsi="Times New Roman"/>
          <w:b/>
          <w:bCs/>
          <w:sz w:val="22"/>
          <w:szCs w:val="22"/>
        </w:rPr>
        <w:t xml:space="preserve">Researcher and coder bias.</w:t>
      </w:r>
      <w:r>
        <w:rPr>
          <w:rFonts w:ascii="Times New Roman" w:cs="Times New Roman" w:eastAsia="Times New Roman" w:hAnsi="Times New Roman"/>
          <w:sz w:val="22"/>
          <w:szCs w:val="22"/>
        </w:rPr>
        <w:t xml:space="preserve"> Coders who know the hypotheses may read origin stories favorably. We use two independent coders, evidence grades, and, where feasible, coders blind to paper citation counts.</w:t>
      </w:r>
    </w:p>
    <w:p>
      <w:pPr>
        <w:pStyle w:val="Heading1"/>
        <w:keepNext/>
        <w:spacing w:after="120" w:before="300"/>
      </w:pPr>
      <w:r>
        <w:rPr>
          <w:rFonts w:ascii="Times New Roman" w:cs="Times New Roman" w:eastAsia="Times New Roman" w:hAnsi="Times New Roman"/>
        </w:rPr>
        <w:t xml:space="preserve">6. Implications</w:t>
      </w:r>
    </w:p>
    <w:p>
      <w:pPr>
        <w:spacing w:after="120" w:line="276"/>
        <w:jc w:val="left"/>
      </w:pPr>
      <w:r>
        <w:rPr>
          <w:rFonts w:ascii="Times New Roman" w:cs="Times New Roman" w:eastAsia="Times New Roman" w:hAnsi="Times New Roman"/>
          <w:sz w:val="22"/>
          <w:szCs w:val="22"/>
        </w:rPr>
        <w:t xml:space="preserve">The framework suggests practices at three levels. These are hypotheses about practice, not findings; for each we note the stage it targets and the evidence that would bear on it.</w:t>
      </w:r>
    </w:p>
    <w:p>
      <w:pPr>
        <w:pStyle w:val="Heading2"/>
        <w:keepNext/>
        <w:spacing w:after="100" w:before="200"/>
      </w:pPr>
      <w:r>
        <w:rPr>
          <w:rFonts w:ascii="Times New Roman" w:cs="Times New Roman" w:eastAsia="Times New Roman" w:hAnsi="Times New Roman"/>
        </w:rPr>
        <w:t xml:space="preserve">6.1 Laboratories and researchers (targets: recognition)</w:t>
      </w:r>
    </w:p>
    <w:p>
      <w:pPr>
        <w:spacing w:after="120" w:line="276"/>
        <w:jc w:val="left"/>
      </w:pPr>
      <w:r>
        <w:rPr>
          <w:rFonts w:ascii="Times New Roman" w:cs="Times New Roman" w:eastAsia="Times New Roman" w:hAnsi="Times New Roman"/>
          <w:sz w:val="22"/>
          <w:szCs w:val="22"/>
        </w:rPr>
        <w:t xml:space="preserve">First, record results that diverged from expectation at the time they occur: what was expected, what happened, and what was done next. Such records are the contemporaneous evidence (grade A in Section 3.2) that origin accounts otherwise lack, and they allow triage, since not every anomaly can be pursued (Dunbar, 1995, 1997). Second, discuss anomalies with colleagues from other subfields or disciplines, consistent with Dunbar’s finding that diverse knowledge helps and with Shi and Evans’s (2023) finding that surprising combinations tend to come from outsiders. Third, adopt the habits that Makri et al. (2014) found among creative professionals, such as varying routines and making mental space; their transfer to ML research is an open question. If H3b holds, group diversity should be associated with pursuing unexpected results.</w:t>
      </w:r>
    </w:p>
    <w:p>
      <w:pPr>
        <w:pStyle w:val="Heading2"/>
        <w:keepNext/>
        <w:spacing w:after="100" w:before="200"/>
      </w:pPr>
      <w:r>
        <w:rPr>
          <w:rFonts w:ascii="Times New Roman" w:cs="Times New Roman" w:eastAsia="Times New Roman" w:hAnsi="Times New Roman"/>
        </w:rPr>
        <w:t xml:space="preserve">6.2 Authors, reviewers, and venues (targets: uptake)</w:t>
      </w:r>
    </w:p>
    <w:p>
      <w:pPr>
        <w:spacing w:after="120" w:line="276"/>
        <w:jc w:val="left"/>
      </w:pPr>
      <w:r>
        <w:rPr>
          <w:rFonts w:ascii="Times New Roman" w:cs="Times New Roman" w:eastAsia="Times New Roman" w:hAnsi="Times New Roman"/>
          <w:sz w:val="22"/>
          <w:szCs w:val="22"/>
        </w:rPr>
        <w:t xml:space="preserve">Authors whose idea began with an unexpected result could say so briefly, including what they had expected, which counters the rationalization that van Andel (1994) described. Reviewers should not treat the absence of an a priori hypothesis as a flaw in itself, while still asking for ablations and a clear separation of explanation from speculation (Lipton &amp; Steinhardt, 2018), so that unexpected results arrive with attempts to explain them. Venues can provide tracks for negative and unexpected outcomes, as the workshops reviewed in Section 2.5 do; H3c asks whether such norms are associated with more reporting.</w:t>
      </w:r>
    </w:p>
    <w:p>
      <w:pPr>
        <w:pStyle w:val="Heading2"/>
        <w:keepNext/>
        <w:spacing w:after="100" w:before="200"/>
      </w:pPr>
      <w:r>
        <w:rPr>
          <w:rFonts w:ascii="Times New Roman" w:cs="Times New Roman" w:eastAsia="Times New Roman" w:hAnsi="Times New Roman"/>
        </w:rPr>
        <w:t xml:space="preserve">6.3 Meta-research</w:t>
      </w:r>
    </w:p>
    <w:p>
      <w:pPr>
        <w:spacing w:after="120" w:line="276"/>
        <w:jc w:val="left"/>
      </w:pPr>
      <w:r>
        <w:rPr>
          <w:rFonts w:ascii="Times New Roman" w:cs="Times New Roman" w:eastAsia="Times New Roman" w:hAnsi="Times New Roman"/>
          <w:sz w:val="22"/>
          <w:szCs w:val="22"/>
        </w:rPr>
        <w:t xml:space="preserve">Studies of how ideas arise would benefit from archived contemporaneous records, preregistered analyses, and explicit evidence grades, so that origin stories can be weighed by their sources.</w:t>
      </w:r>
    </w:p>
    <w:p>
      <w:pPr>
        <w:pStyle w:val="Heading2"/>
        <w:keepNext/>
        <w:spacing w:after="100" w:before="200"/>
      </w:pPr>
      <w:r>
        <w:rPr>
          <w:rFonts w:ascii="Times New Roman" w:cs="Times New Roman" w:eastAsia="Times New Roman" w:hAnsi="Times New Roman"/>
        </w:rPr>
        <w:t xml:space="preserve">6.4 Limitations and future work</w:t>
      </w:r>
    </w:p>
    <w:p>
      <w:pPr>
        <w:spacing w:after="120" w:line="276"/>
        <w:jc w:val="left"/>
      </w:pPr>
      <w:r>
        <w:rPr>
          <w:rFonts w:ascii="Times New Roman" w:cs="Times New Roman" w:eastAsia="Times New Roman" w:hAnsi="Times New Roman"/>
          <w:sz w:val="22"/>
          <w:szCs w:val="22"/>
        </w:rPr>
        <w:t xml:space="preserve">Our designs observe only reported accidents and cannot estimate how many accidents occur or are discarded. Conditions at the recognition stage that are not visible in public records, such as logging practices, laboratory discussion, and individual strategies, would require interviews, surveys, or laboratory-level logs. Associations found in observational data would not establish that the practices in 6.1 and 6.2 cause more uptake; testing them calls for field experiments, for example introducing anomaly logs in some laboratories and not others. Finally, our corpus is restricted to arXiv papers in four categories and does not cover unposted or proprietary work.</w:t>
      </w:r>
    </w:p>
    <w:p>
      <w:pPr>
        <w:pStyle w:val="Heading1"/>
        <w:keepNext/>
        <w:spacing w:after="120" w:before="300"/>
      </w:pPr>
      <w:r>
        <w:rPr>
          <w:rFonts w:ascii="Times New Roman" w:cs="Times New Roman" w:eastAsia="Times New Roman" w:hAnsi="Times New Roman"/>
        </w:rPr>
        <w:t xml:space="preserve">7. Conclusion</w:t>
      </w:r>
    </w:p>
    <w:p>
      <w:pPr>
        <w:spacing w:after="120" w:line="276"/>
        <w:jc w:val="left"/>
      </w:pPr>
      <w:r>
        <w:rPr>
          <w:rFonts w:ascii="Times New Roman" w:cs="Times New Roman" w:eastAsia="Times New Roman" w:hAnsi="Times New Roman"/>
          <w:sz w:val="22"/>
          <w:szCs w:val="22"/>
        </w:rPr>
        <w:t xml:space="preserve">We separated serendipity in ML research into accident, recognition, and uptake, proposed a taxonomy of triggers and a staged model of the conditions that shape each stage, and designed two observational studies to test hypotheses about how reported unexpected results relate to later influence. The design acknowledges what public records can and cannot show: they reveal what was recognized and reported, not everything that happened. Whatever the results, the framework gives researchers and venues a vocabulary for asking not only how often chance matters, but where in the process it is won or lost.</w:t>
      </w:r>
    </w:p>
    <w:p>
      <w:pPr>
        <w:pStyle w:val="Heading1"/>
        <w:keepNext/>
        <w:spacing w:after="120" w:before="300"/>
      </w:pPr>
      <w:r>
        <w:rPr>
          <w:rFonts w:ascii="Times New Roman" w:cs="Times New Roman" w:eastAsia="Times New Roman" w:hAnsi="Times New Roman"/>
        </w:rPr>
        <w:t xml:space="preserve">Declaration of AI-Assisted Tools</w:t>
      </w:r>
    </w:p>
    <w:p>
      <w:pPr>
        <w:spacing w:after="120" w:line="276"/>
        <w:jc w:val="left"/>
      </w:pPr>
      <w:r>
        <w:rPr>
          <w:rFonts w:ascii="Times New Roman" w:cs="Times New Roman" w:eastAsia="Times New Roman" w:hAnsi="Times New Roman"/>
          <w:sz w:val="22"/>
          <w:szCs w:val="22"/>
        </w:rPr>
        <w:t xml:space="preserve">The author used Claude (Claude Sonnet 5.5, Anthropic, 2026) for translation, language editing, identifying potentially relevant references, and preliminary exploration of the research topic. Claude was also used to generate Figure 1 (the staged model), based on the author's written description of its content and structure. The research idea and original contribution are the author's own.</w:t>
      </w:r>
    </w:p>
    <w:p>
      <w:pPr>
        <w:pStyle w:val="Heading1"/>
        <w:keepNext/>
        <w:spacing w:after="120" w:before="300"/>
      </w:pPr>
      <w:r>
        <w:rPr>
          <w:rFonts w:ascii="Times New Roman" w:cs="Times New Roman" w:eastAsia="Times New Roman" w:hAnsi="Times New Roman"/>
        </w:rPr>
        <w:t xml:space="preserve">References</w:t>
      </w:r>
    </w:p>
    <w:p>
      <w:pPr>
        <w:spacing w:after="80" w:line="264"/>
        <w:ind w:left="360" w:hanging="360"/>
      </w:pPr>
      <w:r>
        <w:rPr>
          <w:rFonts w:ascii="Times New Roman" w:cs="Times New Roman" w:eastAsia="Times New Roman" w:hAnsi="Times New Roman"/>
          <w:sz w:val="20"/>
          <w:szCs w:val="20"/>
        </w:rPr>
        <w:t xml:space="preserve">Copeland, S., Ross, W., &amp; Sand, M. (Eds.). (2023). Serendipity Science: An Emerging Field and Its Methods. Springer.</w:t>
      </w:r>
    </w:p>
    <w:p>
      <w:pPr>
        <w:spacing w:after="80" w:line="264"/>
        <w:ind w:left="360" w:hanging="360"/>
      </w:pPr>
      <w:r>
        <w:rPr>
          <w:rFonts w:ascii="Times New Roman" w:cs="Times New Roman" w:eastAsia="Times New Roman" w:hAnsi="Times New Roman"/>
          <w:sz w:val="20"/>
          <w:szCs w:val="20"/>
        </w:rPr>
        <w:t xml:space="preserve">Dunbar, K. (1995). How scientists really reason: Scientific reasoning in real-world laboratories. In R. J. Sternberg &amp; J. E. Davidson (Eds.), The Nature of Insight (pp. 365–395). MIT Press.</w:t>
      </w:r>
    </w:p>
    <w:p>
      <w:pPr>
        <w:spacing w:after="80" w:line="264"/>
        <w:ind w:left="360" w:hanging="360"/>
      </w:pPr>
      <w:r>
        <w:rPr>
          <w:rFonts w:ascii="Times New Roman" w:cs="Times New Roman" w:eastAsia="Times New Roman" w:hAnsi="Times New Roman"/>
          <w:sz w:val="20"/>
          <w:szCs w:val="20"/>
        </w:rPr>
        <w:t xml:space="preserve">Dunbar, K. (1997). How scientists think: On-line creativity and conceptual change in science. In T. B. Ward, S. M. Smith, &amp; J. Vaid (Eds.), Creative Thought: An Investigation of Conceptual Structures and Processes (pp. 461–493). American Psychological Association.</w:t>
      </w:r>
    </w:p>
    <w:p>
      <w:pPr>
        <w:spacing w:after="80" w:line="264"/>
        <w:ind w:left="360" w:hanging="360"/>
      </w:pPr>
      <w:r>
        <w:rPr>
          <w:rFonts w:ascii="Times New Roman" w:cs="Times New Roman" w:eastAsia="Times New Roman" w:hAnsi="Times New Roman"/>
          <w:sz w:val="20"/>
          <w:szCs w:val="20"/>
        </w:rPr>
        <w:t xml:space="preserve">Goodfellow, I. (2017). Heroes of Deep Learning: Andrew Ng interviews Ian Goodfellow [Interview transcript]. insideHPC. https://insidehpc.com/2017/08/heroes-deep-learning-andrew-ng-interviews-ian-goodfellow-google-brain</w:t>
      </w:r>
    </w:p>
    <w:p>
      <w:pPr>
        <w:spacing w:after="80" w:line="264"/>
        <w:ind w:left="360" w:hanging="360"/>
      </w:pPr>
      <w:r>
        <w:rPr>
          <w:rFonts w:ascii="Times New Roman" w:cs="Times New Roman" w:eastAsia="Times New Roman" w:hAnsi="Times New Roman"/>
          <w:sz w:val="20"/>
          <w:szCs w:val="20"/>
        </w:rPr>
        <w:t xml:space="preserve">Goodfellow, I. J., Pouget-Abadie, J., Mirza, M., Xu, B., Warde-Farley, D., Ozair, S., Courville, A., &amp; Bengio, Y. (2014). Generative adversarial nets. Advances in Neural Information Processing Systems 27, 2672–2680. arXiv:1406.2661.</w:t>
      </w:r>
    </w:p>
    <w:p>
      <w:pPr>
        <w:spacing w:after="80" w:line="264"/>
        <w:ind w:left="360" w:hanging="360"/>
      </w:pPr>
      <w:r>
        <w:rPr>
          <w:rFonts w:ascii="Times New Roman" w:cs="Times New Roman" w:eastAsia="Times New Roman" w:hAnsi="Times New Roman"/>
          <w:sz w:val="20"/>
          <w:szCs w:val="20"/>
        </w:rPr>
        <w:t xml:space="preserve">Herrmann, M., Lange, F. J. D., Eggensperger, K., Casalicchio, G., Wever, M., Feurer, M., Rügamer, D., Hüllermeier, E., Boulesteix, A.-L., &amp; Bischl, B. (2024). Position: Why we must rethink empirical research in machine learning. Proceedings of the 41st International Conference on Machine Learning, PMLR 235, 18228–18247.</w:t>
      </w:r>
    </w:p>
    <w:p>
      <w:pPr>
        <w:spacing w:after="80" w:line="264"/>
        <w:ind w:left="360" w:hanging="360"/>
      </w:pPr>
      <w:r>
        <w:rPr>
          <w:rFonts w:ascii="Times New Roman" w:cs="Times New Roman" w:eastAsia="Times New Roman" w:hAnsi="Times New Roman"/>
          <w:sz w:val="20"/>
          <w:szCs w:val="20"/>
        </w:rPr>
        <w:t xml:space="preserve">Hinton, G. (2016, August 11). Reply in “AMA: We are the Google Brain team. We’d love to answer your questions about machine learning” [Online forum thread]. Reddit, r/MachineLearning. https://www.reddit.com/r/MachineLearning/comments/4w6tsv/ama_we_are_the_google_brain_team_wed_love_to/</w:t>
      </w:r>
    </w:p>
    <w:p>
      <w:pPr>
        <w:spacing w:after="80" w:line="264"/>
        <w:ind w:left="360" w:hanging="360"/>
      </w:pPr>
      <w:r>
        <w:rPr>
          <w:rFonts w:ascii="Times New Roman" w:cs="Times New Roman" w:eastAsia="Times New Roman" w:hAnsi="Times New Roman"/>
          <w:sz w:val="20"/>
          <w:szCs w:val="20"/>
        </w:rPr>
        <w:t xml:space="preserve">Hinton, G. E., Srivastava, N., Krizhevsky, A., Sutskever, I., &amp; Salakhutdinov, R. R. (2012). Improving neural networks by preventing co-adaptation of feature detectors. arXiv:1207.0580.</w:t>
      </w:r>
    </w:p>
    <w:p>
      <w:pPr>
        <w:spacing w:after="80" w:line="264"/>
        <w:ind w:left="360" w:hanging="360"/>
      </w:pPr>
      <w:r>
        <w:rPr>
          <w:rFonts w:ascii="Times New Roman" w:cs="Times New Roman" w:eastAsia="Times New Roman" w:hAnsi="Times New Roman"/>
          <w:sz w:val="20"/>
          <w:szCs w:val="20"/>
        </w:rPr>
        <w:t xml:space="preserve">ICBINB Organizing Team. (2020–2025). I Can’t Believe It’s Not Better (ICBINB) [Workshop series]. NeurIPS 2020–2023 Workshops; ICLR 2025 Workshops. Editions 2020–2023: https://dblp.org/db/conf/icbinb; edition 2025: https://sites.google.com/view/icbinb-2025</w:t>
      </w:r>
    </w:p>
    <w:p>
      <w:pPr>
        <w:spacing w:after="80" w:line="264"/>
        <w:ind w:left="360" w:hanging="360"/>
      </w:pPr>
      <w:r>
        <w:rPr>
          <w:rFonts w:ascii="Times New Roman" w:cs="Times New Roman" w:eastAsia="Times New Roman" w:hAnsi="Times New Roman"/>
          <w:sz w:val="20"/>
          <w:szCs w:val="20"/>
        </w:rPr>
        <w:t xml:space="preserve">Karl, F., Kemeter, L. M., Dax, G., &amp; Sierak, P. (2024). Position: Embracing negative results in machine learning. Proceedings of the 41st International Conference on Machine Learning, PMLR 235, 23256–23265. arXiv:2406.03980.</w:t>
      </w:r>
    </w:p>
    <w:p>
      <w:pPr>
        <w:spacing w:after="80" w:line="264"/>
        <w:ind w:left="360" w:hanging="360"/>
      </w:pPr>
      <w:r>
        <w:rPr>
          <w:rFonts w:ascii="Times New Roman" w:cs="Times New Roman" w:eastAsia="Times New Roman" w:hAnsi="Times New Roman"/>
          <w:sz w:val="20"/>
          <w:szCs w:val="20"/>
        </w:rPr>
        <w:t xml:space="preserve">Krizhevsky, A., Sutskever, I., &amp; Hinton, G. E. (2012). ImageNet classification with deep convolutional neural networks. Advances in Neural Information Processing Systems 25, 1097–1105.</w:t>
      </w:r>
    </w:p>
    <w:p>
      <w:pPr>
        <w:spacing w:after="80" w:line="264"/>
        <w:ind w:left="360" w:hanging="360"/>
      </w:pPr>
      <w:r>
        <w:rPr>
          <w:rFonts w:ascii="Times New Roman" w:cs="Times New Roman" w:eastAsia="Times New Roman" w:hAnsi="Times New Roman"/>
          <w:sz w:val="20"/>
          <w:szCs w:val="20"/>
        </w:rPr>
        <w:t xml:space="preserve">Kumar, K. (2025). Designing intelligent systems for unforeseen discoveries. AIJR Proceedings, 7(6), 377–384 (Proceedings of the 3rd International Conference on Artificial Intelligence, Machine Learning and Cybersecurity). https://doi.org/10.21467/proceedings.7.6.43</w:t>
      </w:r>
    </w:p>
    <w:p>
      <w:pPr>
        <w:spacing w:after="80" w:line="264"/>
        <w:ind w:left="360" w:hanging="360"/>
      </w:pPr>
      <w:r>
        <w:rPr>
          <w:rFonts w:ascii="Times New Roman" w:cs="Times New Roman" w:eastAsia="Times New Roman" w:hAnsi="Times New Roman"/>
          <w:sz w:val="20"/>
          <w:szCs w:val="20"/>
        </w:rPr>
        <w:t xml:space="preserve">Lipton, Z. C., &amp; Steinhardt, J. (2018). Troubling trends in machine learning scholarship. arXiv:1807.03341 (ICML 2018 Machine Learning Debates workshop).</w:t>
      </w:r>
    </w:p>
    <w:p>
      <w:pPr>
        <w:spacing w:after="80" w:line="264"/>
        <w:ind w:left="360" w:hanging="360"/>
      </w:pPr>
      <w:r>
        <w:rPr>
          <w:rFonts w:ascii="Times New Roman" w:cs="Times New Roman" w:eastAsia="Times New Roman" w:hAnsi="Times New Roman"/>
          <w:sz w:val="20"/>
          <w:szCs w:val="20"/>
        </w:rPr>
        <w:t xml:space="preserve">Makri, S., &amp; Blandford, A. (2012a). Coming across information serendipitously – Part 1: A process model. Journal of Documentation, 68(5), 684–705.</w:t>
      </w:r>
    </w:p>
    <w:p>
      <w:pPr>
        <w:spacing w:after="80" w:line="264"/>
        <w:ind w:left="360" w:hanging="360"/>
      </w:pPr>
      <w:r>
        <w:rPr>
          <w:rFonts w:ascii="Times New Roman" w:cs="Times New Roman" w:eastAsia="Times New Roman" w:hAnsi="Times New Roman"/>
          <w:sz w:val="20"/>
          <w:szCs w:val="20"/>
        </w:rPr>
        <w:t xml:space="preserve">Makri, S., &amp; Blandford, A. (2012b). Coming across information serendipitously – Part 2: A classification framework. Journal of Documentation, 68(5), 706–724.</w:t>
      </w:r>
    </w:p>
    <w:p>
      <w:pPr>
        <w:spacing w:after="80" w:line="264"/>
        <w:ind w:left="360" w:hanging="360"/>
      </w:pPr>
      <w:r>
        <w:rPr>
          <w:rFonts w:ascii="Times New Roman" w:cs="Times New Roman" w:eastAsia="Times New Roman" w:hAnsi="Times New Roman"/>
          <w:sz w:val="20"/>
          <w:szCs w:val="20"/>
        </w:rPr>
        <w:t xml:space="preserve">Makri, S., Blandford, A., Woods, M., Sharples, S., &amp; Maxwell, D. (2014). “Making my own luck”: Serendipity strategies and how to support them in digital information environments. Journal of the Association for Information Science and Technology, 65(11), 2179–2194. doi:10.1002/asi.23200</w:t>
      </w:r>
    </w:p>
    <w:p>
      <w:pPr>
        <w:spacing w:after="80" w:line="264"/>
        <w:ind w:left="360" w:hanging="360"/>
      </w:pPr>
      <w:r>
        <w:rPr>
          <w:rFonts w:ascii="Times New Roman" w:cs="Times New Roman" w:eastAsia="Times New Roman" w:hAnsi="Times New Roman"/>
          <w:sz w:val="20"/>
          <w:szCs w:val="20"/>
        </w:rPr>
        <w:t xml:space="preserve">Merton, R. K. (1948). The bearing of empirical research upon the development of social theory. American Sociological Review, 13(5), 505–515.</w:t>
      </w:r>
    </w:p>
    <w:p>
      <w:pPr>
        <w:spacing w:after="80" w:line="264"/>
        <w:ind w:left="360" w:hanging="360"/>
      </w:pPr>
      <w:r>
        <w:rPr>
          <w:rFonts w:ascii="Times New Roman" w:cs="Times New Roman" w:eastAsia="Times New Roman" w:hAnsi="Times New Roman"/>
          <w:sz w:val="20"/>
          <w:szCs w:val="20"/>
        </w:rPr>
        <w:t xml:space="preserve">Merton, R. K., &amp; Barber, E. (2004). The Travels and Adventures of Serendipity: A Study in Sociological Semantics and the Sociology of Science. Princeton University Press. (Written 1958.)</w:t>
      </w:r>
    </w:p>
    <w:p>
      <w:pPr>
        <w:spacing w:after="80" w:line="264"/>
        <w:ind w:left="360" w:hanging="360"/>
      </w:pPr>
      <w:r>
        <w:rPr>
          <w:rFonts w:ascii="Times New Roman" w:cs="Times New Roman" w:eastAsia="Times New Roman" w:hAnsi="Times New Roman"/>
          <w:sz w:val="20"/>
          <w:szCs w:val="20"/>
        </w:rPr>
        <w:t xml:space="preserve">Power, A., Burda, Y., Edwards, H., Babuschkin, I., &amp; Misra, V. (2022). Grokking: Generalization beyond overfitting on small algorithmic datasets. arXiv:2201.02177.</w:t>
      </w:r>
    </w:p>
    <w:p>
      <w:pPr>
        <w:spacing w:after="80" w:line="264"/>
        <w:ind w:left="360" w:hanging="360"/>
      </w:pPr>
      <w:r>
        <w:rPr>
          <w:rFonts w:ascii="Times New Roman" w:cs="Times New Roman" w:eastAsia="Times New Roman" w:hAnsi="Times New Roman"/>
          <w:sz w:val="20"/>
          <w:szCs w:val="20"/>
        </w:rPr>
        <w:t xml:space="preserve">Roberts, R. M. (1989). Serendipity: Accidental Discoveries in Science. John Wiley &amp; Sons.</w:t>
      </w:r>
    </w:p>
    <w:p>
      <w:pPr>
        <w:spacing w:after="80" w:line="264"/>
        <w:ind w:left="360" w:hanging="360"/>
      </w:pPr>
      <w:r>
        <w:rPr>
          <w:rFonts w:ascii="Times New Roman" w:cs="Times New Roman" w:eastAsia="Times New Roman" w:hAnsi="Times New Roman"/>
          <w:sz w:val="20"/>
          <w:szCs w:val="20"/>
        </w:rPr>
        <w:t xml:space="preserve">Rogers, A., Sedoc, J., &amp; Rumshisky, A. (Eds.). (2020). Proceedings of the First Workshop on Insights from Negative Results in NLP. Association for Computational Linguistics. https://aclanthology.org/2020.insights-1.0 (Workshop held online with EMNLP 2020, 19 November 2020.)</w:t>
      </w:r>
    </w:p>
    <w:p>
      <w:pPr>
        <w:spacing w:after="80" w:line="264"/>
        <w:ind w:left="360" w:hanging="360"/>
      </w:pPr>
      <w:r>
        <w:rPr>
          <w:rFonts w:ascii="Times New Roman" w:cs="Times New Roman" w:eastAsia="Times New Roman" w:hAnsi="Times New Roman"/>
          <w:sz w:val="20"/>
          <w:szCs w:val="20"/>
        </w:rPr>
        <w:t xml:space="preserve">Ross, W., Copeland, S., &amp; Firestein, S. (2024). Serendipity in scientific research. Journal of Trial and Error. https://doi.org/10.36850/v91j-7541</w:t>
      </w:r>
    </w:p>
    <w:p>
      <w:pPr>
        <w:spacing w:after="80" w:line="264"/>
        <w:ind w:left="360" w:hanging="360"/>
      </w:pPr>
      <w:r>
        <w:rPr>
          <w:rFonts w:ascii="Times New Roman" w:cs="Times New Roman" w:eastAsia="Times New Roman" w:hAnsi="Times New Roman"/>
          <w:sz w:val="20"/>
          <w:szCs w:val="20"/>
        </w:rPr>
        <w:t xml:space="preserve">Sedoc, J., Rogers, A., Rumshisky, A., &amp; Tafreshi, S. (Eds.). (2021). Proceedings of the Second Workshop on Insights from Negative Results in NLP. Association for Computational Linguistics. https://aclanthology.org/2021.insights-1.0 (Workshop held with EMNLP 2021, Punta Cana, Dominican Republic, and online, 10 November 2021.)</w:t>
      </w:r>
    </w:p>
    <w:p>
      <w:pPr>
        <w:spacing w:after="80" w:line="264"/>
        <w:ind w:left="360" w:hanging="360"/>
      </w:pPr>
      <w:r>
        <w:rPr>
          <w:rFonts w:ascii="Times New Roman" w:cs="Times New Roman" w:eastAsia="Times New Roman" w:hAnsi="Times New Roman"/>
          <w:sz w:val="20"/>
          <w:szCs w:val="20"/>
        </w:rPr>
        <w:t xml:space="preserve">Shi, F., &amp; Evans, J. (2023). Surprising combinations of research contents and contexts are related to impact and emerge with scientific outsiders from distant disciplines. Nature Communications, 14, 1641. doi:10.1038/s41467-023-36741-4</w:t>
      </w:r>
    </w:p>
    <w:p>
      <w:pPr>
        <w:spacing w:after="80" w:line="264"/>
        <w:ind w:left="360" w:hanging="360"/>
      </w:pPr>
      <w:r>
        <w:rPr>
          <w:rFonts w:ascii="Times New Roman" w:cs="Times New Roman" w:eastAsia="Times New Roman" w:hAnsi="Times New Roman"/>
          <w:sz w:val="20"/>
          <w:szCs w:val="20"/>
        </w:rPr>
        <w:t xml:space="preserve">Srivastava, N., Hinton, G., Krizhevsky, A., Sutskever, I., &amp; Salakhutdinov, R. (2014). Dropout: A simple way to prevent neural networks from overfitting. Journal of Machine Learning Research, 15(56), 1929–1958.</w:t>
      </w:r>
    </w:p>
    <w:p>
      <w:pPr>
        <w:spacing w:after="80" w:line="264"/>
        <w:ind w:left="360" w:hanging="360"/>
      </w:pPr>
      <w:r>
        <w:rPr>
          <w:rFonts w:ascii="Times New Roman" w:cs="Times New Roman" w:eastAsia="Times New Roman" w:hAnsi="Times New Roman"/>
          <w:sz w:val="20"/>
          <w:szCs w:val="20"/>
        </w:rPr>
        <w:t xml:space="preserve">Szegedy, C., Zaremba, W., Sutskever, I., Bruna, J., Erhan, D., Goodfellow, I., &amp; Fergus, R. (2013). Intriguing properties of neural networks. arXiv:1312.6199.</w:t>
      </w:r>
    </w:p>
    <w:p>
      <w:pPr>
        <w:spacing w:after="80" w:line="264"/>
        <w:ind w:left="360" w:hanging="360"/>
      </w:pPr>
      <w:r>
        <w:rPr>
          <w:rFonts w:ascii="Times New Roman" w:cs="Times New Roman" w:eastAsia="Times New Roman" w:hAnsi="Times New Roman"/>
          <w:sz w:val="20"/>
          <w:szCs w:val="20"/>
        </w:rPr>
        <w:t xml:space="preserve">Tian, Y., Jiang, T., Gong, Q., &amp; Morcos, A. (2019). Luck matters: Understanding training dynamics of deep ReLU networks. arXiv:1905.13405.</w:t>
      </w:r>
    </w:p>
    <w:p>
      <w:pPr>
        <w:spacing w:after="80" w:line="264"/>
        <w:ind w:left="360" w:hanging="360"/>
      </w:pPr>
      <w:r>
        <w:rPr>
          <w:rFonts w:ascii="Times New Roman" w:cs="Times New Roman" w:eastAsia="Times New Roman" w:hAnsi="Times New Roman"/>
          <w:sz w:val="20"/>
          <w:szCs w:val="20"/>
        </w:rPr>
        <w:t xml:space="preserve">van Andel, P. (1994). Anatomy of the unsought finding. Serendipity: Origin, history, domains, traditions, appearances, patterns and programmability. British Journal for the Philosophy of Science, 45(2), 631–648.</w:t>
      </w:r>
    </w:p>
    <w:p>
      <w:pPr>
        <w:spacing w:after="80" w:line="264"/>
        <w:ind w:left="360" w:hanging="360"/>
      </w:pPr>
      <w:r>
        <w:rPr>
          <w:rFonts w:ascii="Times New Roman" w:cs="Times New Roman" w:eastAsia="Times New Roman" w:hAnsi="Times New Roman"/>
          <w:sz w:val="20"/>
          <w:szCs w:val="20"/>
        </w:rPr>
        <w:t xml:space="preserve">Vanschoren, J., &amp; Duivesteijn, W. (Organizers). (2012). The Silver Lining: Learning from unexpected results [Workshop]. ECML PKDD 2012, Bristol, UK, 24 September 2012. https://datamining.liacs.nl/silver.html</w:t>
      </w:r>
    </w:p>
    <w:p>
      <w:pPr>
        <w:spacing w:after="80" w:line="264"/>
        <w:ind w:left="360" w:hanging="360"/>
      </w:pPr>
      <w:r>
        <w:rPr>
          <w:rFonts w:ascii="Times New Roman" w:cs="Times New Roman" w:eastAsia="Times New Roman" w:hAnsi="Times New Roman"/>
          <w:sz w:val="20"/>
          <w:szCs w:val="20"/>
        </w:rPr>
        <w:t xml:space="preserve">Yao, L., Samantray, S., Ghosh, A., Roccapriore, K., Kovarik, L., Allec, S., &amp; Ziatdinov, M. (2025). Operationalizing serendipity: Multi-agent AI workflows for enhanced materials characterization with theory-in-the-loop (SciLink). arXiv:2508.06569.</w:t>
      </w:r>
    </w:p>
    <w:p>
      <w:pPr>
        <w:spacing w:after="80" w:line="264"/>
        <w:ind w:left="360" w:hanging="360"/>
      </w:pPr>
      <w:r>
        <w:rPr>
          <w:rFonts w:ascii="Times New Roman" w:cs="Times New Roman" w:eastAsia="Times New Roman" w:hAnsi="Times New Roman"/>
          <w:sz w:val="20"/>
          <w:szCs w:val="20"/>
        </w:rPr>
        <w:t xml:space="preserve">Zhao, R., Qin, T., Alvarez-Melis, D., Kakade, S., &amp; Saphra, N. (2025). Random scaling of emergent capabilities. arXiv:2502.17356.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Rezaei — Serendipity in the origins of ML ideas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c7fe6c5858ef3caaf8afc76b40aae0ef12ef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Accidents, Recognition, and Uptake: Serendipity in the Origins of Machine Learning Ideas</dc:title>
  <dc:creator>Hamed Rezaei</dc:creator>
  <cp:lastModifiedBy>Un-named</cp:lastModifiedBy>
  <cp:revision>1</cp:revision>
  <dcterms:created xsi:type="dcterms:W3CDTF">2026-10-10T20:19:55.482Z</dcterms:created>
  <dcterms:modified xsi:type="dcterms:W3CDTF">2026-10-10T20:19:55.483Z</dcterms:modified>
</cp:coreProperties>
</file>

<file path=docProps/custom.xml><?xml version="1.0" encoding="utf-8"?>
<Properties xmlns="http://schemas.openxmlformats.org/officeDocument/2006/custom-properties" xmlns:vt="http://schemas.openxmlformats.org/officeDocument/2006/docPropsVTypes"/>
</file>