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080800"/>
          <w:sz w:val="42"/>
          <w:szCs w:val="42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50500"/>
          <w:sz w:val="42"/>
          <w:szCs w:val="42"/>
          <w:u w:val="none"/>
          <w:shd w:fill="auto" w:val="clear"/>
          <w:vertAlign w:val="baseline"/>
          <w:rtl w:val="0"/>
        </w:rPr>
        <w:t xml:space="preserve">ROOT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b0b00"/>
          <w:sz w:val="42"/>
          <w:szCs w:val="42"/>
          <w:u w:val="none"/>
          <w:shd w:fill="auto" w:val="clear"/>
          <w:vertAlign w:val="baseline"/>
          <w:rtl w:val="0"/>
        </w:rPr>
        <w:t xml:space="preserve">CAUSE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2"/>
          <w:szCs w:val="42"/>
          <w:u w:val="none"/>
          <w:shd w:fill="auto" w:val="clear"/>
          <w:vertAlign w:val="baseline"/>
          <w:rtl w:val="0"/>
        </w:rPr>
        <w:t xml:space="preserve">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0808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080800"/>
          <w:sz w:val="32"/>
          <w:szCs w:val="32"/>
          <w:u w:val="none"/>
        </w:rPr>
      </w:pPr>
      <w:r w:rsidDel="00000000" w:rsidR="00000000" w:rsidRPr="00000000">
        <w:rPr>
          <w:color w:val="080800"/>
          <w:sz w:val="32"/>
          <w:szCs w:val="32"/>
          <w:rtl w:val="0"/>
        </w:rPr>
        <w:t xml:space="preserve">RCA is a structured approach to identifying and addressing the underlying causes of problems or issues within an organization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color w:val="0808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0808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080800"/>
          <w:sz w:val="32"/>
          <w:szCs w:val="32"/>
        </w:rPr>
      </w:pPr>
      <w:r w:rsidDel="00000000" w:rsidR="00000000" w:rsidRPr="00000000">
        <w:rPr>
          <w:color w:val="080800"/>
          <w:sz w:val="32"/>
          <w:szCs w:val="32"/>
        </w:rPr>
        <w:drawing>
          <wp:inline distB="114300" distT="114300" distL="114300" distR="114300">
            <wp:extent cx="6382512" cy="360871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2512" cy="3608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080800"/>
          <w:sz w:val="32"/>
          <w:szCs w:val="32"/>
          <w:u w:val="none"/>
        </w:rPr>
      </w:pPr>
      <w:r w:rsidDel="00000000" w:rsidR="00000000" w:rsidRPr="00000000">
        <w:rPr>
          <w:color w:val="080800"/>
          <w:sz w:val="32"/>
          <w:szCs w:val="32"/>
          <w:rtl w:val="0"/>
        </w:rPr>
        <w:t xml:space="preserve">Understand the complete workflow wrt to KPI like opening app ,signing in ,go to home page ,browse etc ,end 2 end</w:t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2"/>
        </w:numPr>
        <w:ind w:left="720" w:hanging="360"/>
        <w:rPr>
          <w:color w:val="080800"/>
          <w:sz w:val="32"/>
          <w:szCs w:val="32"/>
        </w:rPr>
      </w:pPr>
      <w:r w:rsidDel="00000000" w:rsidR="00000000" w:rsidRPr="00000000">
        <w:rPr>
          <w:b w:val="1"/>
          <w:color w:val="080800"/>
          <w:sz w:val="32"/>
          <w:szCs w:val="32"/>
          <w:rtl w:val="0"/>
        </w:rPr>
        <w:t xml:space="preserve">Internal Factors</w:t>
      </w:r>
      <w:r w:rsidDel="00000000" w:rsidR="00000000" w:rsidRPr="00000000">
        <w:rPr>
          <w:color w:val="080800"/>
          <w:sz w:val="32"/>
          <w:szCs w:val="32"/>
          <w:rtl w:val="0"/>
        </w:rPr>
        <w:t xml:space="preserve"> -</w:t>
      </w:r>
      <w:r w:rsidDel="00000000" w:rsidR="00000000" w:rsidRPr="00000000">
        <w:rPr>
          <w:rFonts w:ascii="Roboto" w:cs="Roboto" w:eastAsia="Roboto" w:hAnsi="Roboto"/>
          <w:color w:val="111111"/>
          <w:sz w:val="24"/>
          <w:szCs w:val="24"/>
          <w:shd w:fill="f7f7f7" w:val="clear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11111"/>
          <w:sz w:val="32"/>
          <w:szCs w:val="32"/>
          <w:shd w:fill="f7f7f7" w:val="clear"/>
          <w:rtl w:val="0"/>
        </w:rPr>
        <w:t xml:space="preserve">Internal factors refer to elements within an organization that are directly under its control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0808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080800"/>
          <w:sz w:val="32"/>
          <w:szCs w:val="32"/>
        </w:rPr>
      </w:pPr>
      <w:r w:rsidDel="00000000" w:rsidR="00000000" w:rsidRPr="00000000">
        <w:rPr>
          <w:color w:val="080800"/>
          <w:sz w:val="32"/>
          <w:szCs w:val="32"/>
        </w:rPr>
        <w:drawing>
          <wp:inline distB="114300" distT="114300" distL="114300" distR="114300">
            <wp:extent cx="6309360" cy="3284579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84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2"/>
        </w:numPr>
        <w:ind w:left="720" w:hanging="360"/>
        <w:rPr>
          <w:color w:val="080800"/>
          <w:sz w:val="32"/>
          <w:szCs w:val="32"/>
        </w:rPr>
      </w:pPr>
      <w:r w:rsidDel="00000000" w:rsidR="00000000" w:rsidRPr="00000000">
        <w:rPr>
          <w:b w:val="1"/>
          <w:color w:val="080800"/>
          <w:sz w:val="32"/>
          <w:szCs w:val="32"/>
          <w:rtl w:val="0"/>
        </w:rPr>
        <w:t xml:space="preserve">External Factors</w:t>
      </w:r>
      <w:r w:rsidDel="00000000" w:rsidR="00000000" w:rsidRPr="00000000">
        <w:rPr>
          <w:color w:val="080800"/>
          <w:sz w:val="32"/>
          <w:szCs w:val="32"/>
          <w:rtl w:val="0"/>
        </w:rPr>
        <w:t xml:space="preserve"> : external factors refer to elements outside the immediate system or process that can impact the problem being analyzed. These factors may include:</w:t>
      </w:r>
    </w:p>
    <w:p w:rsidR="00000000" w:rsidDel="00000000" w:rsidP="00000000" w:rsidRDefault="00000000" w:rsidRPr="00000000" w14:paraId="0000000C">
      <w:pPr>
        <w:widowControl w:val="0"/>
        <w:rPr>
          <w:color w:val="0808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3"/>
        </w:numPr>
        <w:ind w:left="1440" w:hanging="360"/>
        <w:rPr>
          <w:color w:val="080800"/>
          <w:sz w:val="32"/>
          <w:szCs w:val="32"/>
          <w:u w:val="none"/>
        </w:rPr>
      </w:pPr>
      <w:r w:rsidDel="00000000" w:rsidR="00000000" w:rsidRPr="00000000">
        <w:rPr>
          <w:b w:val="1"/>
          <w:color w:val="080800"/>
          <w:sz w:val="32"/>
          <w:szCs w:val="32"/>
          <w:rtl w:val="0"/>
        </w:rPr>
        <w:t xml:space="preserve">Market changes</w:t>
      </w:r>
      <w:r w:rsidDel="00000000" w:rsidR="00000000" w:rsidRPr="00000000">
        <w:rPr>
          <w:color w:val="080800"/>
          <w:sz w:val="32"/>
          <w:szCs w:val="32"/>
          <w:rtl w:val="0"/>
        </w:rPr>
        <w:t xml:space="preserve">: Such as the emergence of new competitors or economic shifts.</w:t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3"/>
        </w:numPr>
        <w:ind w:left="1440" w:hanging="360"/>
        <w:rPr>
          <w:color w:val="080800"/>
          <w:sz w:val="32"/>
          <w:szCs w:val="32"/>
          <w:u w:val="none"/>
        </w:rPr>
      </w:pPr>
      <w:r w:rsidDel="00000000" w:rsidR="00000000" w:rsidRPr="00000000">
        <w:rPr>
          <w:b w:val="1"/>
          <w:color w:val="080800"/>
          <w:sz w:val="32"/>
          <w:szCs w:val="32"/>
          <w:rtl w:val="0"/>
        </w:rPr>
        <w:t xml:space="preserve">Regulatory changes</w:t>
      </w:r>
      <w:r w:rsidDel="00000000" w:rsidR="00000000" w:rsidRPr="00000000">
        <w:rPr>
          <w:color w:val="080800"/>
          <w:sz w:val="32"/>
          <w:szCs w:val="32"/>
          <w:rtl w:val="0"/>
        </w:rPr>
        <w:t xml:space="preserve">: New laws and regulations that affect the system.</w:t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3"/>
        </w:numPr>
        <w:ind w:left="1440" w:hanging="360"/>
        <w:rPr>
          <w:color w:val="080800"/>
          <w:sz w:val="32"/>
          <w:szCs w:val="32"/>
          <w:u w:val="none"/>
        </w:rPr>
      </w:pPr>
      <w:r w:rsidDel="00000000" w:rsidR="00000000" w:rsidRPr="00000000">
        <w:rPr>
          <w:b w:val="1"/>
          <w:color w:val="080800"/>
          <w:sz w:val="32"/>
          <w:szCs w:val="32"/>
          <w:rtl w:val="0"/>
        </w:rPr>
        <w:t xml:space="preserve">Technological developments</w:t>
      </w:r>
      <w:r w:rsidDel="00000000" w:rsidR="00000000" w:rsidRPr="00000000">
        <w:rPr>
          <w:color w:val="080800"/>
          <w:sz w:val="32"/>
          <w:szCs w:val="32"/>
          <w:rtl w:val="0"/>
        </w:rPr>
        <w:t xml:space="preserve">: Innovations that render existing products or processes obsolete.</w:t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3"/>
        </w:numPr>
        <w:ind w:left="1440" w:hanging="360"/>
        <w:rPr>
          <w:color w:val="080800"/>
          <w:sz w:val="32"/>
          <w:szCs w:val="32"/>
          <w:u w:val="none"/>
        </w:rPr>
      </w:pPr>
      <w:r w:rsidDel="00000000" w:rsidR="00000000" w:rsidRPr="00000000">
        <w:rPr>
          <w:b w:val="1"/>
          <w:color w:val="080800"/>
          <w:sz w:val="32"/>
          <w:szCs w:val="32"/>
          <w:rtl w:val="0"/>
        </w:rPr>
        <w:t xml:space="preserve">Geopolitical factors</w:t>
      </w:r>
      <w:r w:rsidDel="00000000" w:rsidR="00000000" w:rsidRPr="00000000">
        <w:rPr>
          <w:color w:val="080800"/>
          <w:sz w:val="32"/>
          <w:szCs w:val="32"/>
          <w:rtl w:val="0"/>
        </w:rPr>
        <w:t xml:space="preserve">: Social unrest, conflicts, or other global events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080800"/>
          <w:sz w:val="32"/>
          <w:szCs w:val="32"/>
        </w:rPr>
      </w:pPr>
      <w:r w:rsidDel="00000000" w:rsidR="00000000" w:rsidRPr="00000000">
        <w:rPr>
          <w:color w:val="080800"/>
          <w:sz w:val="32"/>
          <w:szCs w:val="32"/>
        </w:rPr>
        <w:drawing>
          <wp:inline distB="114300" distT="114300" distL="114300" distR="114300">
            <wp:extent cx="6309360" cy="289488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894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080800"/>
          <w:sz w:val="32"/>
          <w:szCs w:val="32"/>
        </w:rPr>
      </w:pPr>
      <w:r w:rsidDel="00000000" w:rsidR="00000000" w:rsidRPr="00000000">
        <w:rPr>
          <w:color w:val="080800"/>
          <w:sz w:val="32"/>
          <w:szCs w:val="32"/>
        </w:rPr>
        <w:drawing>
          <wp:inline distB="114300" distT="114300" distL="114300" distR="114300">
            <wp:extent cx="6400800" cy="3608567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8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080800"/>
          <w:sz w:val="32"/>
          <w:szCs w:val="32"/>
        </w:rPr>
      </w:pPr>
      <w:r w:rsidDel="00000000" w:rsidR="00000000" w:rsidRPr="00000000">
        <w:rPr>
          <w:b w:val="1"/>
          <w:color w:val="080800"/>
          <w:sz w:val="32"/>
          <w:szCs w:val="32"/>
          <w:rtl w:val="0"/>
        </w:rPr>
        <w:t xml:space="preserve">Product cannibalization</w:t>
      </w:r>
      <w:r w:rsidDel="00000000" w:rsidR="00000000" w:rsidRPr="00000000">
        <w:rPr>
          <w:color w:val="080800"/>
          <w:sz w:val="32"/>
          <w:szCs w:val="32"/>
          <w:rtl w:val="0"/>
        </w:rPr>
        <w:t xml:space="preserve">, also known as market cannibalization, occurs when a company’s new product displaces an existing one. </w:t>
      </w:r>
      <w:hyperlink r:id="rId10">
        <w:r w:rsidDel="00000000" w:rsidR="00000000" w:rsidRPr="00000000">
          <w:rPr>
            <w:color w:val="080800"/>
            <w:sz w:val="32"/>
            <w:szCs w:val="32"/>
            <w:rtl w:val="0"/>
          </w:rPr>
          <w:t xml:space="preserve">In other words, it reduces purchases of an older product and eats away at the company’s own sales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0808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080800"/>
          <w:sz w:val="32"/>
          <w:szCs w:val="32"/>
        </w:rPr>
      </w:pPr>
      <w:r w:rsidDel="00000000" w:rsidR="00000000" w:rsidRPr="00000000">
        <w:rPr>
          <w:color w:val="080800"/>
          <w:sz w:val="32"/>
          <w:szCs w:val="32"/>
        </w:rPr>
        <w:drawing>
          <wp:inline distB="114300" distT="114300" distL="114300" distR="114300">
            <wp:extent cx="5943600" cy="32639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080800"/>
          <w:sz w:val="32"/>
          <w:szCs w:val="32"/>
        </w:rPr>
      </w:pPr>
      <w:r w:rsidDel="00000000" w:rsidR="00000000" w:rsidRPr="00000000">
        <w:rPr>
          <w:color w:val="080800"/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080800"/>
          <w:sz w:val="32"/>
          <w:szCs w:val="32"/>
        </w:rPr>
      </w:pPr>
      <w:r w:rsidDel="00000000" w:rsidR="00000000" w:rsidRPr="00000000">
        <w:rPr>
          <w:color w:val="080800"/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080800"/>
          <w:sz w:val="32"/>
          <w:szCs w:val="32"/>
          <w:u w:val="none"/>
        </w:rPr>
      </w:pPr>
      <w:r w:rsidDel="00000000" w:rsidR="00000000" w:rsidRPr="00000000">
        <w:rPr>
          <w:color w:val="080800"/>
          <w:sz w:val="32"/>
          <w:szCs w:val="32"/>
          <w:rtl w:val="0"/>
        </w:rPr>
        <w:t xml:space="preserve">General statistics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color w:val="080800"/>
          <w:sz w:val="32"/>
          <w:szCs w:val="32"/>
          <w:u w:val="none"/>
        </w:rPr>
      </w:pPr>
      <w:r w:rsidDel="00000000" w:rsidR="00000000" w:rsidRPr="00000000">
        <w:rPr>
          <w:color w:val="080800"/>
          <w:sz w:val="32"/>
          <w:szCs w:val="32"/>
          <w:rtl w:val="0"/>
        </w:rPr>
        <w:t xml:space="preserve">India population is 1.42 billion ,seniors(60+) ~ 10% , adults (25-59)~ 60% , young people (15-24) ~ 20%</w:t>
      </w:r>
    </w:p>
    <w:p w:rsidR="00000000" w:rsidDel="00000000" w:rsidP="00000000" w:rsidRDefault="00000000" w:rsidRPr="00000000" w14:paraId="0000001A">
      <w:pPr>
        <w:widowControl w:val="0"/>
        <w:numPr>
          <w:ilvl w:val="1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7f7" w:val="clear"/>
        <w:spacing w:before="0" w:beforeAutospacing="0" w:lineRule="auto"/>
        <w:ind w:left="1440" w:hanging="360"/>
        <w:rPr>
          <w:color w:val="080800"/>
          <w:sz w:val="32"/>
          <w:szCs w:val="32"/>
        </w:rPr>
      </w:pPr>
      <w:r w:rsidDel="00000000" w:rsidR="00000000" w:rsidRPr="00000000">
        <w:rPr>
          <w:color w:val="080800"/>
          <w:sz w:val="32"/>
          <w:szCs w:val="32"/>
          <w:rtl w:val="0"/>
        </w:rPr>
        <w:t xml:space="preserve">India’s rural-urban distribution is approximately 64% rural and 36% urban.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color w:val="080800"/>
          <w:sz w:val="32"/>
          <w:szCs w:val="3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0808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0808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080800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hyperlink" Target="https://www.investopedia.com/terms/m/marketcannibilization.asp" TargetMode="External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