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205B" w:val="clear"/>
        <w:spacing w:after="0" w:before="0"/>
        <w:ind w:left="200"/>
      </w:pPr>
      <w:r>
        <w:rPr>
          <w:b/>
          <w:bCs/>
          <w:color w:val="FFB347"/>
          <w:sz w:val="22"/>
          <w:szCs w:val="22"/>
        </w:rPr>
        <w:t xml:space="preserve">MyIAM Programme</w:t>
      </w:r>
    </w:p>
    <w:p>
      <w:pPr>
        <w:shd w:fill="00205B" w:val="clear"/>
        <w:spacing w:after="0" w:before="80"/>
        <w:ind w:left="200"/>
      </w:pPr>
      <w:r>
        <w:rPr>
          <w:b/>
          <w:bCs/>
          <w:color w:val="FFFFFF"/>
          <w:sz w:val="40"/>
          <w:szCs w:val="40"/>
        </w:rPr>
        <w:t xml:space="preserve">MyAccess — Product Success &amp; Measurement Plan</w:t>
      </w:r>
    </w:p>
    <w:p>
      <w:pPr>
        <w:shd w:fill="00205B" w:val="clear"/>
        <w:spacing w:after="200" w:before="60"/>
        <w:ind w:left="200"/>
      </w:pPr>
      <w:r>
        <w:rPr>
          <w:color w:val="AAAACC"/>
          <w:sz w:val="18"/>
          <w:szCs w:val="18"/>
        </w:rPr>
        <w:t xml:space="preserve">Version 1.0  |  Airbus India  |  FY26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1. Application Overview</w:t>
      </w:r>
    </w:p>
    <w:p>
      <w:pPr>
        <w:spacing w:after="100" w:before="80"/>
      </w:pPr>
      <w:r>
        <w:rPr>
          <w:b w:val="false"/>
          <w:bCs w:val="false"/>
          <w:color w:val="1A1A2E"/>
          <w:sz w:val="20"/>
          <w:szCs w:val="20"/>
        </w:rPr>
        <w:t xml:space="preserve">MyAccess manages end-to-end group and context management in Active Directory — group lifecycle, membership, delegation, and cross-domain contexts. It operates in two modes simultaneously: human self-service with approval workflows, and high-frequency automated API calls (every minute, all day) for programmatic add/remove membership operations.</w:t>
      </w:r>
    </w:p>
    <w:p>
      <w:pPr>
        <w:shd w:fill="E45011" w:val="clear"/>
        <w:spacing w:after="100" w:before="240"/>
      </w:pPr>
      <w:r>
        <w:rPr>
          <w:b/>
          <w:bCs/>
          <w:color w:val="FFFFFF"/>
          <w:sz w:val="18"/>
          <w:szCs w:val="18"/>
        </w:rPr>
        <w:t xml:space="preserve">  Core Concepts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6"/>
      </w:tblGrid>
      <w:tr>
        <w:trPr>
          <w:tblHeader/>
        </w:trPr>
        <w:tc>
          <w:tcPr>
            <w:tcW w:type="dxa" w:w="26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5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Context</w:t>
            </w:r>
          </w:p>
        </w:tc>
        <w:tc>
          <w:tcPr>
            <w:tcW w:type="dxa" w:w="65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An entry point / folder structure in AD. Must exist before any AD asset (like a group) can be created within it. Can span multiple domains and multiple ADs.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Static Group</w:t>
            </w:r>
          </w:p>
        </w:tc>
        <w:tc>
          <w:tcPr>
            <w:tcW w:type="dxa" w:w="6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Membership is manually managed — explicit add/remove by a user.</w:t>
            </w:r>
          </w:p>
        </w:tc>
      </w:tr>
      <w:tr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PSD Group (Pseudo-Dynamic)</w:t>
            </w:r>
          </w:p>
        </w:tc>
        <w:tc>
          <w:tcPr>
            <w:tcW w:type="dxa" w:w="65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Membership driven by an LDAP query against identity attributes. A background job runs periodically, evaluates the query, and auto-updates membership.</w:t>
            </w:r>
          </w:p>
        </w:tc>
      </w:tr>
    </w:tbl>
    <w:p>
      <w:pPr>
        <w:shd w:fill="E45011" w:val="clear"/>
        <w:spacing w:after="100" w:before="240"/>
      </w:pPr>
      <w:r>
        <w:rPr>
          <w:b/>
          <w:bCs/>
          <w:color w:val="FFFFFF"/>
          <w:sz w:val="18"/>
          <w:szCs w:val="18"/>
        </w:rPr>
        <w:t xml:space="preserve">  Capabilities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6"/>
      </w:tblGrid>
      <w:tr>
        <w:trPr>
          <w:tblHeader/>
        </w:trPr>
        <w:tc>
          <w:tcPr>
            <w:tcW w:type="dxa" w:w="38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51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Create group (Static or PSD) + approval/rejection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Group creation approval workflow in place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Update group AD attributes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Includes Unix group attributes (GID) where enabled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Add / remove group members + approval/rejection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High-frequency API calls for automated add/remove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View group history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Audit trail for changes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Delete group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Group delegation — add/remove delegation members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Users often misunderstand delegation (same pattern as MyAccount)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group enablement (GID) + update + disable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Wrong/missing GID breaks Unix group resolution silently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Identity search (read-only)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Search any identity, view attributes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Solution/attribute view (from MyPortfolio)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Read-only view of solutions and their attributes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Context creation, management, deletion</w:t>
            </w:r>
          </w:p>
        </w:tc>
        <w:tc>
          <w:tcPr>
            <w:tcW w:type="dxa" w:w="5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Multi-domain, multi-AD support</w:t>
            </w:r>
          </w:p>
        </w:tc>
      </w:tr>
      <w:tr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Context delegation — add/remove delegation members</w:t>
            </w:r>
          </w:p>
        </w:tc>
        <w:tc>
          <w:tcPr>
            <w:tcW w:type="dxa" w:w="51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2. Success Definition</w:t>
      </w:r>
    </w:p>
    <w:p>
      <w:pPr>
        <w:pBdr>
          <w:left w:val="thick" w:color="E45011" w:sz="12"/>
        </w:pBdr>
        <w:spacing w:after="120" w:before="120"/>
        <w:ind w:left="400" w:right="400"/>
      </w:pPr>
      <w:r>
        <w:rPr>
          <w:b/>
          <w:bCs/>
          <w:i/>
          <w:iCs/>
          <w:color w:val="00205B"/>
          <w:sz w:val="22"/>
          <w:szCs w:val="22"/>
        </w:rPr>
        <w:t xml:space="preserve">"MyAccess is successful when users can request and receive group, context, and membership changes through a fast, well-governed approval process — and when every change, whether initiated by a human or an automated API call, is created, synchronized, and reflected accurately across AD and the MyAccess database — with PSD groups staying current, group sprawl controlled, and delegation used correctly across all domains."</w:t>
      </w:r>
    </w:p>
    <w:p>
      <w:pPr>
        <w:spacing w:after="80" w:before="100"/>
      </w:pPr>
      <w:r>
        <w:rPr>
          <w:b w:val="false"/>
          <w:bCs w:val="false"/>
          <w:color w:val="1A1A2E"/>
          <w:sz w:val="20"/>
          <w:szCs w:val="20"/>
        </w:rPr>
        <w:t xml:space="preserve">MyAccess operates in two modes: human self-service (with approvals) and system-level automation (API calls, PSD jobs). Success requires both to work — governed, fast human workflows AND reliable, correct automated operations at scale.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3. North Star Metric</w:t>
      </w:r>
    </w:p>
    <w:p>
      <w:pPr>
        <w:shd w:fill="00205B" w:val="clear"/>
        <w:spacing w:after="100" w:before="100"/>
        <w:ind w:left="200" w:right="200"/>
        <w:jc w:val="center"/>
      </w:pPr>
      <w:r>
        <w:rPr>
          <w:b/>
          <w:bCs/>
          <w:color w:val="FFFFFF"/>
          <w:sz w:val="22"/>
          <w:szCs w:val="22"/>
        </w:rPr>
        <w:t xml:space="preserve">% of group and membership changes (API + UI) correctly reflected in both AD and MyAccess DB within sync SLA, with zero drift</w:t>
      </w:r>
    </w:p>
    <w:p>
      <w:pPr>
        <w:spacing w:after="80" w:before="120"/>
      </w:pPr>
      <w:r>
        <w:rPr>
          <w:b w:val="false"/>
          <w:bCs w:val="false"/>
          <w:color w:val="1A1A2E"/>
          <w:sz w:val="20"/>
          <w:szCs w:val="20"/>
        </w:rPr>
        <w:t xml:space="preserve">Unlike MyPassword (self-service adoption) or MyAccount (governance state), MyAccess's North Star measures system-level correctness — because it is infrastructure other systems depend on continuously, not just a tool humans open occasionally.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4. Business Perspective Metrics</w:t>
      </w:r>
    </w:p>
    <w:p>
      <w:pPr>
        <w:spacing w:after="80" w:before="60"/>
      </w:pPr>
      <w:r>
        <w:rPr>
          <w:b w:val="false"/>
          <w:bCs w:val="false"/>
          <w:color w:val="777777"/>
          <w:sz w:val="18"/>
          <w:szCs w:val="18"/>
        </w:rPr>
        <w:t xml:space="preserve">Audience: CIO, Security, IT Leadership. Review quarterly.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400"/>
        <w:gridCol w:w="1906"/>
      </w:tblGrid>
      <w:tr>
        <w:trPr>
          <w:tblHeader/>
        </w:trPr>
        <w:tc>
          <w:tcPr>
            <w:tcW w:type="dxa" w:w="30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14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9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↔ MyAccess sync drift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Data integrity risk across the platform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+ MyAccess DB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Orphaned / unused group rate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Group sprawl, access risk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5%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PSD group staleness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Groups with outdated membership due to job/query failure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reliability rate (add/remove membership)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Trustworthiness of automated access changes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99.9%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Delegation misuse incidents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Governance and security risk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↓ trend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Context sprawl (unused/duplicate)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Structural clutter, harder governance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↓ trend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Approval workflow SLA compliance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Governance process working at expected speed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90%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Incident volume tagged MyAccess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Overall risk and support burden trend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↓ trend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Requests system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Unix-enabled group accuracy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Correct GID set on Unix-enabled groups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+ AD</w:t>
            </w:r>
          </w:p>
        </w:tc>
      </w:tr>
    </w:tbl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5. User Perspective Metrics</w:t>
      </w:r>
    </w:p>
    <w:p>
      <w:pPr>
        <w:spacing w:after="80" w:before="60"/>
      </w:pPr>
      <w:r>
        <w:rPr>
          <w:b w:val="false"/>
          <w:bCs w:val="false"/>
          <w:color w:val="777777"/>
          <w:sz w:val="18"/>
          <w:szCs w:val="18"/>
        </w:rPr>
        <w:t xml:space="preserve">Audience: Group owners, Delegates, Solution architects. Review monthly.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400"/>
        <w:gridCol w:w="1906"/>
      </w:tblGrid>
      <w:tr>
        <w:trPr>
          <w:tblHeader/>
        </w:trPr>
        <w:tc>
          <w:tcPr>
            <w:tcW w:type="dxa" w:w="30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14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9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Group creation approval turnaround time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Are requests approved/rejected on time?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48 hrs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Member addition approval turnaround time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Same, for membership requests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24 hrs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Rejection rate with proper reason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Rejections explained clearly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 of rejections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Self-service completion rate (by action type)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Create, update, add/remove, delete — done without IT help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85%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Context/group creation within lead time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Requests fulfilled on time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90% SLA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Member add/remove reflected in AD within SLA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Are changes visible fast enough to be usable?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5 mins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+ AD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PSD group accuracy (spot-check)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Does automated membership match expected query result?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98%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Group history/audit view usage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Are owners actually verifying changes?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↑ trend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Delegation setup success rate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Delegates configured correctly first time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↑ trend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request volume — group/context management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Are users still going to IT instead of self-service?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↓ trend</w:t>
            </w:r>
          </w:p>
        </w:tc>
        <w:tc>
          <w:tcPr>
            <w:tcW w:type="dxa" w:w="1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ServiceNow</w:t>
            </w:r>
          </w:p>
        </w:tc>
      </w:tr>
      <w:tr>
        <w:tc>
          <w:tcPr>
            <w:tcW w:type="dxa" w:w="30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group enablement within lead time</w:t>
            </w:r>
          </w:p>
        </w:tc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group access ready when needed</w:t>
            </w:r>
          </w:p>
        </w:tc>
        <w:tc>
          <w:tcPr>
            <w:tcW w:type="dxa" w:w="1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90% SLA</w:t>
            </w:r>
          </w:p>
        </w:tc>
        <w:tc>
          <w:tcPr>
            <w:tcW w:type="dxa" w:w="19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</w:tbl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6. Product Perspective Metrics — Part 1: Self-Service &amp; Governance</w:t>
      </w:r>
    </w:p>
    <w:p>
      <w:pPr>
        <w:spacing w:after="80" w:before="60"/>
      </w:pPr>
      <w:r>
        <w:rPr>
          <w:b w:val="false"/>
          <w:bCs w:val="false"/>
          <w:color w:val="777777"/>
          <w:sz w:val="18"/>
          <w:szCs w:val="18"/>
        </w:rPr>
        <w:t xml:space="preserve">Audience: PM only. Review weekly. Key rule: if a metric goes wrong and IT ops fixes it → operational. If you fix it in the product → yours.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300"/>
        <w:gridCol w:w="1606"/>
      </w:tblGrid>
      <w:tr>
        <w:trPr>
          <w:tblHeader/>
        </w:trPr>
        <w:tc>
          <w:tcPr>
            <w:tcW w:type="dxa" w:w="28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if it goes wrong</w:t>
            </w:r>
          </w:p>
        </w:tc>
        <w:tc>
          <w:tcPr>
            <w:tcW w:type="dxa" w:w="13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Self-service failure rate (by action type)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Which flow breaks — create, add member, context creation?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10%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Approval bottleneck identification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Approver, process, or UX causing delay?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Investigate if &gt; SLA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Static group membership drift (manual error)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Owners forgetting to remove members? Add review nudges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↓ trend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Context creation failure rate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UX or backend issue in context provisioning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2%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Incident volume by root cause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Sync failure vs. user error vs. PSD job failure — fix accordingly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Categorize + trend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Requests system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Self-service rate vs. incident volume correlation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Self-service ↑ but incidents flat → silent failure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Both move together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Both systems</w:t>
            </w:r>
          </w:p>
        </w:tc>
      </w:tr>
    </w:tbl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7. Product Perspective Metrics — Part 2: System &amp; API Correctness</w:t>
      </w:r>
    </w:p>
    <w:p>
      <w:pPr>
        <w:spacing w:after="80" w:before="60"/>
      </w:pPr>
      <w:r>
        <w:rPr>
          <w:b w:val="false"/>
          <w:bCs w:val="false"/>
          <w:color w:val="777777"/>
          <w:sz w:val="18"/>
          <w:szCs w:val="18"/>
        </w:rPr>
        <w:t xml:space="preserve">This section is heavier for MyAccess than for other MyIAM apps — it is called by other systems constantly, not just opened by humans.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300"/>
        <w:gridCol w:w="1606"/>
      </w:tblGrid>
      <w:tr>
        <w:trPr>
          <w:tblHeader/>
        </w:trPr>
        <w:tc>
          <w:tcPr>
            <w:tcW w:type="dxa" w:w="28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if it goes wrong</w:t>
            </w:r>
          </w:p>
        </w:tc>
        <w:tc>
          <w:tcPr>
            <w:tcW w:type="dxa" w:w="13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call success rate (add/remove membership)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Investigate — throttling, timeout, bad payload?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≥ 99.9%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latency (p95)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Slow calls cascade into downstream system failures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2 sec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logs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PSD job success rate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Job failing → escalate; query broken → fix query logic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Job scheduler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PSD query error rate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Which queries are malformed or reference bad attributes?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logs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Sync lag time (AD ↔ MyAccess DB)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How long is the drift window before correction?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5 mins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+ MyAccess DB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group GID error rate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Wrong/missing GID — improve form validation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0%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MyAccess + AD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group AD sync success rate</w:t>
            </w:r>
          </w:p>
        </w:tc>
        <w:tc>
          <w:tcPr>
            <w:tcW w:type="dxa" w:w="3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Sync job failing → escalate to IT ops</w:t>
            </w:r>
          </w:p>
        </w:tc>
        <w:tc>
          <w:tcPr>
            <w:tcW w:type="dxa" w:w="13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16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sync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Unix group AD sync lag time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Set but not propagated — access delays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&lt; 15 mins</w:t>
            </w:r>
          </w:p>
        </w:tc>
        <w:tc>
          <w:tcPr>
            <w:tcW w:type="dxa" w:w="1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sync logs</w:t>
            </w:r>
          </w:p>
        </w:tc>
      </w:tr>
    </w:tbl>
    <w:p>
      <w:pPr>
        <w:spacing w:after="80" w:before="100"/>
      </w:pPr>
      <w:r>
        <w:rPr>
          <w:b/>
          <w:bCs/>
          <w:color w:val="E45011"/>
          <w:sz w:val="18"/>
          <w:szCs w:val="18"/>
        </w:rPr>
        <w:t xml:space="preserve">Unix watch-out: a GID set correctly in MyAccess but not yet propagated to AD causes a Unix group resolution failure that looks like a product bug. Always check AD sync job status first.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8. Platform Health Metrics</w:t>
      </w:r>
    </w:p>
    <w:p>
      <w:pPr>
        <w:spacing w:after="80" w:before="60"/>
      </w:pPr>
      <w:r>
        <w:rPr>
          <w:b w:val="false"/>
          <w:bCs w:val="false"/>
          <w:color w:val="777777"/>
          <w:sz w:val="18"/>
          <w:szCs w:val="18"/>
        </w:rPr>
        <w:t xml:space="preserve">Audience: PM (context) + IT Ops (ownership). This matters more for MyAccess than any other MyIAM app — it is called constantly by other systems, every minute, all day.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200"/>
        <w:gridCol w:w="1706"/>
      </w:tblGrid>
      <w:tr>
        <w:trPr>
          <w:tblHeader/>
        </w:trPr>
        <w:tc>
          <w:tcPr>
            <w:tcW w:type="dxa" w:w="26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2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uptime %</w:t>
            </w:r>
          </w:p>
        </w:tc>
        <w:tc>
          <w:tcPr>
            <w:tcW w:type="dxa" w:w="3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Downstream systems depend on this being always-on</w:t>
            </w:r>
          </w:p>
        </w:tc>
        <w:tc>
          <w:tcPr>
            <w:tcW w:type="dxa" w:w="1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17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Monitoring system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call volume (per minute/hour)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Baseline for detecting anomalies — spikes or drops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logs</w:t>
            </w:r>
          </w:p>
        </w:tc>
      </w:tr>
      <w:tr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error rate by type (4xx, 5xx, timeout)</w:t>
            </w:r>
          </w:p>
        </w:tc>
        <w:tc>
          <w:tcPr>
            <w:tcW w:type="dxa" w:w="3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Distinguishes bad requests from platform failures</w:t>
            </w:r>
          </w:p>
        </w:tc>
        <w:tc>
          <w:tcPr>
            <w:tcW w:type="dxa" w:w="1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17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logs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AD sync job success rate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Failed jobs = drift accumulates silently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Job scheduler logs</w:t>
            </w:r>
          </w:p>
        </w:tc>
      </w:tr>
      <w:tr>
        <w:tc>
          <w:tcPr>
            <w:tcW w:type="dxa" w:w="2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PSD job scheduler health</w:t>
            </w:r>
          </w:p>
        </w:tc>
        <w:tc>
          <w:tcPr>
            <w:tcW w:type="dxa" w:w="34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Missed job runs = stale groups platform-wide</w:t>
            </w:r>
          </w:p>
        </w:tc>
        <w:tc>
          <w:tcPr>
            <w:tcW w:type="dxa" w:w="1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17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Job scheduler logs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Major Incident (MI) count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Explains spikes in sync drift or API failure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IT Ops</w:t>
            </w:r>
          </w:p>
        </w:tc>
        <w:tc>
          <w:tcPr>
            <w:tcW w:type="dxa" w:w="1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ServiceNow</w:t>
            </w:r>
          </w:p>
        </w:tc>
      </w:tr>
    </w:tbl>
    <w:p>
      <w:pPr>
        <w:spacing w:after="80" w:before="100"/>
      </w:pPr>
      <w:r>
        <w:rPr>
          <w:b w:val="false"/>
          <w:bCs w:val="false"/>
          <w:color w:val="1A1A2E"/>
          <w:sz w:val="18"/>
          <w:szCs w:val="18"/>
        </w:rPr>
        <w:t xml:space="preserve">PM decision tree: North Star flat or dropping → check platform health log first. API/job failures that day → IT ops issue. Everything ran clean, drift still appears → product-level investigation.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9. Measurement Cadence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506"/>
      </w:tblGrid>
      <w:tr>
        <w:trPr>
          <w:tblHeader/>
        </w:trPr>
        <w:tc>
          <w:tcPr>
            <w:tcW w:type="dxa" w:w="16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800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review</w:t>
            </w:r>
          </w:p>
        </w:tc>
        <w:tc>
          <w:tcPr>
            <w:tcW w:type="dxa" w:w="3506"/>
            <w:shd w:fill="0020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Daily</w:t>
            </w:r>
          </w:p>
        </w:tc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API success rate, API error rate, PSD job success rate</w:t>
            </w:r>
          </w:p>
        </w:tc>
        <w:tc>
          <w:tcPr>
            <w:tcW w:type="dxa" w:w="35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Zero tolerance for API failures — escalate immediately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Weekly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North Star %, self-service completion rate, sync drift, incident volume</w:t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Flag anomalies; identify which action or account type is failing</w:t>
            </w:r>
          </w:p>
        </w:tc>
      </w:tr>
      <w:tr>
        <w:tc>
          <w:tcPr>
            <w:tcW w:type="dxa" w:w="16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Monthly</w:t>
            </w:r>
          </w:p>
        </w:tc>
        <w:tc>
          <w:tcPr>
            <w:tcW w:type="dxa" w:w="3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Approval turnaround, group sprawl, orphan rate, user perspective metrics</w:t>
            </w:r>
          </w:p>
        </w:tc>
        <w:tc>
          <w:tcPr>
            <w:tcW w:type="dxa" w:w="3506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One-page update to IT management and group owners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Quarterly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Full metric review, business impact, delegation governance, context sprawl</w:t>
            </w:r>
          </w:p>
        </w:tc>
        <w:tc>
          <w:tcPr>
            <w:tcW w:type="dxa" w:w="3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A1A2E"/>
                <w:sz w:val="18"/>
                <w:szCs w:val="18"/>
              </w:rPr>
              <w:t xml:space="preserve">Present to CIO / IT Leadership; reassess targets</w:t>
            </w:r>
          </w:p>
        </w:tc>
      </w:tr>
    </w:tbl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205B"/>
          <w:sz w:val="32"/>
          <w:szCs w:val="32"/>
        </w:rPr>
        <w:t xml:space="preserve">10. Immediate Next Steps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Establish baseline AD ↔ MyAccess sync drift rate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Pull current API success rate and latency (p95) from API logs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Validate PSD job success rate and query error rate with IT ops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Establish orphaned/unused group baseline by type (static vs PSD)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Pull incident volume tagged MyAccess, categorized by root cause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Confirm approval workflow turnaround time — group creation and member addition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Validate Unix group GID accuracy and AD sync lag time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→  Capture all baselines before Oct 1 React platform launch for before/after story</w:t>
      </w:r>
    </w:p>
    <w:p>
      <w:pPr>
        <w:pBdr>
          <w:bottom w:val="single" w:color="E45011" w:sz="6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color w:val="999999"/>
          <w:sz w:val="16"/>
          <w:szCs w:val="16"/>
        </w:rPr>
        <w:t xml:space="preserve">MyIAM Programme  |  Airbus India  |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2026-09-02T04:16:47.619Z</dcterms:created>
  <dcterms:modified xsi:type="dcterms:W3CDTF">2026-09-02T04:16:47.628Z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