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205B" w:val="clear"/>
        <w:spacing w:after="0" w:before="0"/>
        <w:ind w:left="200" w:right="200"/>
      </w:pPr>
      <w:r>
        <w:rPr>
          <w:b/>
          <w:bCs/>
          <w:color w:val="FFFFFF"/>
          <w:sz w:val="8"/>
          <w:szCs w:val="8"/>
        </w:rPr>
        <w:t xml:space="preserve"/>
      </w:r>
    </w:p>
    <w:p>
      <w:pPr>
        <w:shd w:fill="00205B" w:val="clear"/>
        <w:spacing w:after="0" w:before="0"/>
        <w:ind w:left="200"/>
      </w:pPr>
      <w:r>
        <w:rPr>
          <w:b/>
          <w:bCs/>
          <w:color w:val="FFB347"/>
          <w:sz w:val="22"/>
          <w:szCs w:val="22"/>
        </w:rPr>
        <w:t xml:space="preserve">MyIAM Programme</w:t>
      </w:r>
    </w:p>
    <w:p>
      <w:pPr>
        <w:shd w:fill="00205B" w:val="clear"/>
        <w:spacing w:after="0" w:before="80"/>
        <w:ind w:left="200"/>
      </w:pPr>
      <w:r>
        <w:rPr>
          <w:b/>
          <w:bCs/>
          <w:color w:val="FFFFFF"/>
          <w:sz w:val="40"/>
          <w:szCs w:val="40"/>
        </w:rPr>
        <w:t xml:space="preserve">MyPassword — Product Success &amp; Measurement Plan</w:t>
      </w:r>
    </w:p>
    <w:p>
      <w:pPr>
        <w:shd w:fill="00205B" w:val="clear"/>
        <w:spacing w:after="0" w:before="60"/>
        <w:ind w:left="200"/>
      </w:pPr>
      <w:r>
        <w:rPr>
          <w:color w:val="AAAACC"/>
          <w:sz w:val="18"/>
          <w:szCs w:val="18"/>
        </w:rPr>
        <w:t xml:space="preserve">Version 1.0  |  Airbus India  |  FY26</w:t>
      </w:r>
    </w:p>
    <w:p>
      <w:pPr>
        <w:shd w:fill="00205B" w:val="clear"/>
        <w:spacing w:after="0" w:before="0"/>
        <w:ind w:left="200" w:right="200"/>
      </w:pPr>
      <w:r>
        <w:rPr>
          <w:b/>
          <w:bCs/>
          <w:color w:val="FFFFFF"/>
          <w:sz w:val="24"/>
          <w:szCs w:val="24"/>
        </w:rPr>
        <w:t xml:space="preserve"/>
      </w:r>
    </w:p>
    <w:p>
      <w:pPr>
        <w:pBdr>
          <w:bottom w:val="single" w:color="E45011" w:sz="6"/>
        </w:pBdr>
        <w:spacing w:after="160" w:before="160"/>
      </w:pPr>
      <w:r>
        <w:t xml:space="preserve"/>
      </w:r>
    </w:p>
    <w:p>
      <w:pPr>
        <w:pStyle w:val="Heading1"/>
        <w:spacing w:after="120" w:before="280"/>
      </w:pPr>
      <w:r>
        <w:t xml:space="preserve">1. Application Overview</w:t>
      </w:r>
      <w:r>
        <w:rPr>
          <w:b/>
          <w:bCs/>
          <w:color w:val="00205B"/>
          <w:sz w:val="32"/>
          <w:szCs w:val="32"/>
        </w:rPr>
        <w:t xml:space="preserve">1. Application Overview</w:t>
      </w:r>
    </w:p>
    <w:p>
      <w:pPr>
        <w:spacing w:after="100" w:before="80"/>
      </w:pPr>
      <w:r>
        <w:rPr>
          <w:b w:val="false"/>
          <w:bCs w:val="false"/>
          <w:color w:val="1A1A2E"/>
          <w:sz w:val="20"/>
          <w:szCs w:val="20"/>
        </w:rPr>
        <w:t xml:space="preserve">MyPassword is the self-service password and account management application within the MyIAM platform. It enables Airbus employees to resolve password and account lock issues independently, across three identity types, without contacting the IT helpdesk.</w:t>
      </w:r>
    </w:p>
    <w:p>
      <w:pPr>
        <w:shd w:fill="E45011" w:val="clear"/>
        <w:spacing w:after="100" w:before="240"/>
        <w:ind w:left="0"/>
      </w:pPr>
      <w:r>
        <w:rPr>
          <w:b/>
          <w:bCs/>
          <w:color w:val="FFFFFF"/>
          <w:sz w:val="18"/>
          <w:szCs w:val="18"/>
        </w:rPr>
        <w:t xml:space="preserve">  Identity Types &amp; Capabilities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2000"/>
        <w:gridCol w:w="2706"/>
      </w:tblGrid>
      <w:tr>
        <w:trPr>
          <w:tblHeader/>
        </w:trPr>
        <w:tc>
          <w:tcPr>
            <w:tcW w:type="dxa" w:w="22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Identity Type</w:t>
            </w:r>
          </w:p>
        </w:tc>
        <w:tc>
          <w:tcPr>
            <w:tcW w:type="dxa" w:w="20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Self-Service</w:t>
            </w:r>
          </w:p>
        </w:tc>
        <w:tc>
          <w:tcPr>
            <w:tcW w:type="dxa" w:w="20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IIVR</w:t>
            </w:r>
          </w:p>
        </w:tc>
        <w:tc>
          <w:tcPr>
            <w:tcW w:type="dxa" w:w="20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Buddy Reset</w:t>
            </w:r>
          </w:p>
        </w:tc>
        <w:tc>
          <w:tcPr>
            <w:tcW w:type="dxa" w:w="27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IT Admin</w:t>
            </w:r>
          </w:p>
        </w:tc>
      </w:tr>
      <w:tr>
        <w:tc>
          <w:tcPr>
            <w:tcW w:type="dxa" w:w="2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 Identity</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Windows only</w:t>
            </w:r>
          </w:p>
        </w:tc>
        <w:tc>
          <w:tcPr>
            <w:tcW w:type="dxa" w:w="27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r>
      <w:tr>
        <w:tc>
          <w:tcPr>
            <w:tcW w:type="dxa" w:w="2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VALN Identity</w:t>
            </w:r>
          </w:p>
        </w:tc>
        <w:tc>
          <w:tcPr>
            <w:tcW w:type="dxa" w:w="20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c>
          <w:tcPr>
            <w:tcW w:type="dxa" w:w="20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c>
          <w:tcPr>
            <w:tcW w:type="dxa" w:w="20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27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r>
      <w:tr>
        <w:tc>
          <w:tcPr>
            <w:tcW w:type="dxa" w:w="2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SAP (Prod only)</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 + Unlock</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w:t>
            </w:r>
          </w:p>
        </w:tc>
        <w:tc>
          <w:tcPr>
            <w:tcW w:type="dxa" w:w="2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27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Reset + Unlock</w:t>
            </w:r>
          </w:p>
        </w:tc>
      </w:tr>
    </w:tbl>
    <w:p>
      <w:pPr>
        <w:pBdr>
          <w:bottom w:val="single" w:color="E45011" w:sz="6"/>
        </w:pBdr>
        <w:spacing w:after="160" w:before="160"/>
      </w:pPr>
      <w:r>
        <w:t xml:space="preserve"/>
      </w:r>
    </w:p>
    <w:p>
      <w:pPr>
        <w:pStyle w:val="Heading1"/>
        <w:spacing w:after="120" w:before="280"/>
      </w:pPr>
      <w:r>
        <w:t xml:space="preserve">2. Success Definition</w:t>
      </w:r>
      <w:r>
        <w:rPr>
          <w:b/>
          <w:bCs/>
          <w:color w:val="00205B"/>
          <w:sz w:val="32"/>
          <w:szCs w:val="32"/>
        </w:rPr>
        <w:t xml:space="preserve">2. Success Definition</w:t>
      </w:r>
    </w:p>
    <w:p>
      <w:pPr>
        <w:spacing w:after="100" w:before="80"/>
      </w:pPr>
      <w:r>
        <w:rPr>
          <w:b w:val="false"/>
          <w:bCs w:val="false"/>
          <w:color w:val="1A1A2E"/>
          <w:sz w:val="20"/>
          <w:szCs w:val="20"/>
        </w:rPr>
        <w:t xml:space="preserve">Success is defined before metrics — not after. The following statement captures what MyPassword must achieve to be considered successful across all stakeholders.</w:t>
      </w:r>
    </w:p>
    <w:p>
      <w:pPr>
        <w:pBdr>
          <w:left w:val="thick" w:color="E45011" w:sz="12"/>
        </w:pBdr>
        <w:spacing w:after="120" w:before="120"/>
        <w:ind w:left="400" w:right="400"/>
      </w:pPr>
      <w:r>
        <w:rPr>
          <w:b/>
          <w:bCs/>
          <w:i/>
          <w:iCs/>
          <w:color w:val="00205B"/>
          <w:sz w:val="22"/>
          <w:szCs w:val="22"/>
        </w:rPr>
        <w:t xml:space="preserve">"MyPassword is successful when an Airbus employee can reset their Prod or VALN password and unlock their SAP account themselves, at any time, without contacting IT — and that self-service channel is secure, auditable, and trusted enough that helpdesk involvement becomes the exception, not the norm."</w:t>
      </w:r>
    </w:p>
    <w:p>
      <w:pPr>
        <w:shd w:fill="E45011" w:val="clear"/>
        <w:spacing w:after="100" w:before="240"/>
        <w:ind w:left="0"/>
      </w:pPr>
      <w:r>
        <w:rPr>
          <w:b/>
          <w:bCs/>
          <w:color w:val="FFFFFF"/>
          <w:sz w:val="18"/>
          <w:szCs w:val="18"/>
        </w:rPr>
        <w:t xml:space="preserve">  Stakeholder View of Success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506"/>
      </w:tblGrid>
      <w:tr>
        <w:trPr>
          <w:tblHeader/>
        </w:trPr>
        <w:tc>
          <w:tcPr>
            <w:tcW w:type="dxa" w:w="24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Stakeholder</w:t>
            </w:r>
          </w:p>
        </w:tc>
        <w:tc>
          <w:tcPr>
            <w:tcW w:type="dxa" w:w="65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Success looks like...</w:t>
            </w:r>
          </w:p>
        </w:tc>
      </w:tr>
      <w:tr>
        <w:tc>
          <w:tcPr>
            <w:tcW w:type="dxa" w:w="2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Employee</w:t>
            </w:r>
          </w:p>
        </w:tc>
        <w:tc>
          <w:tcPr>
            <w:tcW w:type="dxa" w:w="6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Reset password or unlock SAP immediately, no ticket, no wait</w:t>
            </w:r>
          </w:p>
        </w:tc>
      </w:tr>
      <w:tr>
        <w:tc>
          <w:tcPr>
            <w:tcW w:type="dxa" w:w="2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 Helpdesk</w:t>
            </w:r>
          </w:p>
        </w:tc>
        <w:tc>
          <w:tcPr>
            <w:tcW w:type="dxa" w:w="6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Password and SAP unlock tickets disappear from the queue</w:t>
            </w:r>
          </w:p>
        </w:tc>
      </w:tr>
      <w:tr>
        <w:tc>
          <w:tcPr>
            <w:tcW w:type="dxa" w:w="2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Leadership</w:t>
            </w:r>
          </w:p>
        </w:tc>
        <w:tc>
          <w:tcPr>
            <w:tcW w:type="dxa" w:w="6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Support cost down; team redeployed to higher-value work</w:t>
            </w:r>
          </w:p>
        </w:tc>
      </w:tr>
      <w:tr>
        <w:tc>
          <w:tcPr>
            <w:tcW w:type="dxa" w:w="2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Security</w:t>
            </w:r>
          </w:p>
        </w:tc>
        <w:tc>
          <w:tcPr>
            <w:tcW w:type="dxa" w:w="6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All resets through verified, auditable channels — no informal workarounds</w:t>
            </w:r>
          </w:p>
        </w:tc>
      </w:tr>
      <w:tr>
        <w:tc>
          <w:tcPr>
            <w:tcW w:type="dxa" w:w="2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Business / Manager</w:t>
            </w:r>
          </w:p>
        </w:tc>
        <w:tc>
          <w:tcPr>
            <w:tcW w:type="dxa" w:w="6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Team not blocked from working due to locked SAP accounts</w:t>
            </w:r>
          </w:p>
        </w:tc>
      </w:tr>
    </w:tbl>
    <w:p>
      <w:pPr>
        <w:pBdr>
          <w:bottom w:val="single" w:color="E45011" w:sz="6"/>
        </w:pBdr>
        <w:spacing w:after="160" w:before="160"/>
      </w:pPr>
      <w:r>
        <w:t xml:space="preserve"/>
      </w:r>
    </w:p>
    <w:p>
      <w:pPr>
        <w:pStyle w:val="Heading1"/>
        <w:spacing w:after="120" w:before="280"/>
      </w:pPr>
      <w:r>
        <w:t xml:space="preserve">3. Channel Hierarchy</w:t>
      </w:r>
      <w:r>
        <w:rPr>
          <w:b/>
          <w:bCs/>
          <w:color w:val="00205B"/>
          <w:sz w:val="32"/>
          <w:szCs w:val="32"/>
        </w:rPr>
        <w:t xml:space="preserve">3. Channel Hierarchy</w:t>
      </w:r>
    </w:p>
    <w:p>
      <w:pPr>
        <w:spacing w:after="100" w:before="80"/>
      </w:pPr>
      <w:r>
        <w:rPr>
          <w:b w:val="false"/>
          <w:bCs w:val="false"/>
          <w:color w:val="1A1A2E"/>
          <w:sz w:val="20"/>
          <w:szCs w:val="20"/>
        </w:rPr>
        <w:t xml:space="preserve">Not all resolution channels are equal. Success means events flowing toward the top of this hierarchy over time. IT Admin involvement should become the last resort, not the default.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4906"/>
      </w:tblGrid>
      <w:tr>
        <w:trPr>
          <w:tblHeader/>
        </w:trPr>
        <w:tc>
          <w:tcPr>
            <w:tcW w:type="dxa" w:w="14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Priority</w:t>
            </w:r>
          </w:p>
        </w:tc>
        <w:tc>
          <w:tcPr>
            <w:tcW w:type="dxa" w:w="24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Channel</w:t>
            </w:r>
          </w:p>
        </w:tc>
        <w:tc>
          <w:tcPr>
            <w:tcW w:type="dxa" w:w="49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Available for</w:t>
            </w:r>
          </w:p>
        </w:tc>
      </w:tr>
      <w:tr>
        <w:tc>
          <w:tcPr>
            <w:tcW w:type="dxa" w:w="1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Best</w:t>
            </w:r>
          </w:p>
        </w:tc>
        <w:tc>
          <w:tcPr>
            <w:tcW w:type="dxa" w:w="2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 / IIVR</w:t>
            </w:r>
          </w:p>
        </w:tc>
        <w:tc>
          <w:tcPr>
            <w:tcW w:type="dxa" w:w="49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All identity types</w:t>
            </w:r>
          </w:p>
        </w:tc>
      </w:tr>
      <w:tr>
        <w:tc>
          <w:tcPr>
            <w:tcW w:type="dxa" w:w="1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OK</w:t>
            </w:r>
          </w:p>
        </w:tc>
        <w:tc>
          <w:tcPr>
            <w:tcW w:type="dxa" w:w="2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Buddy Reset</w:t>
            </w:r>
          </w:p>
        </w:tc>
        <w:tc>
          <w:tcPr>
            <w:tcW w:type="dxa" w:w="49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 identity, Windows only</w:t>
            </w:r>
          </w:p>
        </w:tc>
      </w:tr>
      <w:tr>
        <w:tc>
          <w:tcPr>
            <w:tcW w:type="dxa" w:w="1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Last resort</w:t>
            </w:r>
          </w:p>
        </w:tc>
        <w:tc>
          <w:tcPr>
            <w:tcW w:type="dxa" w:w="2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w:t>
            </w:r>
          </w:p>
        </w:tc>
        <w:tc>
          <w:tcPr>
            <w:tcW w:type="dxa" w:w="49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All identity types (fallback only)</w:t>
            </w:r>
          </w:p>
        </w:tc>
      </w:tr>
    </w:tbl>
    <w:p>
      <w:pPr>
        <w:pBdr>
          <w:bottom w:val="single" w:color="E45011" w:sz="6"/>
        </w:pBdr>
        <w:spacing w:after="160" w:before="160"/>
      </w:pPr>
      <w:r>
        <w:t xml:space="preserve"/>
      </w:r>
    </w:p>
    <w:p>
      <w:pPr>
        <w:pStyle w:val="Heading1"/>
        <w:spacing w:after="120" w:before="280"/>
      </w:pPr>
      <w:r>
        <w:t xml:space="preserve">4. North Star Metric</w:t>
      </w:r>
      <w:r>
        <w:rPr>
          <w:b/>
          <w:bCs/>
          <w:color w:val="00205B"/>
          <w:sz w:val="32"/>
          <w:szCs w:val="32"/>
        </w:rPr>
        <w:t xml:space="preserve">4. North Star Metric</w:t>
      </w:r>
    </w:p>
    <w:p>
      <w:pPr>
        <w:shd w:fill="00205B" w:val="clear"/>
        <w:spacing w:after="100" w:before="100"/>
        <w:ind w:left="200" w:right="200"/>
        <w:jc w:val="center"/>
      </w:pPr>
      <w:r>
        <w:rPr>
          <w:b/>
          <w:bCs/>
          <w:color w:val="FFFFFF"/>
          <w:sz w:val="24"/>
          <w:szCs w:val="24"/>
        </w:rPr>
        <w:t xml:space="preserve">% of reset and unlock events resolved without IT Admin involvement — across all identity types</w:t>
      </w:r>
    </w:p>
    <w:p>
      <w:pPr>
        <w:spacing w:after="80" w:before="120"/>
      </w:pPr>
      <w:r>
        <w:rPr>
          <w:b w:val="false"/>
          <w:bCs w:val="false"/>
          <w:color w:val="1A1A2E"/>
          <w:sz w:val="20"/>
          <w:szCs w:val="20"/>
        </w:rPr>
        <w:t xml:space="preserve">When this number goes up: IT cost goes down, employee wait time drops, and the platform is demonstrably working. Every feature decision should be assessed against whether it moves this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53"/>
        <w:gridCol w:w="2200"/>
        <w:gridCol w:w="2253"/>
      </w:tblGrid>
      <w:tr>
        <w:trPr>
          <w:tblHeader/>
        </w:trPr>
        <w:tc>
          <w:tcPr>
            <w:tcW w:type="dxa" w:w="4453"/>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Metric</w:t>
            </w:r>
          </w:p>
        </w:tc>
        <w:tc>
          <w:tcPr>
            <w:tcW w:type="dxa" w:w="22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Baseline</w:t>
            </w:r>
          </w:p>
        </w:tc>
        <w:tc>
          <w:tcPr>
            <w:tcW w:type="dxa" w:w="2253"/>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Target (Oct 1)</w:t>
            </w:r>
          </w:p>
        </w:tc>
      </w:tr>
      <w:tr>
        <w:tc>
          <w:tcPr>
            <w:tcW w:type="dxa" w:w="4453"/>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events resolved without IT Admin (overall)</w:t>
            </w:r>
          </w:p>
        </w:tc>
        <w:tc>
          <w:tcPr>
            <w:tcW w:type="dxa" w:w="2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 (TBC)</w:t>
            </w:r>
          </w:p>
        </w:tc>
        <w:tc>
          <w:tcPr>
            <w:tcW w:type="dxa" w:w="2253"/>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80%</w:t>
            </w:r>
          </w:p>
        </w:tc>
      </w:tr>
    </w:tbl>
    <w:p>
      <w:pPr>
        <w:pBdr>
          <w:bottom w:val="single" w:color="E45011" w:sz="6"/>
        </w:pBdr>
        <w:spacing w:after="160" w:before="160"/>
      </w:pPr>
      <w:r>
        <w:t xml:space="preserve"/>
      </w:r>
    </w:p>
    <w:p>
      <w:pPr>
        <w:pStyle w:val="Heading1"/>
        <w:spacing w:after="120" w:before="280"/>
      </w:pPr>
      <w:r>
        <w:t xml:space="preserve">5. Channel Distribution Targets</w:t>
      </w:r>
      <w:r>
        <w:rPr>
          <w:b/>
          <w:bCs/>
          <w:color w:val="00205B"/>
          <w:sz w:val="32"/>
          <w:szCs w:val="32"/>
        </w:rPr>
        <w:t xml:space="preserve">5. Channel Distribution Targets</w:t>
      </w:r>
    </w:p>
    <w:p>
      <w:pPr>
        <w:spacing w:after="100" w:before="80"/>
      </w:pPr>
      <w:r>
        <w:rPr>
          <w:b w:val="false"/>
          <w:bCs w:val="false"/>
          <w:color w:val="1A1A2E"/>
          <w:sz w:val="20"/>
          <w:szCs w:val="20"/>
        </w:rPr>
        <w:t xml:space="preserve">Track the split of events by channel and identity type monthly. Shift from IT Admin toward self-service, IIVR, and buddy channels over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1600"/>
        <w:gridCol w:w="1506"/>
      </w:tblGrid>
      <w:tr>
        <w:trPr>
          <w:tblHeader/>
        </w:trPr>
        <w:tc>
          <w:tcPr>
            <w:tcW w:type="dxa" w:w="18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Identity</w:t>
            </w:r>
          </w:p>
        </w:tc>
        <w:tc>
          <w:tcPr>
            <w:tcW w:type="dxa" w:w="18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Channel</w:t>
            </w:r>
          </w:p>
        </w:tc>
        <w:tc>
          <w:tcPr>
            <w:tcW w:type="dxa" w:w="1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Baseline %</w:t>
            </w:r>
          </w:p>
        </w:tc>
        <w:tc>
          <w:tcPr>
            <w:tcW w:type="dxa" w:w="1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Target %</w:t>
            </w:r>
          </w:p>
        </w:tc>
        <w:tc>
          <w:tcPr>
            <w:tcW w:type="dxa" w:w="1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Trend</w:t>
            </w:r>
          </w:p>
        </w:tc>
        <w:tc>
          <w:tcPr>
            <w:tcW w:type="dxa" w:w="15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Source</w:t>
            </w:r>
          </w:p>
        </w:tc>
      </w:tr>
      <w:tr>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w:t>
            </w:r>
          </w:p>
        </w:tc>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60%</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w:t>
            </w:r>
          </w:p>
        </w:tc>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 system</w:t>
            </w:r>
          </w:p>
        </w:tc>
      </w:tr>
      <w:tr>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w:t>
            </w:r>
          </w:p>
        </w:tc>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Buddy (Win)</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10%</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Prod</w:t>
            </w:r>
          </w:p>
        </w:tc>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ServiceNow</w:t>
            </w:r>
          </w:p>
        </w:tc>
      </w:tr>
      <w:tr>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VALN</w:t>
            </w:r>
          </w:p>
        </w:tc>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65%</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VALN</w:t>
            </w:r>
          </w:p>
        </w:tc>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20%</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 system</w:t>
            </w:r>
          </w:p>
        </w:tc>
      </w:tr>
      <w:tr>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VALN</w:t>
            </w:r>
          </w:p>
        </w:tc>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ServiceNow</w:t>
            </w:r>
          </w:p>
        </w:tc>
      </w:tr>
      <w:tr>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SAP (Prod)</w:t>
            </w:r>
          </w:p>
        </w:tc>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70%</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SAP (Prod)</w:t>
            </w:r>
          </w:p>
        </w:tc>
        <w:tc>
          <w:tcPr>
            <w:tcW w:type="dxa" w:w="18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w:t>
            </w:r>
          </w:p>
        </w:tc>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 system</w:t>
            </w:r>
          </w:p>
        </w:tc>
      </w:tr>
      <w:tr>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SAP (Prod)</w:t>
            </w:r>
          </w:p>
        </w:tc>
        <w:tc>
          <w:tcPr>
            <w:tcW w:type="dxa" w:w="18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w:t>
            </w:r>
          </w:p>
        </w:tc>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t>
            </w:r>
          </w:p>
        </w:tc>
        <w:tc>
          <w:tcPr>
            <w:tcW w:type="dxa" w:w="15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ServiceNow</w:t>
            </w:r>
          </w:p>
        </w:tc>
      </w:tr>
    </w:tbl>
    <w:p>
      <w:pPr>
        <w:pBdr>
          <w:bottom w:val="single" w:color="E45011" w:sz="6"/>
        </w:pBdr>
        <w:spacing w:after="160" w:before="160"/>
      </w:pPr>
      <w:r>
        <w:t xml:space="preserve"/>
      </w:r>
    </w:p>
    <w:p>
      <w:pPr>
        <w:pStyle w:val="Heading1"/>
        <w:spacing w:after="120" w:before="280"/>
      </w:pPr>
      <w:r>
        <w:t xml:space="preserve">6. Metrics by Perspective</w:t>
      </w:r>
      <w:r>
        <w:rPr>
          <w:b/>
          <w:bCs/>
          <w:color w:val="00205B"/>
          <w:sz w:val="32"/>
          <w:szCs w:val="32"/>
        </w:rPr>
        <w:t xml:space="preserve">6. Metrics by Perspective</w:t>
      </w:r>
    </w:p>
    <w:p>
      <w:pPr>
        <w:spacing w:after="100" w:before="80"/>
      </w:pPr>
      <w:r>
        <w:rPr>
          <w:b w:val="false"/>
          <w:bCs w:val="false"/>
          <w:color w:val="1A1A2E"/>
          <w:sz w:val="20"/>
          <w:szCs w:val="20"/>
        </w:rPr>
        <w:t xml:space="preserve">Metrics are split by audience. Business metrics go to leadership. User metrics go to IT management. Product metrics are owned by the PM to drive decisions. The North Star spans all three.</w:t>
      </w:r>
    </w:p>
    <w:p>
      <w:pPr>
        <w:shd w:fill="E45011" w:val="clear"/>
        <w:spacing w:after="100" w:before="240"/>
        <w:ind w:left="0"/>
      </w:pPr>
      <w:r>
        <w:rPr>
          <w:b/>
          <w:bCs/>
          <w:color w:val="FFFFFF"/>
          <w:sz w:val="18"/>
          <w:szCs w:val="18"/>
        </w:rPr>
        <w:t xml:space="preserve">  Business Perspective — did it save money and reduce risk?  </w:t>
      </w:r>
    </w:p>
    <w:p>
      <w:pPr>
        <w:spacing w:after="80" w:before="60"/>
      </w:pPr>
      <w:r>
        <w:rPr>
          <w:b w:val="false"/>
          <w:bCs w:val="false"/>
          <w:color w:val="777777"/>
          <w:sz w:val="18"/>
          <w:szCs w:val="18"/>
        </w:rPr>
        <w:t xml:space="preserve">Audience: CIO, IT Leadership. Review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500"/>
        <w:gridCol w:w="1606"/>
      </w:tblGrid>
      <w:tr>
        <w:trPr>
          <w:tblHeader/>
        </w:trPr>
        <w:tc>
          <w:tcPr>
            <w:tcW w:type="dxa" w:w="32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Metric</w:t>
            </w:r>
          </w:p>
        </w:tc>
        <w:tc>
          <w:tcPr>
            <w:tcW w:type="dxa" w:w="2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What it shows</w:t>
            </w:r>
          </w:p>
        </w:tc>
        <w:tc>
          <w:tcPr>
            <w:tcW w:type="dxa" w:w="15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Target</w:t>
            </w:r>
          </w:p>
        </w:tc>
        <w:tc>
          <w:tcPr>
            <w:tcW w:type="dxa" w:w="16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Source</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support cost saved / year</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Financial return on the platform</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TBC</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Calculated</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 reset volume trend</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Direct measure of cost reduction</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−50% vs baseline</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ServiceNow</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Incident volume trend</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Risk and compliance exposure</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trend</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Requests system</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Audit trail completeness</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All resets through verified channels</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100%</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bl>
    <w:p>
      <w:pPr>
        <w:pBdr>
          <w:bottom w:val="single" w:color="E45011" w:sz="6"/>
        </w:pBdr>
        <w:spacing w:after="160" w:before="160"/>
      </w:pPr>
      <w:r>
        <w:t xml:space="preserve"/>
      </w:r>
    </w:p>
    <w:p>
      <w:pPr>
        <w:shd w:fill="E45011" w:val="clear"/>
        <w:spacing w:after="100" w:before="240"/>
        <w:ind w:left="0"/>
      </w:pPr>
      <w:r>
        <w:rPr>
          <w:b/>
          <w:bCs/>
          <w:color w:val="FFFFFF"/>
          <w:sz w:val="18"/>
          <w:szCs w:val="18"/>
        </w:rPr>
        <w:t xml:space="preserve">  User Perspective — did it make life easier for employees?  </w:t>
      </w:r>
    </w:p>
    <w:p>
      <w:pPr>
        <w:spacing w:after="80" w:before="60"/>
      </w:pPr>
      <w:r>
        <w:rPr>
          <w:b w:val="false"/>
          <w:bCs w:val="false"/>
          <w:color w:val="777777"/>
          <w:sz w:val="18"/>
          <w:szCs w:val="18"/>
        </w:rPr>
        <w:t xml:space="preserve">Audience: IT Management, Business Unit heads. Review monthly.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500"/>
        <w:gridCol w:w="1606"/>
      </w:tblGrid>
      <w:tr>
        <w:trPr>
          <w:tblHeader/>
        </w:trPr>
        <w:tc>
          <w:tcPr>
            <w:tcW w:type="dxa" w:w="32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Metric</w:t>
            </w:r>
          </w:p>
        </w:tc>
        <w:tc>
          <w:tcPr>
            <w:tcW w:type="dxa" w:w="2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What it shows</w:t>
            </w:r>
          </w:p>
        </w:tc>
        <w:tc>
          <w:tcPr>
            <w:tcW w:type="dxa" w:w="15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Target</w:t>
            </w:r>
          </w:p>
        </w:tc>
        <w:tc>
          <w:tcPr>
            <w:tcW w:type="dxa" w:w="16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Source</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 success rate by identity</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Can users actually do it themselves?</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80%</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Mean time to resolve — self-service</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How fast is the experience?</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&lt; 5 mins</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Abandonment rate mid-flow</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Where is the friction?</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&lt; 8%</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Channel adoption — self-service vs IT Admin</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Are users choosing self-service?</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 ↓ trend</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ServiceNow</w:t>
            </w:r>
          </w:p>
        </w:tc>
      </w:tr>
    </w:tbl>
    <w:p>
      <w:pPr>
        <w:pBdr>
          <w:bottom w:val="single" w:color="E45011" w:sz="6"/>
        </w:pBdr>
        <w:spacing w:after="160" w:before="160"/>
      </w:pPr>
      <w:r>
        <w:t xml:space="preserve"/>
      </w:r>
    </w:p>
    <w:p>
      <w:pPr>
        <w:shd w:fill="E45011" w:val="clear"/>
        <w:spacing w:after="100" w:before="240"/>
        <w:ind w:left="0"/>
      </w:pPr>
      <w:r>
        <w:rPr>
          <w:b/>
          <w:bCs/>
          <w:color w:val="FFFFFF"/>
          <w:sz w:val="18"/>
          <w:szCs w:val="18"/>
        </w:rPr>
        <w:t xml:space="preserve">  Product Perspective — is the product behaving as designed?  </w:t>
      </w:r>
    </w:p>
    <w:p>
      <w:pPr>
        <w:spacing w:after="80" w:before="60"/>
      </w:pPr>
      <w:r>
        <w:rPr>
          <w:b w:val="false"/>
          <w:bCs w:val="false"/>
          <w:color w:val="777777"/>
          <w:sz w:val="18"/>
          <w:szCs w:val="18"/>
        </w:rPr>
        <w:t xml:space="preserve">Audience: PM (you). Review weekly. These drive your product decisions — what to fix, what to build next.</w:t>
      </w:r>
    </w:p>
    <w:p>
      <w:pPr>
        <w:spacing w:after="80" w:before="40"/>
      </w:pPr>
      <w:r>
        <w:rPr>
          <w:b/>
          <w:bCs/>
          <w:color w:val="E45011"/>
          <w:sz w:val="18"/>
          <w:szCs w:val="18"/>
        </w:rPr>
        <w:t xml:space="preserve">Watch: if self-service rate ↑ but incidents/requests stay flat → silent failure. Users are attempting self-service, failing, then raising tickets anyway.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1500"/>
        <w:gridCol w:w="1606"/>
      </w:tblGrid>
      <w:tr>
        <w:trPr>
          <w:tblHeader/>
        </w:trPr>
        <w:tc>
          <w:tcPr>
            <w:tcW w:type="dxa" w:w="32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Metric</w:t>
            </w:r>
          </w:p>
        </w:tc>
        <w:tc>
          <w:tcPr>
            <w:tcW w:type="dxa" w:w="2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Action if it goes wrong</w:t>
            </w:r>
          </w:p>
        </w:tc>
        <w:tc>
          <w:tcPr>
            <w:tcW w:type="dxa" w:w="15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Target</w:t>
            </w:r>
          </w:p>
        </w:tc>
        <w:tc>
          <w:tcPr>
            <w:tcW w:type="dxa" w:w="16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Source</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Self-service failure rate by identity type</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Investigate UX or technical issue for that identity</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&lt; 10%</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Abandonment rate mid-flow</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Identify drop-off step → redesign that step</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&lt; 8%</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Channel shift trend over time</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Investigate why users default to IT Admin → remove friction</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 ↓ monthly</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Both systems</w:t>
            </w:r>
          </w:p>
        </w:tc>
      </w:tr>
      <w:tr>
        <w:tc>
          <w:tcPr>
            <w:tcW w:type="dxa" w:w="32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 completion rate</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Escalate to IT ops if system issue; review IVR flow if UX issue</w:t>
            </w:r>
          </w:p>
        </w:tc>
        <w:tc>
          <w:tcPr>
            <w:tcW w:type="dxa" w:w="15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&gt; 85%</w:t>
            </w:r>
          </w:p>
        </w:tc>
        <w:tc>
          <w:tcPr>
            <w:tcW w:type="dxa" w:w="16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IIVR system</w:t>
            </w:r>
          </w:p>
        </w:tc>
      </w:tr>
      <w:tr>
        <w:tc>
          <w:tcPr>
            <w:tcW w:type="dxa" w:w="32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Buddy reset success rate</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Investigate buddy flow reliability; consider UX fix</w:t>
            </w:r>
          </w:p>
        </w:tc>
        <w:tc>
          <w:tcPr>
            <w:tcW w:type="dxa" w:w="15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&gt; 90%</w:t>
            </w:r>
          </w:p>
        </w:tc>
        <w:tc>
          <w:tcPr>
            <w:tcW w:type="dxa" w:w="16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MyPassword logs</w:t>
            </w:r>
          </w:p>
        </w:tc>
      </w:tr>
    </w:tbl>
    <w:p>
      <w:pPr>
        <w:pBdr>
          <w:bottom w:val="single" w:color="E45011" w:sz="6"/>
        </w:pBdr>
        <w:spacing w:after="160" w:before="160"/>
      </w:pPr>
      <w:r>
        <w:t xml:space="preserve"/>
      </w:r>
    </w:p>
    <w:p>
      <w:pPr>
        <w:pStyle w:val="Heading1"/>
        <w:spacing w:after="120" w:before="280"/>
      </w:pPr>
      <w:r>
        <w:t xml:space="preserve">8. Business Impact Calculation</w:t>
      </w:r>
      <w:r>
        <w:rPr>
          <w:b/>
          <w:bCs/>
          <w:color w:val="00205B"/>
          <w:sz w:val="32"/>
          <w:szCs w:val="32"/>
        </w:rPr>
        <w:t xml:space="preserve">8. Business Impact Calculation</w:t>
      </w:r>
    </w:p>
    <w:p>
      <w:pPr>
        <w:spacing w:after="100" w:before="80"/>
      </w:pPr>
      <w:r>
        <w:rPr>
          <w:b w:val="false"/>
          <w:bCs w:val="false"/>
          <w:color w:val="1A1A2E"/>
          <w:sz w:val="20"/>
          <w:szCs w:val="20"/>
        </w:rPr>
        <w:t xml:space="preserve">Use this table to calculate and communicate business value. Fill in baseline numbers from ServiceNow and MyPassword logs. Present to leadership quarterly.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2906"/>
      </w:tblGrid>
      <w:tr>
        <w:trPr>
          <w:tblHeader/>
        </w:trPr>
        <w:tc>
          <w:tcPr>
            <w:tcW w:type="dxa" w:w="34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Metric</w:t>
            </w:r>
          </w:p>
        </w:tc>
        <w:tc>
          <w:tcPr>
            <w:tcW w:type="dxa" w:w="2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Assumption</w:t>
            </w:r>
          </w:p>
        </w:tc>
        <w:tc>
          <w:tcPr>
            <w:tcW w:type="dxa" w:w="29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Value</w:t>
            </w:r>
          </w:p>
        </w:tc>
      </w:tr>
      <w:tr>
        <w:tc>
          <w:tcPr>
            <w:tcW w:type="dxa" w:w="3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 resets / month (baseline)</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TBC from ServiceNow</w:t>
            </w:r>
          </w:p>
        </w:tc>
        <w:tc>
          <w:tcPr>
            <w:tcW w:type="dxa" w:w="29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 tickets</w:t>
            </w:r>
          </w:p>
        </w:tc>
      </w:tr>
      <w:tr>
        <w:tc>
          <w:tcPr>
            <w:tcW w:type="dxa" w:w="3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Admin resets deflected after launch</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Target: −50% of baseline</w:t>
            </w:r>
          </w:p>
        </w:tc>
        <w:tc>
          <w:tcPr>
            <w:tcW w:type="dxa" w:w="29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 tickets/month</w:t>
            </w:r>
          </w:p>
        </w:tc>
      </w:tr>
      <w:tr>
        <w:tc>
          <w:tcPr>
            <w:tcW w:type="dxa" w:w="3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Avg IT handle time per reset</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15 mins (validate with helpdesk)</w:t>
            </w:r>
          </w:p>
        </w:tc>
        <w:tc>
          <w:tcPr>
            <w:tcW w:type="dxa" w:w="29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0.25 hrs/ticket</w:t>
            </w:r>
          </w:p>
        </w:tc>
      </w:tr>
      <w:tr>
        <w:tc>
          <w:tcPr>
            <w:tcW w:type="dxa" w:w="34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IT hours saved / month</w:t>
            </w:r>
          </w:p>
        </w:tc>
        <w:tc>
          <w:tcPr>
            <w:tcW w:type="dxa" w:w="2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Deflected tickets × 0.25 hrs</w:t>
            </w:r>
          </w:p>
        </w:tc>
        <w:tc>
          <w:tcPr>
            <w:tcW w:type="dxa" w:w="29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X hrs</w:t>
            </w:r>
          </w:p>
        </w:tc>
      </w:tr>
      <w:tr>
        <w:tc>
          <w:tcPr>
            <w:tcW w:type="dxa" w:w="34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Annual cost saving</w:t>
            </w:r>
          </w:p>
        </w:tc>
        <w:tc>
          <w:tcPr>
            <w:tcW w:type="dxa" w:w="2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Hours saved × IT cost rate (€/hr)</w:t>
            </w:r>
          </w:p>
        </w:tc>
        <w:tc>
          <w:tcPr>
            <w:tcW w:type="dxa" w:w="29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 TBC</w:t>
            </w:r>
          </w:p>
        </w:tc>
      </w:tr>
    </w:tbl>
    <w:p>
      <w:pPr>
        <w:spacing w:after="80" w:before="120"/>
      </w:pPr>
      <w:r>
        <w:rPr>
          <w:b w:val="false"/>
          <w:bCs w:val="false"/>
          <w:color w:val="777777"/>
          <w:sz w:val="18"/>
          <w:szCs w:val="18"/>
        </w:rPr>
        <w:t xml:space="preserve">Reference: MyIAM programme ROI baseline — €360K/year projected savings across the full platform. MyPassword contribution to be quantified from channel distribution data post-launch.</w:t>
      </w:r>
    </w:p>
    <w:p>
      <w:pPr>
        <w:pBdr>
          <w:bottom w:val="single" w:color="E45011" w:sz="6"/>
        </w:pBdr>
        <w:spacing w:after="160" w:before="160"/>
      </w:pPr>
      <w:r>
        <w:t xml:space="preserve"/>
      </w:r>
    </w:p>
    <w:p>
      <w:pPr>
        <w:pStyle w:val="Heading1"/>
        <w:spacing w:after="120" w:before="280"/>
      </w:pPr>
      <w:r>
        <w:t xml:space="preserve">9. Measurement Cadence</w:t>
      </w:r>
      <w:r>
        <w:rPr>
          <w:b/>
          <w:bCs/>
          <w:color w:val="00205B"/>
          <w:sz w:val="32"/>
          <w:szCs w:val="32"/>
        </w:rPr>
        <w:t xml:space="preserve">9. Measurement Cadence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306"/>
      </w:tblGrid>
      <w:tr>
        <w:trPr>
          <w:tblHeader/>
        </w:trPr>
        <w:tc>
          <w:tcPr>
            <w:tcW w:type="dxa" w:w="16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Frequency</w:t>
            </w:r>
          </w:p>
        </w:tc>
        <w:tc>
          <w:tcPr>
            <w:tcW w:type="dxa" w:w="3000"/>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What to review</w:t>
            </w:r>
          </w:p>
        </w:tc>
        <w:tc>
          <w:tcPr>
            <w:tcW w:type="dxa" w:w="4306"/>
            <w:shd w:fill="00205B" w:val="clear"/>
            <w:tcMar>
              <w:top w:type="dxa" w:w="80"/>
              <w:left w:type="dxa" w:w="120"/>
              <w:bottom w:type="dxa" w:w="80"/>
              <w:right w:type="dxa" w:w="120"/>
            </w:tcMar>
            <w:vAlign w:val="center"/>
          </w:tcPr>
          <w:p>
            <w:pPr>
              <w:spacing w:after="80" w:before="80"/>
              <w:jc w:val="left"/>
            </w:pPr>
            <w:r>
              <w:rPr>
                <w:b/>
                <w:bCs/>
                <w:color w:val="FFFFFF"/>
                <w:sz w:val="18"/>
                <w:szCs w:val="18"/>
              </w:rPr>
              <w:t xml:space="preserve">Action</w:t>
            </w:r>
          </w:p>
        </w:tc>
      </w:tr>
      <w:tr>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Weekly</w:t>
            </w:r>
          </w:p>
        </w:tc>
        <w:tc>
          <w:tcPr>
            <w:tcW w:type="dxa" w:w="3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North Star % + one leading indicator per channel</w:t>
            </w:r>
          </w:p>
        </w:tc>
        <w:tc>
          <w:tcPr>
            <w:tcW w:type="dxa" w:w="43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Flag if failure rate or abandonment spikes</w:t>
            </w:r>
          </w:p>
        </w:tc>
      </w:tr>
      <w:tr>
        <w:tc>
          <w:tcPr>
            <w:tcW w:type="dxa" w:w="16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Monthly</w:t>
            </w:r>
          </w:p>
        </w:tc>
        <w:tc>
          <w:tcPr>
            <w:tcW w:type="dxa" w:w="3000"/>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Channel distribution + lagging indicators</w:t>
            </w:r>
          </w:p>
        </w:tc>
        <w:tc>
          <w:tcPr>
            <w:tcW w:type="dxa" w:w="4306"/>
            <w:shd w:fill="FFFFFF"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Share one-page update with IT and business stakeholders</w:t>
            </w:r>
          </w:p>
        </w:tc>
      </w:tr>
      <w:tr>
        <w:tc>
          <w:tcPr>
            <w:tcW w:type="dxa" w:w="16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Quarterly</w:t>
            </w:r>
          </w:p>
        </w:tc>
        <w:tc>
          <w:tcPr>
            <w:tcW w:type="dxa" w:w="3000"/>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Full metric review + business impact calculation</w:t>
            </w:r>
          </w:p>
        </w:tc>
        <w:tc>
          <w:tcPr>
            <w:tcW w:type="dxa" w:w="4306"/>
            <w:shd w:fill="F5F5F5" w:val="clear"/>
            <w:tcMar>
              <w:top w:type="dxa" w:w="80"/>
              <w:left w:type="dxa" w:w="120"/>
              <w:bottom w:type="dxa" w:w="80"/>
              <w:right w:type="dxa" w:w="120"/>
            </w:tcMar>
            <w:vAlign w:val="center"/>
          </w:tcPr>
          <w:p>
            <w:pPr>
              <w:spacing w:after="80" w:before="80"/>
              <w:jc w:val="left"/>
            </w:pPr>
            <w:r>
              <w:rPr>
                <w:b w:val="false"/>
                <w:bCs w:val="false"/>
                <w:color w:val="1A1A2E"/>
                <w:sz w:val="18"/>
                <w:szCs w:val="18"/>
              </w:rPr>
              <w:t xml:space="preserve">Reassess targets; present savings to IT leadership / CIO</w:t>
            </w:r>
          </w:p>
        </w:tc>
      </w:tr>
    </w:tbl>
    <w:p>
      <w:pPr>
        <w:pBdr>
          <w:bottom w:val="single" w:color="E45011" w:sz="6"/>
        </w:pBdr>
        <w:spacing w:after="160" w:before="160"/>
      </w:pPr>
      <w:r>
        <w:t xml:space="preserve"/>
      </w:r>
    </w:p>
    <w:p>
      <w:pPr>
        <w:pStyle w:val="Heading1"/>
        <w:spacing w:after="120" w:before="280"/>
      </w:pPr>
      <w:r>
        <w:t xml:space="preserve">10. Immediate Next Steps</w:t>
      </w:r>
      <w:r>
        <w:rPr>
          <w:b/>
          <w:bCs/>
          <w:color w:val="00205B"/>
          <w:sz w:val="32"/>
          <w:szCs w:val="32"/>
        </w:rPr>
        <w:t xml:space="preserve">10. Immediate Next Steps</w:t>
      </w:r>
    </w:p>
    <w:p>
      <w:pPr>
        <w:spacing w:after="40" w:before="40"/>
        <w:ind w:left="360"/>
      </w:pPr>
      <w:r>
        <w:rPr>
          <w:color w:val="1A1A2E"/>
          <w:sz w:val="20"/>
          <w:szCs w:val="20"/>
        </w:rPr>
        <w:t xml:space="preserve">→  Pull current IT Admin reset volume from ServiceNow — establish baseline by identity type</w:t>
      </w:r>
    </w:p>
    <w:p>
      <w:pPr>
        <w:spacing w:after="40" w:before="40"/>
        <w:ind w:left="360"/>
      </w:pPr>
      <w:r>
        <w:rPr>
          <w:color w:val="1A1A2E"/>
          <w:sz w:val="20"/>
          <w:szCs w:val="20"/>
        </w:rPr>
        <w:t xml:space="preserve">→  Pull self-service success/failure rates from MyPassword platform logs</w:t>
      </w:r>
    </w:p>
    <w:p>
      <w:pPr>
        <w:spacing w:after="40" w:before="40"/>
        <w:ind w:left="360"/>
      </w:pPr>
      <w:r>
        <w:rPr>
          <w:color w:val="1A1A2E"/>
          <w:sz w:val="20"/>
          <w:szCs w:val="20"/>
        </w:rPr>
        <w:t xml:space="preserve">→  Validate avg IT handle time per reset with helpdesk team (assumption: 15 mins)</w:t>
      </w:r>
    </w:p>
    <w:p>
      <w:pPr>
        <w:spacing w:after="40" w:before="40"/>
        <w:ind w:left="360"/>
      </w:pPr>
      <w:r>
        <w:rPr>
          <w:color w:val="1A1A2E"/>
          <w:sz w:val="20"/>
          <w:szCs w:val="20"/>
        </w:rPr>
        <w:t xml:space="preserve">→  Set agreed targets with IT leadership before Oct 1 React platform launch</w:t>
      </w:r>
    </w:p>
    <w:p>
      <w:pPr>
        <w:spacing w:after="40" w:before="40"/>
        <w:ind w:left="360"/>
      </w:pPr>
      <w:r>
        <w:rPr>
          <w:color w:val="1A1A2E"/>
          <w:sz w:val="20"/>
          <w:szCs w:val="20"/>
        </w:rPr>
        <w:t xml:space="preserve">→  Establish before/after story: capture all baselines by Sprint 8 (beta gate)</w:t>
      </w:r>
    </w:p>
    <w:p>
      <w:pPr>
        <w:pBdr>
          <w:bottom w:val="single" w:color="E45011" w:sz="6"/>
        </w:pBdr>
        <w:spacing w:after="160" w:before="160"/>
      </w:pPr>
      <w:r>
        <w:t xml:space="preserve"/>
      </w:r>
    </w:p>
    <w:p>
      <w:pPr>
        <w:spacing w:before="200"/>
        <w:jc w:val="center"/>
      </w:pPr>
      <w:r>
        <w:rPr>
          <w:color w:val="999999"/>
          <w:sz w:val="16"/>
          <w:szCs w:val="16"/>
        </w:rPr>
        <w:t xml:space="preserve">MyIAM Programme  |  Airbus India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2026-09-01T13:38:09.592Z</dcterms:created>
  <dcterms:modified xsi:type="dcterms:W3CDTF">2026-09-01T13:38:09.603Z</dcterms:modified>
</cp:coreProperties>
</file>

<file path=docProps/custom.xml><?xml version="1.0" encoding="utf-8"?>
<Properties xmlns="http://schemas.openxmlformats.org/officeDocument/2006/custom-properties" xmlns:vt="http://schemas.openxmlformats.org/officeDocument/2006/docPropsVTypes"/>
</file>