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2、以下各项列举了我国常见气象灾害与其发生地区的对应关系，其中正确的一项是：</w:t>
      </w:r>
    </w:p>
    <w:p>
      <w:r>
        <w:rPr>
          <w:b/>
        </w:rPr>
        <w:t xml:space="preserve">2. </w:t>
      </w:r>
    </w:p>
    <w:p>
      <w:r>
        <w:t>11、天宝三年（744 年），杜甫在洛阳见到了李白，时李白43 岁，杜甫 32 岁。下面是模拟的二人对话：杜甫： “昔日无由得见贤兄，今日一见，幸甚！ ”</w:t>
      </w:r>
    </w:p>
    <w:p>
      <w:r>
        <w:t>李白： “子美兄此言差矣。听闻尊府前些日修饬一番， 自当是华彩焕然，不知能否一临？ ”</w:t>
      </w:r>
    </w:p>
    <w:p>
      <w:r>
        <w:t>杜甫： “兄长过谦了。如能驾临，寒舍自是蓬荜生辉！ ”</w:t>
      </w:r>
    </w:p>
    <w:p>
      <w:r>
        <w:t>以上对话中，用语不当的一项是：</w:t>
      </w:r>
    </w:p>
    <w:p>
      <w:r>
        <w:rPr>
          <w:b/>
        </w:rPr>
        <w:t xml:space="preserve">3. </w:t>
      </w:r>
    </w:p>
    <w:p>
      <w:r>
        <w:t>17、①某运动服装广告里，一位运动员身披五星红旗，站在领奖台上；②某白酒广告出现未成年人说“请勿贪杯 ”后饮酒的情形；③某感冒药广告提到该药品对感冒的治愈高达百分之九十；④某牛奶广告出现描述自己产品是“冠军选择，最佳品质 ”的广告词。①~④中，违反了我国广告法规定的有：</w:t>
      </w:r>
    </w:p>
    <w:p>
      <w:r>
        <w:rPr>
          <w:b/>
        </w:rPr>
        <w:t xml:space="preserve">4. </w:t>
      </w:r>
    </w:p>
    <w:p>
      <w:r>
        <w:t>18、下列关于足球的常识，表述错误的是：</w:t>
      </w:r>
    </w:p>
    <w:p>
      <w:r>
        <w:t>____________________</w:t>
      </w:r>
    </w:p>
    <w:p>
      <w:pPr>
        <w:pStyle w:val="Heading1"/>
      </w:pPr>
      <w:r>
        <w:t>言语</w:t>
      </w:r>
    </w:p>
    <w:p>
      <w:r>
        <w:rPr>
          <w:b/>
        </w:rPr>
        <w:t xml:space="preserve">5. </w:t>
      </w:r>
    </w:p>
    <w:p>
      <w:r>
        <w:t>27.近年来，很多旅游演出的剧院和舞台充满新意和活力：舞台可搭在水面或山腰；座位席可移动、可旋转；观演方式有站着看的，还有走着看的……中国旅游演出舞台技术________，不断探索突破“老套路 ”，走出新模式。一个个新创意、新技术将舞台变得美不胜收，_________地丰富游客的体验，让文化变得可以亲近和触摸。</w:t>
      </w:r>
    </w:p>
    <w:p>
      <w:r>
        <w:t>依次填入划横线部分最恰当的一项是：</w:t>
      </w:r>
    </w:p>
    <w:p>
      <w:r>
        <w:rPr>
          <w:b/>
        </w:rPr>
        <w:t xml:space="preserve">6. </w:t>
      </w:r>
    </w:p>
    <w:p>
      <w:r>
        <w:t>28.“路见危难，伸出援手 ” 日益稀缺，公众又普遍缺乏急救知识的现实语境下，________质疑救人者</w:t>
      </w:r>
    </w:p>
    <w:p>
      <w:r>
        <w:t>的专业能力及救人方式，既会挫伤救人者的积极性，也会让其他人因为救人之外的风险而_________。相比于救治的精确性，保护好人环境的缺失，才是亟待解决的问题。</w:t>
      </w:r>
    </w:p>
    <w:p>
      <w:r>
        <w:t>依次填入画横线部分最恰当的一项是：</w:t>
      </w:r>
    </w:p>
    <w:p>
      <w:r>
        <w:rPr>
          <w:b/>
        </w:rPr>
        <w:t xml:space="preserve">7. </w:t>
      </w:r>
    </w:p>
    <w:p>
      <w:r>
        <w:t>31.20 多年过去，原始创新，集成创新，引进消化吸收再创新，中国迅速缩短了同发达国家在信息领域的差距，成为了拥有国民最多的网络大国，一大批颇具竞争力的网信企业__________,一大批市场需求旺盛的新应用_________，引领着经济的转型升级，也倒逼着治理体系体制机制的改革创新。</w:t>
      </w:r>
    </w:p>
    <w:p>
      <w:r>
        <w:t>依次填入画横线部分最恰当的一项是：</w:t>
      </w:r>
    </w:p>
    <w:p>
      <w:r>
        <w:rPr>
          <w:b/>
        </w:rPr>
        <w:t xml:space="preserve">8. </w:t>
      </w:r>
    </w:p>
    <w:p>
      <w:r>
        <w:t>35.当年刘邦入咸阳，“缓刑弛禁，以慰其望 ”，采取的是“有所不为 ”。后刘备入蜀，诸葛亮则“威之以法 ”“ 限之以爵 ”，采取的是“有所为 ”。“为 ”与“不为 ”_________，都深得人心，实现大治。原因就在于________：秦朝苛政，百姓苦不堪言，不为而治，顺应人民的意愿；而蜀中刘璋长期暗弱，豪强专权自恣，必须严刑峻法。</w:t>
      </w:r>
    </w:p>
    <w:p>
      <w:r>
        <w:t>依次填入划横线处最恰当的一项是：</w:t>
      </w:r>
    </w:p>
    <w:p>
      <w:r>
        <w:rPr>
          <w:b/>
        </w:rPr>
        <w:t xml:space="preserve">9.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r>
        <w:rPr>
          <w:b/>
        </w:rPr>
        <w:t xml:space="preserve">10.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11. </w:t>
      </w:r>
    </w:p>
    <w:p>
      <w:r>
        <w:t>49.科学研究起源于哲学，而哲学研究所建立的逻辑化正是科学方法的一个关键内容。在使用哲学的逻</w:t>
      </w:r>
    </w:p>
    <w:p>
      <w:r>
        <w:t>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r>
        <w:t>这段文字意在强调：</w:t>
      </w:r>
    </w:p>
    <w:p>
      <w:r>
        <w:rPr>
          <w:b/>
        </w:rPr>
        <w:t xml:space="preserve">12. </w:t>
      </w:r>
    </w:p>
    <w:p>
      <w:r>
        <w:t>57.填入第②段中划横线部分最恰当的一项是：</w:t>
      </w:r>
    </w:p>
    <w:p>
      <w:r>
        <w:t>____________________</w:t>
      </w:r>
    </w:p>
    <w:p>
      <w:pPr>
        <w:pStyle w:val="Heading1"/>
      </w:pPr>
      <w:r>
        <w:t>数量</w:t>
      </w:r>
    </w:p>
    <w:p>
      <w:r>
        <w:rPr>
          <w:b/>
        </w:rPr>
        <w:t xml:space="preserve">13. </w:t>
      </w:r>
    </w:p>
    <w:p>
      <w:r>
        <w:t>64.一位学生在距离热气球 100 米处观看它起飞。在热气球起飞后，学生注意到热气球顶部从他的仰角30 °上升到45 ° , 再从45 °上升到60 ° 的位置分别用了 11秒和 17 秒。则前后两段时间热气球平均上升速度的比值约为：</w:t>
      </w:r>
    </w:p>
    <w:p>
      <w:r>
        <w:rPr>
          <w:b/>
        </w:rPr>
        <w:t xml:space="preserve">14. </w:t>
      </w:r>
    </w:p>
    <w:p>
      <w:r>
        <w:t>67.调酒师调配鸡尾酒，先在调酒杯中倒入 120 毫升柠檬汁，再用伏特加补满，摇匀后倒出 80 毫升混合液备用，再往杯中加满番茄汁并摇匀，一杯鸡尾酒就调好了。若此时鸡尾酒中伏特加的比例是 24%，问调酒杯的容量是多少毫升？</w:t>
      </w:r>
    </w:p>
    <w:p>
      <w:r>
        <w:rPr>
          <w:b/>
        </w:rPr>
        <w:t xml:space="preserve">15.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t>____________________</w:t>
      </w:r>
    </w:p>
    <w:p>
      <w:pPr>
        <w:pStyle w:val="Heading1"/>
      </w:pPr>
      <w:r>
        <w:t>判断</w:t>
      </w:r>
    </w:p>
    <w:p>
      <w:r>
        <w:rPr>
          <w:b/>
        </w:rPr>
        <w:t xml:space="preserve">16.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r>
        <w:rPr>
          <w:b/>
        </w:rPr>
        <w:t xml:space="preserve">17. </w:t>
      </w:r>
    </w:p>
    <w:p>
      <w:r>
        <w:t>92.直线交叉 ︰ 直线不平行</w:t>
      </w:r>
    </w:p>
    <w:p>
      <w:r>
        <w:rPr>
          <w:b/>
        </w:rPr>
        <w:t xml:space="preserve">18. </w:t>
      </w:r>
    </w:p>
    <w:p>
      <w:r>
        <w:t>98.莲蓬   对于   （      ）相当于（      ）   对于   葛根</w:t>
      </w:r>
    </w:p>
    <w:p>
      <w:r>
        <w:t>____________________</w:t>
      </w:r>
    </w:p>
    <w:p>
      <w:pPr>
        <w:pStyle w:val="Heading1"/>
      </w:pPr>
      <w:r>
        <w:t>资料</w:t>
      </w:r>
    </w:p>
    <w:p>
      <w:r>
        <w:t>【资料】</w:t>
      </w:r>
    </w:p>
    <w:p>
      <w:r>
        <w:t>二、根据所给材料，回答下列题目。</w:t>
      </w:r>
    </w:p>
    <w:p>
      <w:r>
        <w:t>某机械加工企业下设四个生产车间生产加工同种类型和型号的产品，并以人均产量评价劳动生产率。</w:t>
      </w:r>
    </w:p>
    <w:p>
      <w:r>
        <w:drawing>
          <wp:inline xmlns:a="http://schemas.openxmlformats.org/drawingml/2006/main" xmlns:pic="http://schemas.openxmlformats.org/drawingml/2006/picture">
            <wp:extent cx="3657600" cy="994770"/>
            <wp:docPr id="1" name="Picture 1"/>
            <wp:cNvGraphicFramePr>
              <a:graphicFrameLocks noChangeAspect="1"/>
            </wp:cNvGraphicFramePr>
            <a:graphic>
              <a:graphicData uri="http://schemas.openxmlformats.org/drawingml/2006/picture">
                <pic:pic>
                  <pic:nvPicPr>
                    <pic:cNvPr id="0" name="5f1aba03d3124d9bb5d937c440818654.jpg"/>
                    <pic:cNvPicPr/>
                  </pic:nvPicPr>
                  <pic:blipFill>
                    <a:blip r:embed="rId9"/>
                    <a:stretch>
                      <a:fillRect/>
                    </a:stretch>
                  </pic:blipFill>
                  <pic:spPr>
                    <a:xfrm>
                      <a:off x="0" y="0"/>
                      <a:ext cx="3657600" cy="994770"/>
                    </a:xfrm>
                    <a:prstGeom prst="rect"/>
                  </pic:spPr>
                </pic:pic>
              </a:graphicData>
            </a:graphic>
          </wp:inline>
        </w:drawing>
      </w:r>
    </w:p>
    <w:p>
      <w:r>
        <w:rPr>
          <w:b/>
        </w:rPr>
        <w:t xml:space="preserve">19. </w:t>
      </w:r>
    </w:p>
    <w:p>
      <w:r>
        <w:t>119.同车间中，初级工较高级工劳动率差距最小的是：</w:t>
      </w:r>
    </w:p>
    <w:p>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2" name="Picture 2"/>
            <wp:cNvGraphicFramePr>
              <a:graphicFrameLocks noChangeAspect="1"/>
            </wp:cNvGraphicFramePr>
            <a:graphic>
              <a:graphicData uri="http://schemas.openxmlformats.org/drawingml/2006/picture">
                <pic:pic>
                  <pic:nvPicPr>
                    <pic:cNvPr id="0" name="157eaa8170ee4eafa946c14c9ad40fa2.jpg"/>
                    <pic:cNvPicPr/>
                  </pic:nvPicPr>
                  <pic:blipFill>
                    <a:blip r:embed="rId10"/>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3" name="Picture 3"/>
            <wp:cNvGraphicFramePr>
              <a:graphicFrameLocks noChangeAspect="1"/>
            </wp:cNvGraphicFramePr>
            <a:graphic>
              <a:graphicData uri="http://schemas.openxmlformats.org/drawingml/2006/picture">
                <pic:pic>
                  <pic:nvPicPr>
                    <pic:cNvPr id="0" name="82bb82f923dd4e6db66e6ce6efedffc8.jpg"/>
                    <pic:cNvPicPr/>
                  </pic:nvPicPr>
                  <pic:blipFill>
                    <a:blip r:embed="rId11"/>
                    <a:stretch>
                      <a:fillRect/>
                    </a:stretch>
                  </pic:blipFill>
                  <pic:spPr>
                    <a:xfrm>
                      <a:off x="0" y="0"/>
                      <a:ext cx="3657600" cy="2774525"/>
                    </a:xfrm>
                    <a:prstGeom prst="rect"/>
                  </pic:spPr>
                </pic:pic>
              </a:graphicData>
            </a:graphic>
          </wp:inline>
        </w:drawing>
      </w:r>
    </w:p>
    <w:p>
      <w:r>
        <w:rPr>
          <w:b/>
        </w:rPr>
        <w:t xml:space="preserve">20. </w:t>
      </w:r>
    </w:p>
    <w:p>
      <w:r>
        <w:t>125 已列职业中，在第三季度 CIER 指数不低于 1.5 的个数为：</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