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CONFIDENTIALITY DEED</w:t>
      </w:r>
    </w:p>
    <w:p>
      <w:pPr>
        <w:pStyle w:val="Heading1"/>
      </w:pPr>
      <w:r>
        <w:t xml:space="preserve">PARTIES</w:t>
      </w:r>
    </w:p>
    <w:p>
      <w:r>
        <w:rPr>
          <w:b/>
          <w:bCs/>
        </w:rPr>
        <w:t xml:space="preserve">{{disclosingParty}}</w:t>
      </w:r>
      <w:r>
        <w:t xml:space="preserve"> (ACN {{disclosingPartyACN}}) of {{disclosingPartyAddress}} (</w:t>
      </w:r>
      <w:r>
        <w:rPr>
          <w:b/>
          <w:bCs/>
        </w:rPr>
        <w:t xml:space="preserve">First Party</w:t>
      </w:r>
      <w:r>
        <w:t xml:space="preserve">)</w:t>
      </w:r>
    </w:p>
    <w:p>
      <w:r>
        <w:rPr>
          <w:b/>
          <w:bCs/>
        </w:rPr>
        <w:t xml:space="preserve">{{receivingParty}}</w:t>
      </w:r>
      <w:r>
        <w:t xml:space="preserve"> (ACN/ABN {{receivingPartyACN}}) of {{receivingPartyAddress}} (</w:t>
      </w:r>
      <w:r>
        <w:rPr>
          <w:b/>
          <w:bCs/>
        </w:rPr>
        <w:t xml:space="preserve">Second Party</w:t>
      </w:r>
      <w:r>
        <w:t xml:space="preserve">)</w:t>
      </w:r>
    </w:p>
    <w:p>
      <w:r>
        <w:t xml:space="preserve">(each a </w:t>
      </w:r>
      <w:r>
        <w:rPr>
          <w:b/>
          <w:bCs/>
        </w:rPr>
        <w:t xml:space="preserve">Party</w:t>
      </w:r>
      <w:r>
        <w:t xml:space="preserve"> and together the </w:t>
      </w:r>
      <w:r>
        <w:rPr>
          <w:b/>
          <w:bCs/>
        </w:rPr>
        <w:t xml:space="preserve">Parties</w:t>
      </w:r>
      <w:r>
        <w:t xml:space="preserve">)</w:t>
      </w:r>
    </w:p>
    <w:p>
      <w:pPr>
        <w:pStyle w:val="Heading1"/>
      </w:pPr>
      <w:r>
        <w:t xml:space="preserve">BACKGROUND</w:t>
      </w:r>
    </w:p>
    <w:p>
      <w:r>
        <w:t xml:space="preserve">A. The Parties are considering entering into discussions or negotiations in relation to the Purpose.</w:t>
      </w:r>
    </w:p>
    <w:p>
      <w:r>
        <w:t xml:space="preserve">B. In connection with those discussions, each Party may disclose Confidential Information to the other Party.</w:t>
      </w:r>
    </w:p>
    <w:p>
      <w:r>
        <w:t xml:space="preserve">C. The Parties have agreed to keep confidential any Confidential Information disclosed under this Deed.</w:t>
      </w:r>
    </w:p>
    <w:p>
      <w:pPr>
        <w:pStyle w:val="Heading1"/>
      </w:pPr>
      <w:r>
        <w:t xml:space="preserve">AGREED TERMS</w:t>
      </w:r>
    </w:p>
    <w:p>
      <w:pPr>
        <w:pStyle w:val="Heading1"/>
      </w:pPr>
      <w:r>
        <w:t xml:space="preserve">1. DEFINITIONS AND INTERPRETATION</w:t>
      </w:r>
    </w:p>
    <w:p>
      <w:pPr>
        <w:pStyle w:val="Heading2"/>
      </w:pPr>
      <w:r>
        <w:t xml:space="preserve">1.1 Definitions</w:t>
      </w:r>
    </w:p>
    <w:p>
      <w:r>
        <w:t xml:space="preserve">In this Deed:</w:t>
      </w:r>
    </w:p>
    <w:p>
      <w:r>
        <w:rPr>
          <w:b/>
          <w:bCs/>
        </w:rPr>
        <w:t xml:space="preserve">Affiliate</w:t>
      </w:r>
      <w:r>
        <w:t xml:space="preserve"> means, in relation to a Party, any entity that directly or indirectly Controls, is Controlled by, or is under common Control with that Party.</w:t>
      </w:r>
    </w:p>
    <w:p>
      <w:r>
        <w:rPr>
          <w:b/>
          <w:bCs/>
        </w:rPr>
        <w:t xml:space="preserve">Authorised Person</w:t>
      </w:r>
      <w:r>
        <w:t xml:space="preserve"> means, in relation to a Party:</w:t>
      </w:r>
    </w:p>
    <w:p>
      <w:pPr>
        <w:pStyle w:val="ListParagraph"/>
        <w:numPr>
          <w:ilvl w:val="0"/>
          <w:numId w:val="2"/>
        </w:numPr>
      </w:pPr>
      <w:r>
        <w:t xml:space="preserve">that Party's directors, officers, employees and professional advisers;</w:t>
      </w:r>
    </w:p>
    <w:p>
      <w:pPr>
        <w:pStyle w:val="ListParagraph"/>
        <w:numPr>
          <w:ilvl w:val="0"/>
          <w:numId w:val="2"/>
        </w:numPr>
      </w:pPr>
      <w:r>
        <w:t xml:space="preserve">that Party's Affiliates and their directors, officers, employees and professional advisers,</w:t>
      </w:r>
    </w:p>
    <w:p>
      <w:r>
        <w:t xml:space="preserve">who have a need to know the Confidential Information for the Purpose and who are bound by confidentiality obligations no less onerous than those in this Deed.</w:t>
      </w:r>
    </w:p>
    <w:p>
      <w:r>
        <w:rPr>
          <w:b/>
          <w:bCs/>
        </w:rPr>
        <w:t xml:space="preserve">Business Day</w:t>
      </w:r>
      <w:r>
        <w:t xml:space="preserve"> means a day on which banks are open for business in {{jurisdictionState}}, excluding Saturdays, Sundays, and public holidays.</w:t>
      </w:r>
    </w:p>
    <w:p>
      <w:r>
        <w:rPr>
          <w:b/>
          <w:bCs/>
        </w:rPr>
        <w:t xml:space="preserve">Confidential Information</w:t>
      </w:r>
      <w:r>
        <w:t xml:space="preserve"> means all information (whether in written, oral, electronic, visual or any other form) disclosed by or on behalf of a Disclosing Party to a Receiving Party that:</w:t>
      </w:r>
    </w:p>
    <w:p>
      <w:pPr>
        <w:pStyle w:val="ListParagraph"/>
        <w:numPr>
          <w:ilvl w:val="0"/>
          <w:numId w:val="3"/>
        </w:numPr>
      </w:pPr>
      <w:r>
        <w:t xml:space="preserve">is designated as confidential at the time of disclosure;</w:t>
      </w:r>
    </w:p>
    <w:p>
      <w:pPr>
        <w:pStyle w:val="ListParagraph"/>
        <w:numPr>
          <w:ilvl w:val="0"/>
          <w:numId w:val="3"/>
        </w:numPr>
      </w:pPr>
      <w:r>
        <w:t xml:space="preserve">by its nature would reasonably be expected to be confidential; or</w:t>
      </w:r>
    </w:p>
    <w:p>
      <w:pPr>
        <w:pStyle w:val="ListParagraph"/>
        <w:numPr>
          <w:ilvl w:val="0"/>
          <w:numId w:val="3"/>
        </w:numPr>
      </w:pPr>
      <w:r>
        <w:t xml:space="preserve">relates to the business, operations, finances, strategies, clients, suppliers, employees, technology, intellectual property, trade secrets, or affairs of the Disclosing Party or its Affiliates,</w:t>
      </w:r>
    </w:p>
    <w:p>
      <w:r>
        <w:t xml:space="preserve">and includes:</w:t>
      </w:r>
    </w:p>
    <w:p>
      <w:pPr>
        <w:pStyle w:val="ListParagraph"/>
        <w:numPr>
          <w:ilvl w:val="0"/>
          <w:numId w:val="4"/>
        </w:numPr>
      </w:pPr>
      <w:r>
        <w:t xml:space="preserve">the existence and terms of this Deed;</w:t>
      </w:r>
    </w:p>
    <w:p>
      <w:pPr>
        <w:pStyle w:val="ListParagraph"/>
        <w:numPr>
          <w:ilvl w:val="0"/>
          <w:numId w:val="4"/>
        </w:numPr>
      </w:pPr>
      <w:r>
        <w:t xml:space="preserve">the fact that discussions are taking place in relation to the Purpose;</w:t>
      </w:r>
    </w:p>
    <w:p>
      <w:pPr>
        <w:pStyle w:val="ListParagraph"/>
        <w:numPr>
          <w:ilvl w:val="0"/>
          <w:numId w:val="4"/>
        </w:numPr>
      </w:pPr>
      <w:r>
        <w:t xml:space="preserve">all analyses, compilations, notes, studies or other documents prepared by the Receiving Party that contain or reflect Confidential Information.</w:t>
      </w:r>
    </w:p>
    <w:p>
      <w:r>
        <w:rPr>
          <w:b/>
          <w:bCs/>
        </w:rPr>
        <w:t xml:space="preserve">Control</w:t>
      </w:r>
      <w:r>
        <w:t xml:space="preserve"> means the ability to direct the management and policies of an entity, whether through ownership of voting securities, by contract, or otherwise.</w:t>
      </w:r>
    </w:p>
    <w:p>
      <w:r>
        <w:rPr>
          <w:b/>
          <w:bCs/>
        </w:rPr>
        <w:t xml:space="preserve">Corporations Act</w:t>
      </w:r>
      <w:r>
        <w:t xml:space="preserve"> means the Corporations Act 2001 (Cth).</w:t>
      </w:r>
    </w:p>
    <w:p>
      <w:r>
        <w:rPr>
          <w:b/>
          <w:bCs/>
        </w:rPr>
        <w:t xml:space="preserve">Disclosing Party</w:t>
      </w:r>
      <w:r>
        <w:t xml:space="preserve"> means the Party disclosing Confidential Information.</w:t>
      </w:r>
    </w:p>
    <w:p>
      <w:r>
        <w:rPr>
          <w:b/>
          <w:bCs/>
        </w:rPr>
        <w:t xml:space="preserve">Purpose</w:t>
      </w:r>
      <w:r>
        <w:t xml:space="preserve"> means {{purpose}}.</w:t>
      </w:r>
    </w:p>
    <w:p>
      <w:r>
        <w:rPr>
          <w:b/>
          <w:bCs/>
        </w:rPr>
        <w:t xml:space="preserve">Receiving Party</w:t>
      </w:r>
      <w:r>
        <w:t xml:space="preserve"> means the Party receiving Confidential Information.</w:t>
      </w:r>
    </w:p>
    <w:p>
      <w:pPr>
        <w:pStyle w:val="Heading2"/>
      </w:pPr>
      <w:r>
        <w:t xml:space="preserve">1.2 Interpretation</w:t>
      </w:r>
    </w:p>
    <w:p>
      <w:r>
        <w:t xml:space="preserve">In this Deed:</w:t>
      </w:r>
    </w:p>
    <w:p>
      <w:pPr>
        <w:pStyle w:val="ListParagraph"/>
        <w:numPr>
          <w:ilvl w:val="0"/>
          <w:numId w:val="5"/>
        </w:numPr>
      </w:pPr>
      <w:r>
        <w:t xml:space="preserve">headings are for convenience only and do not affect interpretation;</w:t>
      </w:r>
    </w:p>
    <w:p>
      <w:pPr>
        <w:pStyle w:val="ListParagraph"/>
        <w:numPr>
          <w:ilvl w:val="0"/>
          <w:numId w:val="5"/>
        </w:numPr>
      </w:pPr>
      <w:r>
        <w:t xml:space="preserve">the singular includes the plural and vice versa;</w:t>
      </w:r>
    </w:p>
    <w:p>
      <w:pPr>
        <w:pStyle w:val="ListParagraph"/>
        <w:numPr>
          <w:ilvl w:val="0"/>
          <w:numId w:val="5"/>
        </w:numPr>
      </w:pPr>
      <w:r>
        <w:t xml:space="preserve">a reference to legislation includes subordinate legislation and amendments;</w:t>
      </w:r>
    </w:p>
    <w:p>
      <w:pPr>
        <w:pStyle w:val="ListParagraph"/>
        <w:numPr>
          <w:ilvl w:val="0"/>
          <w:numId w:val="5"/>
        </w:numPr>
      </w:pPr>
      <w:r>
        <w:t xml:space="preserve">a reference to a Party includes its successors and permitted assigns;</w:t>
      </w:r>
    </w:p>
    <w:p>
      <w:pPr>
        <w:pStyle w:val="ListParagraph"/>
        <w:numPr>
          <w:ilvl w:val="0"/>
          <w:numId w:val="5"/>
        </w:numPr>
      </w:pPr>
      <w:r>
        <w:rPr>
          <w:i/>
          <w:iCs/>
        </w:rPr>
        <w:t xml:space="preserve">includes</w:t>
      </w:r>
      <w:r>
        <w:t xml:space="preserve"> and </w:t>
      </w:r>
      <w:r>
        <w:rPr>
          <w:i/>
          <w:iCs/>
        </w:rPr>
        <w:t xml:space="preserve">including</w:t>
      </w:r>
      <w:r>
        <w:t xml:space="preserve"> are not words of limitation.</w:t>
      </w:r>
    </w:p>
    <w:p>
      <w:pPr>
        <w:pStyle w:val="Heading1"/>
      </w:pPr>
      <w:r>
        <w:t xml:space="preserve">2. CONFIDENTIALITY OBLIGATIONS</w:t>
      </w:r>
    </w:p>
    <w:p>
      <w:pPr>
        <w:pStyle w:val="Heading2"/>
      </w:pPr>
      <w:r>
        <w:t xml:space="preserve">2.1 Non-Disclosure</w:t>
      </w:r>
    </w:p>
    <w:p>
      <w:r>
        <w:t xml:space="preserve">The Receiving Party must:</w:t>
      </w:r>
    </w:p>
    <w:p>
      <w:pPr>
        <w:pStyle w:val="ListParagraph"/>
        <w:numPr>
          <w:ilvl w:val="0"/>
          <w:numId w:val="6"/>
        </w:numPr>
      </w:pPr>
      <w:r>
        <w:t xml:space="preserve">keep the Confidential Information strictly confidential;</w:t>
      </w:r>
    </w:p>
    <w:p>
      <w:pPr>
        <w:pStyle w:val="ListParagraph"/>
        <w:numPr>
          <w:ilvl w:val="0"/>
          <w:numId w:val="6"/>
        </w:numPr>
      </w:pPr>
      <w:r>
        <w:t xml:space="preserve">not disclose the Confidential Information to any person except as permitted by this Deed;</w:t>
      </w:r>
    </w:p>
    <w:p>
      <w:pPr>
        <w:pStyle w:val="ListParagraph"/>
        <w:numPr>
          <w:ilvl w:val="0"/>
          <w:numId w:val="6"/>
        </w:numPr>
      </w:pPr>
      <w:r>
        <w:t xml:space="preserve">use the Confidential Information only for the Purpose;</w:t>
      </w:r>
    </w:p>
    <w:p>
      <w:pPr>
        <w:pStyle w:val="ListParagraph"/>
        <w:numPr>
          <w:ilvl w:val="0"/>
          <w:numId w:val="6"/>
        </w:numPr>
      </w:pPr>
      <w:r>
        <w:t xml:space="preserve">not copy or reproduce the Confidential Information except as reasonably necessary for the Purpose.</w:t>
      </w:r>
    </w:p>
    <w:p>
      <w:pPr>
        <w:pStyle w:val="Heading2"/>
      </w:pPr>
      <w:r>
        <w:t xml:space="preserve">2.2 Permitted Disclosure</w:t>
      </w:r>
    </w:p>
    <w:p>
      <w:r>
        <w:t xml:space="preserve">The Receiving Party may disclose Confidential Information:</w:t>
      </w:r>
    </w:p>
    <w:p>
      <w:pPr>
        <w:pStyle w:val="ListParagraph"/>
        <w:numPr>
          <w:ilvl w:val="0"/>
          <w:numId w:val="7"/>
        </w:numPr>
      </w:pPr>
      <w:r>
        <w:t xml:space="preserve">to its Authorised Persons who have a need to know for the Purpose;</w:t>
      </w:r>
    </w:p>
    <w:p>
      <w:pPr>
        <w:pStyle w:val="ListParagraph"/>
        <w:numPr>
          <w:ilvl w:val="0"/>
          <w:numId w:val="7"/>
        </w:numPr>
      </w:pPr>
      <w:r>
        <w:t xml:space="preserve">with the prior written consent of the Disclosing Party;</w:t>
      </w:r>
    </w:p>
    <w:p>
      <w:pPr>
        <w:pStyle w:val="ListParagraph"/>
        <w:numPr>
          <w:ilvl w:val="0"/>
          <w:numId w:val="7"/>
        </w:numPr>
      </w:pPr>
      <w:r>
        <w:t xml:space="preserve">to the extent required by law, regulation, or court order, provided the Receiving Party (where lawfully permitted):</w:t>
      </w:r>
    </w:p>
    <w:p>
      <w:pPr>
        <w:pStyle w:val="ListParagraph"/>
        <w:numPr>
          <w:ilvl w:val="0"/>
          <w:numId w:val="8"/>
        </w:numPr>
      </w:pPr>
      <w:r>
        <w:t xml:space="preserve">promptly notifies the Disclosing Party of the requirement;</w:t>
      </w:r>
    </w:p>
    <w:p>
      <w:pPr>
        <w:pStyle w:val="ListParagraph"/>
        <w:numPr>
          <w:ilvl w:val="0"/>
          <w:numId w:val="8"/>
        </w:numPr>
      </w:pPr>
      <w:r>
        <w:t xml:space="preserve">consults with the Disclosing Party regarding the disclosure;</w:t>
      </w:r>
    </w:p>
    <w:p>
      <w:pPr>
        <w:pStyle w:val="ListParagraph"/>
        <w:numPr>
          <w:ilvl w:val="0"/>
          <w:numId w:val="8"/>
        </w:numPr>
      </w:pPr>
      <w:r>
        <w:t xml:space="preserve">takes reasonable steps to resist or narrow the scope of disclosure;</w:t>
      </w:r>
    </w:p>
    <w:p>
      <w:pPr>
        <w:pStyle w:val="ListParagraph"/>
        <w:numPr>
          <w:ilvl w:val="0"/>
          <w:numId w:val="8"/>
        </w:numPr>
      </w:pPr>
      <w:r>
        <w:t xml:space="preserve">discloses only the minimum information required.</w:t>
      </w:r>
    </w:p>
    <w:p>
      <w:pPr>
        <w:pStyle w:val="Heading2"/>
      </w:pPr>
      <w:r>
        <w:t xml:space="preserve">2.3 Responsibility for Authorised Persons</w:t>
      </w:r>
    </w:p>
    <w:p>
      <w:r>
        <w:t xml:space="preserve">The Receiving Party:</w:t>
      </w:r>
    </w:p>
    <w:p>
      <w:pPr>
        <w:pStyle w:val="ListParagraph"/>
        <w:numPr>
          <w:ilvl w:val="0"/>
          <w:numId w:val="9"/>
        </w:numPr>
      </w:pPr>
      <w:r>
        <w:t xml:space="preserve">must ensure each Authorised Person complies with the confidentiality obligations as if bound by this Deed;</w:t>
      </w:r>
    </w:p>
    <w:p>
      <w:pPr>
        <w:pStyle w:val="ListParagraph"/>
        <w:numPr>
          <w:ilvl w:val="0"/>
          <w:numId w:val="9"/>
        </w:numPr>
      </w:pPr>
      <w:r>
        <w:t xml:space="preserve">is liable for any breach by an Authorised Person as if the breach were by the Receiving Party.</w:t>
      </w:r>
    </w:p>
    <w:p>
      <w:pPr>
        <w:pStyle w:val="Heading1"/>
      </w:pPr>
      <w:r>
        <w:t xml:space="preserve">3. SECURITY MEASURES</w:t>
      </w:r>
    </w:p>
    <w:p>
      <w:pPr>
        <w:pStyle w:val="Heading2"/>
      </w:pPr>
      <w:r>
        <w:t xml:space="preserve">3.1 Protection of Information</w:t>
      </w:r>
    </w:p>
    <w:p>
      <w:r>
        <w:t xml:space="preserve">The Receiving Party must:</w:t>
      </w:r>
    </w:p>
    <w:p>
      <w:pPr>
        <w:pStyle w:val="ListParagraph"/>
        <w:numPr>
          <w:ilvl w:val="0"/>
          <w:numId w:val="10"/>
        </w:numPr>
      </w:pPr>
      <w:r>
        <w:t xml:space="preserve">protect the Confidential Information using the same degree of care it uses for its own confidential information of a similar nature, but in any event no less than reasonable care;</w:t>
      </w:r>
    </w:p>
    <w:p>
      <w:pPr>
        <w:pStyle w:val="ListParagraph"/>
        <w:numPr>
          <w:ilvl w:val="0"/>
          <w:numId w:val="10"/>
        </w:numPr>
      </w:pPr>
      <w:r>
        <w:t xml:space="preserve">implement and maintain appropriate technical and organisational measures to prevent unauthorised access, use, disclosure, modification or destruction;</w:t>
      </w:r>
    </w:p>
    <w:p>
      <w:pPr>
        <w:pStyle w:val="ListParagraph"/>
        <w:numPr>
          <w:ilvl w:val="0"/>
          <w:numId w:val="10"/>
        </w:numPr>
      </w:pPr>
      <w:r>
        <w:t xml:space="preserve">restrict access to Confidential Information to those Authorised Persons who have a need to know;</w:t>
      </w:r>
    </w:p>
    <w:p>
      <w:pPr>
        <w:pStyle w:val="ListParagraph"/>
        <w:numPr>
          <w:ilvl w:val="0"/>
          <w:numId w:val="10"/>
        </w:numPr>
      </w:pPr>
      <w:r>
        <w:t xml:space="preserve">promptly notify the Disclosing Party of any actual or suspected unauthorised access, use or disclosure.</w:t>
      </w:r>
    </w:p>
    <w:p>
      <w:pPr>
        <w:pStyle w:val="Heading1"/>
      </w:pPr>
      <w:r>
        <w:t xml:space="preserve">4. EXCEPTIONS</w:t>
      </w:r>
    </w:p>
    <w:p>
      <w:pPr>
        <w:pStyle w:val="Heading2"/>
      </w:pPr>
      <w:r>
        <w:t xml:space="preserve">4.1 Exclusions from Confidential Information</w:t>
      </w:r>
    </w:p>
    <w:p>
      <w:r>
        <w:t xml:space="preserve">The confidentiality obligations do not apply to information that:</w:t>
      </w:r>
    </w:p>
    <w:p>
      <w:pPr>
        <w:pStyle w:val="ListParagraph"/>
        <w:numPr>
          <w:ilvl w:val="0"/>
          <w:numId w:val="11"/>
        </w:numPr>
      </w:pPr>
      <w:r>
        <w:t xml:space="preserve">is or becomes publicly available through no fault of the Receiving Party;</w:t>
      </w:r>
    </w:p>
    <w:p>
      <w:pPr>
        <w:pStyle w:val="ListParagraph"/>
        <w:numPr>
          <w:ilvl w:val="0"/>
          <w:numId w:val="11"/>
        </w:numPr>
      </w:pPr>
      <w:r>
        <w:t xml:space="preserve">was rightfully in the Receiving Party's possession before disclosure, as evidenced by written records;</w:t>
      </w:r>
    </w:p>
    <w:p>
      <w:pPr>
        <w:pStyle w:val="ListParagraph"/>
        <w:numPr>
          <w:ilvl w:val="0"/>
          <w:numId w:val="11"/>
        </w:numPr>
      </w:pPr>
      <w:r>
        <w:t xml:space="preserve">is independently developed by the Receiving Party without use of Confidential Information;</w:t>
      </w:r>
    </w:p>
    <w:p>
      <w:pPr>
        <w:pStyle w:val="ListParagraph"/>
        <w:numPr>
          <w:ilvl w:val="0"/>
          <w:numId w:val="11"/>
        </w:numPr>
      </w:pPr>
      <w:r>
        <w:t xml:space="preserve">is rightfully obtained from a third party without restriction on disclosure.</w:t>
      </w:r>
    </w:p>
    <w:p>
      <w:pPr>
        <w:pStyle w:val="Heading2"/>
      </w:pPr>
      <w:r>
        <w:t xml:space="preserve">4.2 Residual Knowledge</w:t>
      </w:r>
    </w:p>
    <w:p>
      <w:r>
        <w:t xml:space="preserve">Nothing in this Deed restricts a Party's use of general ideas, concepts, know-how, methodologies, or techniques that are retained in the unaided memory of its Authorised Persons who have had access to Confidential Information, provided that:</w:t>
      </w:r>
    </w:p>
    <w:p>
      <w:pPr>
        <w:pStyle w:val="ListParagraph"/>
        <w:numPr>
          <w:ilvl w:val="0"/>
          <w:numId w:val="12"/>
        </w:numPr>
      </w:pPr>
      <w:r>
        <w:t xml:space="preserve">such use does not involve the reproduction or disclosure of Confidential Information in tangible or electronic form;</w:t>
      </w:r>
    </w:p>
    <w:p>
      <w:pPr>
        <w:pStyle w:val="ListParagraph"/>
        <w:numPr>
          <w:ilvl w:val="0"/>
          <w:numId w:val="12"/>
        </w:numPr>
      </w:pPr>
      <w:r>
        <w:t xml:space="preserve">such use does not breach any intellectual property rights of the Disclosing Party; and</w:t>
      </w:r>
    </w:p>
    <w:p>
      <w:pPr>
        <w:pStyle w:val="ListParagraph"/>
        <w:numPr>
          <w:ilvl w:val="0"/>
          <w:numId w:val="12"/>
        </w:numPr>
      </w:pPr>
      <w:r>
        <w:t xml:space="preserve">the Receiving Party has not intentionally memorised Confidential Information for the purpose of circumventing its obligations under this Deed.</w:t>
      </w:r>
    </w:p>
    <w:p>
      <w:pPr>
        <w:pStyle w:val="Heading2"/>
      </w:pPr>
      <w:r>
        <w:t xml:space="preserve">4.3 Burden of Proof</w:t>
      </w:r>
    </w:p>
    <w:p>
      <w:r>
        <w:t xml:space="preserve">The Receiving Party bears the burden of proving that an exception in clause 4.1 or 4.2 applies.</w:t>
      </w:r>
    </w:p>
    <w:p>
      <w:pPr>
        <w:pStyle w:val="Heading1"/>
      </w:pPr>
      <w:r>
        <w:t xml:space="preserve">5. NO LICENCE OR REPRESENTATION</w:t>
      </w:r>
    </w:p>
    <w:p>
      <w:pPr>
        <w:pStyle w:val="Heading2"/>
      </w:pPr>
      <w:r>
        <w:t xml:space="preserve">5.1 No Licence</w:t>
      </w:r>
    </w:p>
    <w:p>
      <w:r>
        <w:t xml:space="preserve">Nothing in this Deed grants the Receiving Party any licence or right to use any intellectual property of the Disclosing Party.</w:t>
      </w:r>
    </w:p>
    <w:p>
      <w:pPr>
        <w:pStyle w:val="Heading2"/>
      </w:pPr>
      <w:r>
        <w:t xml:space="preserve">5.2 No Representation</w:t>
      </w:r>
    </w:p>
    <w:p>
      <w:r>
        <w:t xml:space="preserve">The Disclosing Party makes no representation or warranty as to the accuracy, completeness or fitness for purpose of the Confidential Information.</w:t>
      </w:r>
    </w:p>
    <w:p>
      <w:pPr>
        <w:pStyle w:val="Heading2"/>
      </w:pPr>
      <w:r>
        <w:t xml:space="preserve">5.3 No Obligation to Proceed</w:t>
      </w:r>
    </w:p>
    <w:p>
      <w:r>
        <w:t xml:space="preserve">This Deed does not obligate either Party to:</w:t>
      </w:r>
    </w:p>
    <w:p>
      <w:pPr>
        <w:pStyle w:val="ListParagraph"/>
        <w:numPr>
          <w:ilvl w:val="0"/>
          <w:numId w:val="13"/>
        </w:numPr>
      </w:pPr>
      <w:r>
        <w:t xml:space="preserve">enter into any further agreement;</w:t>
      </w:r>
    </w:p>
    <w:p>
      <w:pPr>
        <w:pStyle w:val="ListParagraph"/>
        <w:numPr>
          <w:ilvl w:val="0"/>
          <w:numId w:val="13"/>
        </w:numPr>
      </w:pPr>
      <w:r>
        <w:t xml:space="preserve">proceed with any transaction or relationship; or</w:t>
      </w:r>
    </w:p>
    <w:p>
      <w:pPr>
        <w:pStyle w:val="ListParagraph"/>
        <w:numPr>
          <w:ilvl w:val="0"/>
          <w:numId w:val="13"/>
        </w:numPr>
      </w:pPr>
      <w:r>
        <w:t xml:space="preserve">disclose any particular Confidential Information.</w:t>
      </w:r>
    </w:p>
    <w:p>
      <w:pPr>
        <w:pStyle w:val="Heading1"/>
      </w:pPr>
      <w:r>
        <w:t xml:space="preserve">6. RETURN AND DESTRUCTION</w:t>
      </w:r>
    </w:p>
    <w:p>
      <w:pPr>
        <w:pStyle w:val="Heading2"/>
      </w:pPr>
      <w:r>
        <w:t xml:space="preserve">6.1 Return of Information</w:t>
      </w:r>
    </w:p>
    <w:p>
      <w:r>
        <w:t xml:space="preserve">Upon request by the Disclosing Party or termination of this Deed, the Receiving Party must within {{returnPeriod}} days:</w:t>
      </w:r>
    </w:p>
    <w:p>
      <w:pPr>
        <w:pStyle w:val="ListParagraph"/>
        <w:numPr>
          <w:ilvl w:val="0"/>
          <w:numId w:val="14"/>
        </w:numPr>
      </w:pPr>
      <w:r>
        <w:t xml:space="preserve">return to the Disclosing Party all Confidential Information (including all copies) in tangible form;</w:t>
      </w:r>
    </w:p>
    <w:p>
      <w:pPr>
        <w:pStyle w:val="ListParagraph"/>
        <w:numPr>
          <w:ilvl w:val="0"/>
          <w:numId w:val="14"/>
        </w:numPr>
      </w:pPr>
      <w:r>
        <w:t xml:space="preserve">permanently delete all Confidential Information stored electronically; and</w:t>
      </w:r>
    </w:p>
    <w:p>
      <w:pPr>
        <w:pStyle w:val="ListParagraph"/>
        <w:numPr>
          <w:ilvl w:val="0"/>
          <w:numId w:val="14"/>
        </w:numPr>
      </w:pPr>
      <w:r>
        <w:t xml:space="preserve">provide written certification of compliance with this clause signed by an authorised officer.</w:t>
      </w:r>
    </w:p>
    <w:p>
      <w:pPr>
        <w:pStyle w:val="Heading2"/>
      </w:pPr>
      <w:r>
        <w:t xml:space="preserve">6.2 Exceptions</w:t>
      </w:r>
    </w:p>
    <w:p>
      <w:r>
        <w:t xml:space="preserve">The Receiving Party may retain:</w:t>
      </w:r>
    </w:p>
    <w:p>
      <w:pPr>
        <w:pStyle w:val="ListParagraph"/>
        <w:numPr>
          <w:ilvl w:val="0"/>
          <w:numId w:val="15"/>
        </w:numPr>
      </w:pPr>
      <w:r>
        <w:t xml:space="preserve">Confidential Information to the extent required by law, regulation, or professional standards;</w:t>
      </w:r>
    </w:p>
    <w:p>
      <w:pPr>
        <w:pStyle w:val="ListParagraph"/>
        <w:numPr>
          <w:ilvl w:val="0"/>
          <w:numId w:val="15"/>
        </w:numPr>
      </w:pPr>
      <w:r>
        <w:t xml:space="preserve">one archival copy for legal and compliance purposes; and</w:t>
      </w:r>
    </w:p>
    <w:p>
      <w:pPr>
        <w:pStyle w:val="ListParagraph"/>
        <w:numPr>
          <w:ilvl w:val="0"/>
          <w:numId w:val="15"/>
        </w:numPr>
      </w:pPr>
      <w:r>
        <w:t xml:space="preserve">Confidential Information contained in automatic backup systems, provided reasonable efforts are made to delete such information in the ordinary course,</w:t>
      </w:r>
    </w:p>
    <w:p>
      <w:r>
        <w:t xml:space="preserve">provided such retained information remains subject to the confidentiality obligations for the duration specified in clause 7.2.</w:t>
      </w:r>
    </w:p>
    <w:p>
      <w:pPr>
        <w:pStyle w:val="Heading1"/>
      </w:pPr>
      <w:r>
        <w:t xml:space="preserve">7. TERM</w:t>
      </w:r>
    </w:p>
    <w:p>
      <w:pPr>
        <w:pStyle w:val="Heading2"/>
      </w:pPr>
      <w:r>
        <w:t xml:space="preserve">7.1 Commencement</w:t>
      </w:r>
    </w:p>
    <w:p>
      <w:r>
        <w:t xml:space="preserve">This Deed commences on the date of this Deed.</w:t>
      </w:r>
    </w:p>
    <w:p>
      <w:pPr>
        <w:pStyle w:val="Heading2"/>
      </w:pPr>
      <w:r>
        <w:t xml:space="preserve">7.2 Duration of Obligations</w:t>
      </w:r>
    </w:p>
    <w:p>
      <w:r>
        <w:t xml:space="preserve">The confidentiality obligations continue for a period of {{restraintPeriod}} years from the date of disclosure of the relevant Confidential Information, or until the Confidential Information ceases to be confidential through no fault of the Receiving Party, whichever is later.</w:t>
      </w:r>
    </w:p>
    <w:p>
      <w:pPr>
        <w:pStyle w:val="Heading2"/>
      </w:pPr>
      <w:r>
        <w:t xml:space="preserve">7.3 Survival</w:t>
      </w:r>
    </w:p>
    <w:p>
      <w:r>
        <w:t xml:space="preserve">The obligations in clauses 2, 3, 4, 6, 8, 11 and 12 survive termination or expiry of this Deed.</w:t>
      </w:r>
    </w:p>
    <w:p>
      <w:pPr>
        <w:pStyle w:val="Heading1"/>
      </w:pPr>
      <w:r>
        <w:t xml:space="preserve">8. REMEDIES</w:t>
      </w:r>
    </w:p>
    <w:p>
      <w:pPr>
        <w:pStyle w:val="Heading2"/>
      </w:pPr>
      <w:r>
        <w:t xml:space="preserve">8.1 Injunctive Relief</w:t>
      </w:r>
    </w:p>
    <w:p>
      <w:r>
        <w:t xml:space="preserve">Each Party acknowledges that:</w:t>
      </w:r>
    </w:p>
    <w:p>
      <w:pPr>
        <w:pStyle w:val="ListParagraph"/>
        <w:numPr>
          <w:ilvl w:val="0"/>
          <w:numId w:val="16"/>
        </w:numPr>
      </w:pPr>
      <w:r>
        <w:t xml:space="preserve">a breach of this Deed may cause irreparable harm to the Disclosing Party;</w:t>
      </w:r>
    </w:p>
    <w:p>
      <w:pPr>
        <w:pStyle w:val="ListParagraph"/>
        <w:numPr>
          <w:ilvl w:val="0"/>
          <w:numId w:val="16"/>
        </w:numPr>
      </w:pPr>
      <w:r>
        <w:t xml:space="preserve">damages may not be an adequate remedy; and</w:t>
      </w:r>
    </w:p>
    <w:p>
      <w:pPr>
        <w:pStyle w:val="ListParagraph"/>
        <w:numPr>
          <w:ilvl w:val="0"/>
          <w:numId w:val="16"/>
        </w:numPr>
      </w:pPr>
      <w:r>
        <w:t xml:space="preserve">the Disclosing Party is entitled to seek injunctive or other equitable relief without proving actual damage and without the requirement to provide security.</w:t>
      </w:r>
    </w:p>
    <w:p>
      <w:pPr>
        <w:pStyle w:val="Heading2"/>
      </w:pPr>
      <w:r>
        <w:t xml:space="preserve">8.2 Indemnity</w:t>
      </w:r>
    </w:p>
    <w:p>
      <w:r>
        <w:t xml:space="preserve">The Receiving Party indemnifies the Disclosing Party against all losses, liabilities, damages, costs, and expenses (including reasonable legal fees) arising from or in connection with any breach of this Deed by the Receiving Party or its Authorised Persons.</w:t>
      </w:r>
    </w:p>
    <w:p>
      <w:pPr>
        <w:pStyle w:val="Heading2"/>
      </w:pPr>
      <w:r>
        <w:t xml:space="preserve">8.3 Other Remedies</w:t>
      </w:r>
    </w:p>
    <w:p>
      <w:r>
        <w:t xml:space="preserve">The rights under this clause are in addition to any other rights or remedies available at law or in equity.</w:t>
      </w:r>
    </w:p>
    <w:p>
      <w:pPr>
        <w:pStyle w:val="Heading1"/>
      </w:pPr>
      <w:r>
        <w:t xml:space="preserve">9. DISPUTE RESOLUTION</w:t>
      </w:r>
    </w:p>
    <w:p>
      <w:pPr>
        <w:pStyle w:val="Heading2"/>
      </w:pPr>
      <w:r>
        <w:t xml:space="preserve">9.1 Negotiation</w:t>
      </w:r>
    </w:p>
    <w:p>
      <w:r>
        <w:t xml:space="preserve">If a dispute arises under or in connection with this Deed (</w:t>
      </w:r>
      <w:r>
        <w:rPr>
          <w:b/>
          <w:bCs/>
        </w:rPr>
        <w:t xml:space="preserve">Dispute</w:t>
      </w:r>
      <w:r>
        <w:t xml:space="preserve">), a Party must not commence court proceedings (except for urgent interlocutory relief) unless it has first complied with this clause.</w:t>
      </w:r>
    </w:p>
    <w:p>
      <w:pPr>
        <w:pStyle w:val="Heading2"/>
      </w:pPr>
      <w:r>
        <w:t xml:space="preserve">9.2 Notice of Dispute</w:t>
      </w:r>
    </w:p>
    <w:p>
      <w:r>
        <w:t xml:space="preserve">A Party claiming a Dispute has arisen must give the other Party written notice specifying the nature of the Dispute (</w:t>
      </w:r>
      <w:r>
        <w:rPr>
          <w:b/>
          <w:bCs/>
        </w:rPr>
        <w:t xml:space="preserve">Dispute Notice</w:t>
      </w:r>
      <w:r>
        <w:t xml:space="preserve">).</w:t>
      </w:r>
    </w:p>
    <w:p>
      <w:pPr>
        <w:pStyle w:val="Heading2"/>
      </w:pPr>
      <w:r>
        <w:t xml:space="preserve">9.3 Senior Executive Negotiation</w:t>
      </w:r>
    </w:p>
    <w:p>
      <w:r>
        <w:t xml:space="preserve">Within 10 Business Days of a Dispute Notice, senior executives of each Party must meet and attempt in good faith to resolve the Dispute.</w:t>
      </w:r>
    </w:p>
    <w:p>
      <w:pPr>
        <w:pStyle w:val="Heading2"/>
      </w:pPr>
      <w:r>
        <w:t xml:space="preserve">9.4 Mediation</w:t>
      </w:r>
    </w:p>
    <w:p>
      <w:r>
        <w:t xml:space="preserve">If the Dispute is not resolved within 20 Business Days of the Dispute Notice, the Parties must submit the Dispute to mediation:</w:t>
      </w:r>
    </w:p>
    <w:p>
      <w:pPr>
        <w:pStyle w:val="ListParagraph"/>
        <w:numPr>
          <w:ilvl w:val="0"/>
          <w:numId w:val="17"/>
        </w:numPr>
      </w:pPr>
      <w:r>
        <w:t xml:space="preserve">administered by the Resolution Institute or as otherwise agreed;</w:t>
      </w:r>
    </w:p>
    <w:p>
      <w:pPr>
        <w:pStyle w:val="ListParagraph"/>
        <w:numPr>
          <w:ilvl w:val="0"/>
          <w:numId w:val="17"/>
        </w:numPr>
      </w:pPr>
      <w:r>
        <w:t xml:space="preserve">conducted in {{jurisdictionState}};</w:t>
      </w:r>
    </w:p>
    <w:p>
      <w:pPr>
        <w:pStyle w:val="ListParagraph"/>
        <w:numPr>
          <w:ilvl w:val="0"/>
          <w:numId w:val="17"/>
        </w:numPr>
      </w:pPr>
      <w:r>
        <w:t xml:space="preserve">with each Party bearing its own costs and sharing mediator costs equally.</w:t>
      </w:r>
    </w:p>
    <w:p>
      <w:pPr>
        <w:pStyle w:val="Heading2"/>
      </w:pPr>
      <w:r>
        <w:t xml:space="preserve">9.5 Litigation</w:t>
      </w:r>
    </w:p>
    <w:p>
      <w:r>
        <w:t xml:space="preserve">If the Dispute is not resolved within 40 Business Days of the Dispute Notice (or such longer period as agreed), either Party may commence court proceedings.</w:t>
      </w:r>
    </w:p>
    <w:p>
      <w:pPr>
        <w:pStyle w:val="Heading2"/>
      </w:pPr>
      <w:r>
        <w:t xml:space="preserve">9.6 Continued Performance</w:t>
      </w:r>
    </w:p>
    <w:p>
      <w:r>
        <w:t xml:space="preserve">Despite the existence of a Dispute, each Party must continue to perform its obligations under this Deed.</w:t>
      </w:r>
    </w:p>
    <w:p>
      <w:pPr>
        <w:pStyle w:val="Heading1"/>
      </w:pPr>
      <w:r>
        <w:t xml:space="preserve">10. STANDSTILL AND NON-SOLICITATION</w:t>
      </w:r>
    </w:p>
    <w:p>
      <w:pPr>
        <w:pStyle w:val="Heading2"/>
      </w:pPr>
      <w:r>
        <w:t xml:space="preserve">10.1 Standstill</w:t>
      </w:r>
    </w:p>
    <w:p>
      <w:r>
        <w:t xml:space="preserve">[Optional — include if transaction-related]</w:t>
      </w:r>
    </w:p>
    <w:p>
      <w:r>
        <w:t xml:space="preserve">Without the prior written consent of the First Party, the Second Party must not, for a period of {{standstillPeriod}} months from the date of this Deed:</w:t>
      </w:r>
    </w:p>
    <w:p>
      <w:pPr>
        <w:pStyle w:val="ListParagraph"/>
        <w:numPr>
          <w:ilvl w:val="0"/>
          <w:numId w:val="18"/>
        </w:numPr>
      </w:pPr>
      <w:r>
        <w:t xml:space="preserve">acquire, or offer or agree to acquire, directly or indirectly, any securities or assets of the First Party or its Affiliates;</w:t>
      </w:r>
    </w:p>
    <w:p>
      <w:pPr>
        <w:pStyle w:val="ListParagraph"/>
        <w:numPr>
          <w:ilvl w:val="0"/>
          <w:numId w:val="18"/>
        </w:numPr>
      </w:pPr>
      <w:r>
        <w:t xml:space="preserve">enter into any arrangement that would result in the Second Party holding a relevant interest in more than 5% of the voting shares of the First Party;</w:t>
      </w:r>
    </w:p>
    <w:p>
      <w:pPr>
        <w:pStyle w:val="ListParagraph"/>
        <w:numPr>
          <w:ilvl w:val="0"/>
          <w:numId w:val="18"/>
        </w:numPr>
      </w:pPr>
      <w:r>
        <w:t xml:space="preserve">solicit proxies or seek to influence voting of shares of the First Party;</w:t>
      </w:r>
    </w:p>
    <w:p>
      <w:pPr>
        <w:pStyle w:val="ListParagraph"/>
        <w:numPr>
          <w:ilvl w:val="0"/>
          <w:numId w:val="18"/>
        </w:numPr>
      </w:pPr>
      <w:r>
        <w:t xml:space="preserve">propose or seek any merger, business combination, restructuring, or similar transaction involving the First Party.</w:t>
      </w:r>
    </w:p>
    <w:p>
      <w:pPr>
        <w:pStyle w:val="Heading2"/>
      </w:pPr>
      <w:r>
        <w:t xml:space="preserve">10.2 Non-Solicitation of Employees</w:t>
      </w:r>
    </w:p>
    <w:p>
      <w:r>
        <w:t xml:space="preserve">For a period of {{nonSolicitPeriod}} months from the date of this Deed, neither Party will, directly or indirectly, solicit or induce any employee of the other Party with whom it has had contact, or about whom it has received Confidential Information, to leave their employment, except:</w:t>
      </w:r>
    </w:p>
    <w:p>
      <w:pPr>
        <w:pStyle w:val="ListParagraph"/>
        <w:numPr>
          <w:ilvl w:val="0"/>
          <w:numId w:val="19"/>
        </w:numPr>
      </w:pPr>
      <w:r>
        <w:t xml:space="preserve">with the prior written consent of the other Party; or</w:t>
      </w:r>
    </w:p>
    <w:p>
      <w:pPr>
        <w:pStyle w:val="ListParagraph"/>
        <w:numPr>
          <w:ilvl w:val="0"/>
          <w:numId w:val="19"/>
        </w:numPr>
      </w:pPr>
      <w:r>
        <w:t xml:space="preserve">in response to a general advertisement not specifically targeted at such employees.</w:t>
      </w:r>
    </w:p>
    <w:p>
      <w:pPr>
        <w:pStyle w:val="Heading2"/>
      </w:pPr>
      <w:r>
        <w:t xml:space="preserve">10.3 Non-Solicitation of Customers and Suppliers</w:t>
      </w:r>
    </w:p>
    <w:p>
      <w:r>
        <w:t xml:space="preserve">For a period of {{nonSolicitPeriod}} months from the date of this Deed, neither Party will, directly or indirectly, solicit or divert any customer, client, or supplier of the other Party whose identity was disclosed as Confidential Information.</w:t>
      </w:r>
    </w:p>
    <w:p>
      <w:pPr>
        <w:pStyle w:val="Heading1"/>
      </w:pPr>
      <w:r>
        <w:t xml:space="preserve">11. ANNOUNCEMENTS</w:t>
      </w:r>
    </w:p>
    <w:p>
      <w:r>
        <w:t xml:space="preserve">Neither Party may make any public announcement, press release, or other disclosure regarding the existence of this Deed, the discussions between the Parties, or any potential transaction without the prior written consent of the other Party, except:</w:t>
      </w:r>
    </w:p>
    <w:p>
      <w:pPr>
        <w:pStyle w:val="ListParagraph"/>
        <w:numPr>
          <w:ilvl w:val="0"/>
          <w:numId w:val="20"/>
        </w:numPr>
      </w:pPr>
      <w:r>
        <w:t xml:space="preserve">as required by law, court order, or the rules of any stock exchange; or</w:t>
      </w:r>
    </w:p>
    <w:p>
      <w:pPr>
        <w:pStyle w:val="ListParagraph"/>
        <w:numPr>
          <w:ilvl w:val="0"/>
          <w:numId w:val="20"/>
        </w:numPr>
      </w:pPr>
      <w:r>
        <w:t xml:space="preserve">to professional advisers bound by confidentiality obligations.</w:t>
      </w:r>
    </w:p>
    <w:p>
      <w:pPr>
        <w:pStyle w:val="Heading1"/>
      </w:pPr>
      <w:r>
        <w:t xml:space="preserve">12. PRIVACY AND DATA PROTECTION</w:t>
      </w:r>
    </w:p>
    <w:p>
      <w:pPr>
        <w:pStyle w:val="Heading2"/>
      </w:pPr>
      <w:r>
        <w:t xml:space="preserve">12.1 Compliance</w:t>
      </w:r>
    </w:p>
    <w:p>
      <w:r>
        <w:t xml:space="preserve">Each Party must comply with:</w:t>
      </w:r>
    </w:p>
    <w:p>
      <w:pPr>
        <w:pStyle w:val="ListParagraph"/>
        <w:numPr>
          <w:ilvl w:val="0"/>
          <w:numId w:val="21"/>
        </w:numPr>
      </w:pPr>
      <w:r>
        <w:t xml:space="preserve">the Privacy Act 1988 (Cth) and the Australian Privacy Principles;</w:t>
      </w:r>
    </w:p>
    <w:p>
      <w:pPr>
        <w:pStyle w:val="ListParagraph"/>
        <w:numPr>
          <w:ilvl w:val="0"/>
          <w:numId w:val="21"/>
        </w:numPr>
      </w:pPr>
      <w:r>
        <w:t xml:space="preserve">all applicable data protection and privacy laws; and</w:t>
      </w:r>
    </w:p>
    <w:p>
      <w:pPr>
        <w:pStyle w:val="ListParagraph"/>
        <w:numPr>
          <w:ilvl w:val="0"/>
          <w:numId w:val="21"/>
        </w:numPr>
      </w:pPr>
      <w:r>
        <w:t xml:space="preserve">the Notifiable Data Breaches scheme.</w:t>
      </w:r>
    </w:p>
    <w:p>
      <w:pPr>
        <w:pStyle w:val="Heading2"/>
      </w:pPr>
      <w:r>
        <w:t xml:space="preserve">12.2 Personal Information</w:t>
      </w:r>
    </w:p>
    <w:p>
      <w:r>
        <w:t xml:space="preserve">Where a Party handles personal information disclosed as Confidential Information, it must:</w:t>
      </w:r>
    </w:p>
    <w:p>
      <w:pPr>
        <w:pStyle w:val="ListParagraph"/>
        <w:numPr>
          <w:ilvl w:val="0"/>
          <w:numId w:val="22"/>
        </w:numPr>
      </w:pPr>
      <w:r>
        <w:t xml:space="preserve">only use that personal information for the Purpose;</w:t>
      </w:r>
    </w:p>
    <w:p>
      <w:pPr>
        <w:pStyle w:val="ListParagraph"/>
        <w:numPr>
          <w:ilvl w:val="0"/>
          <w:numId w:val="22"/>
        </w:numPr>
      </w:pPr>
      <w:r>
        <w:t xml:space="preserve">implement appropriate security measures to protect the personal information;</w:t>
      </w:r>
    </w:p>
    <w:p>
      <w:pPr>
        <w:pStyle w:val="ListParagraph"/>
        <w:numPr>
          <w:ilvl w:val="0"/>
          <w:numId w:val="22"/>
        </w:numPr>
      </w:pPr>
      <w:r>
        <w:t xml:space="preserve">notify the other Party immediately of any data breach affecting that information; and</w:t>
      </w:r>
    </w:p>
    <w:p>
      <w:pPr>
        <w:pStyle w:val="ListParagraph"/>
        <w:numPr>
          <w:ilvl w:val="0"/>
          <w:numId w:val="22"/>
        </w:numPr>
      </w:pPr>
      <w:r>
        <w:t xml:space="preserve">cooperate with any privacy investigation.</w:t>
      </w:r>
    </w:p>
    <w:p>
      <w:pPr>
        <w:pStyle w:val="Heading1"/>
      </w:pPr>
      <w:r>
        <w:t xml:space="preserve">13. AML/CTF AND SANCTIONS</w:t>
      </w:r>
    </w:p>
    <w:p>
      <w:pPr>
        <w:pStyle w:val="Heading2"/>
      </w:pPr>
      <w:r>
        <w:t xml:space="preserve">13.1 Warranties</w:t>
      </w:r>
    </w:p>
    <w:p>
      <w:r>
        <w:t xml:space="preserve">Each Party warrants that:</w:t>
      </w:r>
    </w:p>
    <w:p>
      <w:pPr>
        <w:pStyle w:val="ListParagraph"/>
        <w:numPr>
          <w:ilvl w:val="0"/>
          <w:numId w:val="23"/>
        </w:numPr>
      </w:pPr>
      <w:r>
        <w:t xml:space="preserve">it is not a Proscribed Person under the Anti-Money Laundering and Counter-Terrorism Financing Act 2006 (Cth);</w:t>
      </w:r>
    </w:p>
    <w:p>
      <w:pPr>
        <w:pStyle w:val="ListParagraph"/>
        <w:numPr>
          <w:ilvl w:val="0"/>
          <w:numId w:val="23"/>
        </w:numPr>
      </w:pPr>
      <w:r>
        <w:t xml:space="preserve">it is not listed on any Australian or international sanctions list, including those maintained by DFAT, the UN Security Council, or OFAC;</w:t>
      </w:r>
    </w:p>
    <w:p>
      <w:pPr>
        <w:pStyle w:val="ListParagraph"/>
        <w:numPr>
          <w:ilvl w:val="0"/>
          <w:numId w:val="23"/>
        </w:numPr>
      </w:pPr>
      <w:r>
        <w:t xml:space="preserve">it is not owned or controlled by any person or entity on such lists; and</w:t>
      </w:r>
    </w:p>
    <w:p>
      <w:pPr>
        <w:pStyle w:val="ListParagraph"/>
        <w:numPr>
          <w:ilvl w:val="0"/>
          <w:numId w:val="23"/>
        </w:numPr>
      </w:pPr>
      <w:r>
        <w:t xml:space="preserve">it has implemented appropriate AML/CTF and sanctions screening procedures.</w:t>
      </w:r>
    </w:p>
    <w:p>
      <w:pPr>
        <w:pStyle w:val="Heading2"/>
      </w:pPr>
      <w:r>
        <w:t xml:space="preserve">13.2 Notification</w:t>
      </w:r>
    </w:p>
    <w:p>
      <w:r>
        <w:t xml:space="preserve">Each Party must immediately notify the other if it becomes listed on any sanctions list or becomes aware of any investigation relating to AML/CTF or sanctions compliance.</w:t>
      </w:r>
    </w:p>
    <w:p>
      <w:pPr>
        <w:pStyle w:val="Heading2"/>
      </w:pPr>
      <w:r>
        <w:t xml:space="preserve">13.3 Suspension</w:t>
      </w:r>
    </w:p>
    <w:p>
      <w:r>
        <w:t xml:space="preserve">Upon such notification, the non-affected Party may suspend performance under this Deed without liability pending resolution.</w:t>
      </w:r>
    </w:p>
    <w:p>
      <w:pPr>
        <w:pStyle w:val="Heading1"/>
      </w:pPr>
      <w:r>
        <w:t xml:space="preserve">14. WHISTLEBLOWER PROTECTION</w:t>
      </w:r>
    </w:p>
    <w:p>
      <w:pPr>
        <w:pStyle w:val="Heading2"/>
      </w:pPr>
      <w:r>
        <w:t xml:space="preserve">14.1 Statutory Protections</w:t>
      </w:r>
    </w:p>
    <w:p>
      <w:r>
        <w:t xml:space="preserve">Each Party acknowledges that:</w:t>
      </w:r>
    </w:p>
    <w:p>
      <w:pPr>
        <w:pStyle w:val="ListParagraph"/>
        <w:numPr>
          <w:ilvl w:val="0"/>
          <w:numId w:val="24"/>
        </w:numPr>
      </w:pPr>
      <w:r>
        <w:t xml:space="preserve">whistleblower protections apply under Part 9.4AAA of the Corporations Act 2001 (Cth);</w:t>
      </w:r>
    </w:p>
    <w:p>
      <w:pPr>
        <w:pStyle w:val="ListParagraph"/>
        <w:numPr>
          <w:ilvl w:val="0"/>
          <w:numId w:val="24"/>
        </w:numPr>
      </w:pPr>
      <w:r>
        <w:t xml:space="preserve">nothing in this Deed limits a person's right to make a protected disclosure; and</w:t>
      </w:r>
    </w:p>
    <w:p>
      <w:pPr>
        <w:pStyle w:val="ListParagraph"/>
        <w:numPr>
          <w:ilvl w:val="0"/>
          <w:numId w:val="24"/>
        </w:numPr>
      </w:pPr>
      <w:r>
        <w:t xml:space="preserve">disclosures to ASIC, APRA, or other prescribed bodies are protected regardless of any confidentiality obligations in this Deed.</w:t>
      </w:r>
    </w:p>
    <w:p>
      <w:pPr>
        <w:pStyle w:val="Heading2"/>
      </w:pPr>
      <w:r>
        <w:t xml:space="preserve">14.2 No Retaliation</w:t>
      </w:r>
    </w:p>
    <w:p>
      <w:r>
        <w:t xml:space="preserve">Neither Party may engage in conduct that causes detriment to a whistleblower because of a protected disclosure.</w:t>
      </w:r>
    </w:p>
    <w:p>
      <w:pPr>
        <w:pStyle w:val="Heading1"/>
      </w:pPr>
      <w:r>
        <w:t xml:space="preserve">15. GENERAL</w:t>
      </w:r>
    </w:p>
    <w:p>
      <w:pPr>
        <w:pStyle w:val="Heading2"/>
      </w:pPr>
      <w:r>
        <w:t xml:space="preserve">15.1 Mutual Obligations</w:t>
      </w:r>
    </w:p>
    <w:p>
      <w:r>
        <w:t xml:space="preserve">The obligations in this Deed are mutual and apply equally to both Parties as Disclosing Party and Receiving Party.</w:t>
      </w:r>
    </w:p>
    <w:p>
      <w:pPr>
        <w:pStyle w:val="Heading2"/>
      </w:pPr>
      <w:r>
        <w:t xml:space="preserve">15.2 No Waiver</w:t>
      </w:r>
    </w:p>
    <w:p>
      <w:r>
        <w:t xml:space="preserve">A waiver of any right under this Deed must be in writing. Failure to exercise a right is not a waiver.</w:t>
      </w:r>
    </w:p>
    <w:p>
      <w:pPr>
        <w:pStyle w:val="Heading2"/>
      </w:pPr>
      <w:r>
        <w:t xml:space="preserve">15.3 Severability</w:t>
      </w:r>
    </w:p>
    <w:p>
      <w:r>
        <w:t xml:space="preserve">If any provision is invalid or unenforceable, it is severed without affecting other provisions.</w:t>
      </w:r>
    </w:p>
    <w:p>
      <w:pPr>
        <w:pStyle w:val="Heading2"/>
      </w:pPr>
      <w:r>
        <w:t xml:space="preserve">15.4 Amendment</w:t>
      </w:r>
    </w:p>
    <w:p>
      <w:r>
        <w:t xml:space="preserve">This Deed may only be amended by written agreement signed by both Parties.</w:t>
      </w:r>
    </w:p>
    <w:p>
      <w:pPr>
        <w:pStyle w:val="Heading2"/>
      </w:pPr>
      <w:r>
        <w:t xml:space="preserve">15.5 Assignment</w:t>
      </w:r>
    </w:p>
    <w:p>
      <w:r>
        <w:t xml:space="preserve">Neither Party may assign its rights or obligations without the prior written consent of the other Party.</w:t>
      </w:r>
    </w:p>
    <w:p>
      <w:pPr>
        <w:pStyle w:val="Heading2"/>
      </w:pPr>
      <w:r>
        <w:t xml:space="preserve">15.6 Entire Agreement</w:t>
      </w:r>
    </w:p>
    <w:p>
      <w:r>
        <w:t xml:space="preserve">This Deed constitutes the entire agreement between the Parties in relation to its subject matter and supersedes all prior negotiations, representations and agreements.</w:t>
      </w:r>
    </w:p>
    <w:p>
      <w:pPr>
        <w:pStyle w:val="Heading2"/>
      </w:pPr>
      <w:r>
        <w:t xml:space="preserve">15.7 Notices</w:t>
      </w:r>
    </w:p>
    <w:p>
      <w:r>
        <w:t xml:space="preserve">Notices must be in writing and delivered to the addresses in this Deed or by email to notified email addresses. A notice is deemed received:</w:t>
      </w:r>
    </w:p>
    <w:p>
      <w:pPr>
        <w:pStyle w:val="ListParagraph"/>
        <w:numPr>
          <w:ilvl w:val="0"/>
          <w:numId w:val="25"/>
        </w:numPr>
      </w:pPr>
      <w:r>
        <w:t xml:space="preserve">if delivered by hand, on the date of delivery;</w:t>
      </w:r>
    </w:p>
    <w:p>
      <w:pPr>
        <w:pStyle w:val="ListParagraph"/>
        <w:numPr>
          <w:ilvl w:val="0"/>
          <w:numId w:val="25"/>
        </w:numPr>
      </w:pPr>
      <w:r>
        <w:t xml:space="preserve">if sent by prepaid post within Australia, 3 Business Days after posting;</w:t>
      </w:r>
    </w:p>
    <w:p>
      <w:pPr>
        <w:pStyle w:val="ListParagraph"/>
        <w:numPr>
          <w:ilvl w:val="0"/>
          <w:numId w:val="25"/>
        </w:numPr>
      </w:pPr>
      <w:r>
        <w:t xml:space="preserve">if sent by email, at the time sent unless the sender receives a delivery failure notification.</w:t>
      </w:r>
    </w:p>
    <w:p>
      <w:pPr>
        <w:pStyle w:val="Heading2"/>
      </w:pPr>
      <w:r>
        <w:t xml:space="preserve">15.8 Governing Law</w:t>
      </w:r>
    </w:p>
    <w:p>
      <w:r>
        <w:t xml:space="preserve">This Deed is governed by the laws of {{jurisdictionState}}. The Parties submit to the non-exclusive jurisdiction of the courts of that State or Territory.</w:t>
      </w:r>
    </w:p>
    <w:p>
      <w:pPr>
        <w:pStyle w:val="Heading2"/>
      </w:pPr>
      <w:r>
        <w:t xml:space="preserve">15.9 Counterparts</w:t>
      </w:r>
    </w:p>
    <w:p>
      <w:r>
        <w:t xml:space="preserve">This Deed may be executed in counterparts, each of which is an original. Execution by electronic means (including DocuSign or similar platform) is valid and effective.</w:t>
      </w:r>
    </w:p>
    <w:p>
      <w:pPr>
        <w:pStyle w:val="Heading1"/>
        <w:spacing w:before="720"/>
      </w:pPr>
      <w:r>
        <w:t xml:space="preserve">EXECUTION</w:t>
      </w:r>
    </w:p>
    <w:p>
      <w:r>
        <w:rPr>
          <w:b/>
          <w:bCs/>
        </w:rPr>
        <w:t xml:space="preserve">EXECUTED</w:t>
      </w:r>
      <w:r>
        <w:t xml:space="preserve"> as a Deed.</w:t>
      </w:r>
    </w:p>
    <w:p>
      <w:pPr>
        <w:spacing w:before="360"/>
      </w:pPr>
      <w:r>
        <w:rPr>
          <w:b/>
          <w:bCs/>
        </w:rPr>
        <w:t xml:space="preserve">SIGNED, SEALED AND DELIVERED</w:t>
      </w:r>
      <w:r>
        <w:t xml:space="preserve"> by </w:t>
      </w:r>
      <w:r>
        <w:rPr>
          <w:b/>
          <w:bCs/>
        </w:rPr>
        <w:t xml:space="preserve">{{disclosingParty}}</w:t>
      </w:r>
    </w:p>
    <w:p>
      <w:r>
        <w:t xml:space="preserve">in accordance with section 127 of the Corporations Act 2001 (Cth):</w:t>
      </w:r>
    </w:p>
    <w:p>
      <w:pPr>
        <w:spacing w:before="480"/>
      </w:pPr>
      <w:r>
        <w:t xml:space="preserve">__________________________          __________________________</w:t>
      </w:r>
    </w:p>
    <w:p>
      <w:r>
        <w:t xml:space="preserve">Director                                              Director/Secretary</w:t>
      </w:r>
    </w:p>
    <w:p>
      <w:pPr>
        <w:spacing w:before="240"/>
      </w:pPr>
      <w:r>
        <w:t xml:space="preserve">Name: _____________________          Name: _____________________</w:t>
      </w:r>
    </w:p>
    <w:p>
      <w:pPr>
        <w:spacing w:before="240"/>
      </w:pPr>
      <w:r>
        <w:t xml:space="preserve">Date: _____________________</w:t>
      </w:r>
    </w:p>
    <w:p>
      <w:pPr>
        <w:spacing w:before="480"/>
      </w:pPr>
      <w:r>
        <w:rPr>
          <w:b/>
          <w:bCs/>
        </w:rPr>
        <w:t xml:space="preserve">SIGNED, SEALED AND DELIVERED</w:t>
      </w:r>
      <w:r>
        <w:t xml:space="preserve"> by </w:t>
      </w:r>
      <w:r>
        <w:rPr>
          <w:b/>
          <w:bCs/>
        </w:rPr>
        <w:t xml:space="preserve">{{receivingParty}}</w:t>
      </w:r>
    </w:p>
    <w:p>
      <w:r>
        <w:t xml:space="preserve">in accordance with section 127 of the Corporations Act 2001 (Cth):</w:t>
      </w:r>
    </w:p>
    <w:p>
      <w:pPr>
        <w:spacing w:before="480"/>
      </w:pPr>
      <w:r>
        <w:t xml:space="preserve">__________________________          __________________________</w:t>
      </w:r>
    </w:p>
    <w:p>
      <w:r>
        <w:t xml:space="preserve">Director                                              Director/Secretary</w:t>
      </w:r>
    </w:p>
    <w:p>
      <w:pPr>
        <w:spacing w:before="240"/>
      </w:pPr>
      <w:r>
        <w:t xml:space="preserve">Name: _____________________          Name: _____________________</w:t>
      </w:r>
    </w:p>
    <w:p>
      <w:pPr>
        <w:spacing w:before="240"/>
      </w:pPr>
      <w:r>
        <w:t xml:space="preserve">Date: _____________________</w:t>
      </w:r>
    </w:p>
    <w:p>
      <w:pPr>
        <w:pStyle w:val="Heading1"/>
        <w:spacing w:before="720"/>
      </w:pPr>
      <w:r>
        <w:t xml:space="preserve">SCHEDULE — PLACEHOLDER GUIDE</w:t>
      </w:r>
    </w:p>
    <w:p>
      <w:r>
        <w:rPr>
          <w:i/>
          <w:iCs/>
        </w:rPr>
        <w:t xml:space="preserve">Complete the following placeholders before execution:</w:t>
      </w:r>
    </w:p>
    <w:p>
      <w:pPr>
        <w:spacing w:before="240"/>
      </w:pPr>
      <w:r>
        <w:rPr>
          <w:b/>
          <w:bCs/>
        </w:rPr>
        <w:t xml:space="preserve">{{disclosingParty}}</w:t>
      </w:r>
      <w:r>
        <w:t xml:space="preserve"> — Full legal name of first party</w:t>
      </w:r>
    </w:p>
    <w:p>
      <w:r>
        <w:rPr>
          <w:b/>
          <w:bCs/>
        </w:rPr>
        <w:t xml:space="preserve">{{disclosingPartyACN}}</w:t>
      </w:r>
      <w:r>
        <w:t xml:space="preserve"> — ACN of first party</w:t>
      </w:r>
    </w:p>
    <w:p>
      <w:r>
        <w:rPr>
          <w:b/>
          <w:bCs/>
        </w:rPr>
        <w:t xml:space="preserve">{{disclosingPartyAddress}}</w:t>
      </w:r>
      <w:r>
        <w:t xml:space="preserve"> — Registered address of first party</w:t>
      </w:r>
    </w:p>
    <w:p>
      <w:r>
        <w:rPr>
          <w:b/>
          <w:bCs/>
        </w:rPr>
        <w:t xml:space="preserve">{{receivingParty}}</w:t>
      </w:r>
      <w:r>
        <w:t xml:space="preserve"> — Full legal name of second party</w:t>
      </w:r>
    </w:p>
    <w:p>
      <w:r>
        <w:rPr>
          <w:b/>
          <w:bCs/>
        </w:rPr>
        <w:t xml:space="preserve">{{receivingPartyACN}}</w:t>
      </w:r>
      <w:r>
        <w:t xml:space="preserve"> — ACN/ABN of second party</w:t>
      </w:r>
    </w:p>
    <w:p>
      <w:r>
        <w:rPr>
          <w:b/>
          <w:bCs/>
        </w:rPr>
        <w:t xml:space="preserve">{{receivingPartyAddress}}</w:t>
      </w:r>
      <w:r>
        <w:t xml:space="preserve"> — Registered address of second party</w:t>
      </w:r>
    </w:p>
    <w:p>
      <w:r>
        <w:rPr>
          <w:b/>
          <w:bCs/>
        </w:rPr>
        <w:t xml:space="preserve">{{purpose}}</w:t>
      </w:r>
      <w:r>
        <w:t xml:space="preserve"> — Description of the purpose (e.g., "evaluating a potential acquisition of the First Party by the Second Party")</w:t>
      </w:r>
    </w:p>
    <w:p>
      <w:r>
        <w:rPr>
          <w:b/>
          <w:bCs/>
        </w:rPr>
        <w:t xml:space="preserve">{{jurisdictionState}}</w:t>
      </w:r>
      <w:r>
        <w:t xml:space="preserve"> — State/Territory (e.g., "Victoria", "New South Wales")</w:t>
      </w:r>
    </w:p>
    <w:p>
      <w:r>
        <w:rPr>
          <w:b/>
          <w:bCs/>
        </w:rPr>
        <w:t xml:space="preserve">{{returnPeriod}}</w:t>
      </w:r>
      <w:r>
        <w:t xml:space="preserve"> — Days to return/destroy information (recommend: 10-14)</w:t>
      </w:r>
    </w:p>
    <w:p>
      <w:r>
        <w:rPr>
          <w:b/>
          <w:bCs/>
        </w:rPr>
        <w:t xml:space="preserve">{{restraintPeriod}}</w:t>
      </w:r>
      <w:r>
        <w:t xml:space="preserve"> — Years confidentiality survives (recommend: 2-3 for commercial; 5+ for trade secrets)</w:t>
      </w:r>
    </w:p>
    <w:p>
      <w:r>
        <w:rPr>
          <w:b/>
          <w:bCs/>
        </w:rPr>
        <w:t xml:space="preserve">{{standstillPeriod}}</w:t>
      </w:r>
      <w:r>
        <w:t xml:space="preserve"> — Months for standstill (recommend: 12-18; delete clause 10.1 if not required)</w:t>
      </w:r>
    </w:p>
    <w:p>
      <w:r>
        <w:rPr>
          <w:b/>
          <w:bCs/>
        </w:rPr>
        <w:t xml:space="preserve">{{nonSolicitPeriod}}</w:t>
      </w:r>
      <w:r>
        <w:t xml:space="preserve"> — Months for non-solicitation (recommend: 12-24)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abstractNum w:abstractNumId="14" w15:restartNumberingAfterBreak="0">
    <w:multiLevelType w:val="hybridMultilevel"/>
    <w:lvl w:ilvl="0" w15:tentative="1">
      <w:start w:val="1"/>
      <w:numFmt w:val="lowerLetter"/>
      <w:lvlText w:val="(%1)"/>
      <w:lvlJc w:val="left"/>
      <w:pPr>
        <w:ind w:left="720" w:hanging="360"/>
      </w:pPr>
    </w:lvl>
  </w:abstractNum>
  <w:abstractNum w:abstractNumId="15" w15:restartNumberingAfterBreak="0">
    <w:multiLevelType w:val="hybridMultilevel"/>
    <w:lvl w:ilvl="0" w15:tentative="1">
      <w:start w:val="1"/>
      <w:numFmt w:val="lowerLetter"/>
      <w:lvlText w:val="(%1)"/>
      <w:lvlJc w:val="left"/>
      <w:pPr>
        <w:ind w:left="720" w:hanging="360"/>
      </w:pPr>
    </w:lvl>
  </w:abstractNum>
  <w:abstractNum w:abstractNumId="16" w15:restartNumberingAfterBreak="0">
    <w:multiLevelType w:val="hybridMultilevel"/>
    <w:lvl w:ilvl="0" w15:tentative="1">
      <w:start w:val="1"/>
      <w:numFmt w:val="lowerLetter"/>
      <w:lvlText w:val="(%1)"/>
      <w:lvlJc w:val="left"/>
      <w:pPr>
        <w:ind w:left="720" w:hanging="360"/>
      </w:pPr>
    </w:lvl>
  </w:abstractNum>
  <w:abstractNum w:abstractNumId="17" w15:restartNumberingAfterBreak="0">
    <w:multiLevelType w:val="hybridMultilevel"/>
    <w:lvl w:ilvl="0" w15:tentative="1">
      <w:start w:val="1"/>
      <w:numFmt w:val="lowerLetter"/>
      <w:lvlText w:val="(%1)"/>
      <w:lvlJc w:val="left"/>
      <w:pPr>
        <w:ind w:left="720" w:hanging="360"/>
      </w:pPr>
    </w:lvl>
  </w:abstractNum>
  <w:abstractNum w:abstractNumId="18" w15:restartNumberingAfterBreak="0">
    <w:multiLevelType w:val="hybridMultilevel"/>
    <w:lvl w:ilvl="0" w15:tentative="1">
      <w:start w:val="1"/>
      <w:numFmt w:val="lowerRoman"/>
      <w:lvlText w:val="(%1)"/>
      <w:lvlJc w:val="left"/>
      <w:pPr>
        <w:ind w:left="1080" w:hanging="360"/>
      </w:pPr>
    </w:lvl>
  </w:abstractNum>
  <w:abstractNum w:abstractNumId="19" w15:restartNumberingAfterBreak="0">
    <w:multiLevelType w:val="hybridMultilevel"/>
    <w:lvl w:ilvl="0" w15:tentative="1">
      <w:start w:val="1"/>
      <w:numFmt w:val="lowerRoman"/>
      <w:lvlText w:val="(%1)"/>
      <w:lvlJc w:val="left"/>
      <w:pPr>
        <w:ind w:left="1080" w:hanging="360"/>
      </w:pPr>
    </w:lvl>
  </w:abstractNum>
  <w:abstractNum w:abstractNumId="20" w15:restartNumberingAfterBreak="0">
    <w:multiLevelType w:val="hybridMultilevel"/>
    <w:lvl w:ilvl="0" w15:tentative="1">
      <w:start w:val="1"/>
      <w:numFmt w:val="lowerRoman"/>
      <w:lvlText w:val="(%1)"/>
      <w:lvlJc w:val="left"/>
      <w:pPr>
        <w:ind w:left="1080" w:hanging="360"/>
      </w:pPr>
    </w:lvl>
  </w:abstractNum>
  <w:abstractNum w:abstractNumId="21" w15:restartNumberingAfterBreak="0">
    <w:multiLevelType w:val="hybridMultilevel"/>
    <w:lvl w:ilvl="0" w15:tentative="1">
      <w:start w:val="1"/>
      <w:numFmt w:val="lowerRoman"/>
      <w:lvlText w:val="(%1)"/>
      <w:lvlJc w:val="left"/>
      <w:pPr>
        <w:ind w:left="1080" w:hanging="360"/>
      </w:pPr>
    </w:lvl>
  </w:abstractNum>
  <w:abstractNum w:abstractNumId="22" w15:restartNumberingAfterBreak="0">
    <w:multiLevelType w:val="hybridMultilevel"/>
    <w:lvl w:ilvl="0" w15:tentative="1">
      <w:start w:val="1"/>
      <w:numFmt w:val="lowerRoman"/>
      <w:lvlText w:val="(%1)"/>
      <w:lvlJc w:val="left"/>
      <w:pPr>
        <w:ind w:left="1080" w:hanging="360"/>
      </w:pPr>
    </w:lvl>
  </w:abstractNum>
  <w:abstractNum w:abstractNumId="23" w15:restartNumberingAfterBreak="0">
    <w:multiLevelType w:val="hybridMultilevel"/>
    <w:lvl w:ilvl="0" w15:tentative="1">
      <w:start w:val="1"/>
      <w:numFmt w:val="lowerRoman"/>
      <w:lvlText w:val="(%1)"/>
      <w:lvlJc w:val="left"/>
      <w:pPr>
        <w:ind w:left="1080" w:hanging="360"/>
      </w:pPr>
    </w:lvl>
  </w:abstractNum>
  <w:abstractNum w:abstractNumId="24" w15:restartNumberingAfterBreak="0">
    <w:multiLevelType w:val="hybridMultilevel"/>
    <w:lvl w:ilvl="0" w15:tentative="1">
      <w:start w:val="1"/>
      <w:numFmt w:val="lowerRoman"/>
      <w:lvlText w:val="(%1)"/>
      <w:lvlJc w:val="left"/>
      <w:pPr>
        <w:ind w:left="1080" w:hanging="360"/>
      </w:pPr>
    </w:lvl>
  </w:abstractNum>
  <w:abstractNum w:abstractNumId="25" w15:restartNumberingAfterBreak="0">
    <w:multiLevelType w:val="hybridMultilevel"/>
    <w:lvl w:ilvl="0" w15:tentative="1">
      <w:start w:val="1"/>
      <w:numFmt w:val="lowerRoman"/>
      <w:lvlText w:val="(%1)"/>
      <w:lvlJc w:val="left"/>
      <w:pPr>
        <w:ind w:left="1080" w:hanging="360"/>
      </w:pPr>
    </w:lvl>
  </w:abstractNum>
  <w:abstractNum w:abstractNumId="26" w15:restartNumberingAfterBreak="0">
    <w:multiLevelType w:val="hybridMultilevel"/>
    <w:lvl w:ilvl="0" w15:tentative="1">
      <w:start w:val="1"/>
      <w:numFmt w:val="lowerRoman"/>
      <w:lvlText w:val="(%1)"/>
      <w:lvlJc w:val="left"/>
      <w:pPr>
        <w:ind w:left="1080" w:hanging="360"/>
      </w:pPr>
    </w:lvl>
  </w:abstractNum>
  <w:abstractNum w:abstractNumId="27"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8"/>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000000"/>
      <w:sz w:val="44"/>
      <w:szCs w:val="44"/>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80"/>
      <w:outlineLvl w:val="1"/>
    </w:pPr>
    <w:rPr>
      <w:rFonts w:ascii="Arial" w:cs="Arial" w:eastAsia="Arial" w:hAnsi="Arial"/>
      <w:b/>
      <w:bCs/>
      <w:color w:val="000000"/>
      <w:sz w:val="22"/>
      <w:szCs w:val="22"/>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2025-12-12T15:37:03.673Z</dcterms:created>
  <dcterms:modified xsi:type="dcterms:W3CDTF">2025-12-12T15:37:03.674Z</dcterms:modified>
</cp:coreProperties>
</file>

<file path=docProps/custom.xml><?xml version="1.0" encoding="utf-8"?>
<Properties xmlns="http://schemas.openxmlformats.org/officeDocument/2006/custom-properties" xmlns:vt="http://schemas.openxmlformats.org/officeDocument/2006/docPropsVTypes"/>
</file>