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color w:val="555555"/>
          <w:sz w:val="24"/>
          <w:szCs w:val="24"/>
        </w:rPr>
        <w:t xml:space="preserve">CL2001 — Data Structures</w:t>
      </w:r>
    </w:p>
    <w:p>
      <w:pPr>
        <w:spacing w:after="120" w:before="120"/>
        <w:jc w:val="center"/>
      </w:pPr>
      <w:r>
        <w:rPr>
          <w:rFonts w:ascii="Arial" w:cs="Arial" w:eastAsia="Arial" w:hAnsi="Arial"/>
          <w:b/>
          <w:bCs/>
          <w:color w:val="1F3864"/>
          <w:sz w:val="40"/>
          <w:szCs w:val="40"/>
        </w:rPr>
        <w:t xml:space="preserve">Intelligent Forest Advisory &amp;</w:t>
      </w:r>
    </w:p>
    <w:p>
      <w:pPr>
        <w:spacing w:after="120" w:before="0"/>
        <w:jc w:val="center"/>
      </w:pPr>
      <w:r>
        <w:rPr>
          <w:rFonts w:ascii="Arial" w:cs="Arial" w:eastAsia="Arial" w:hAnsi="Arial"/>
          <w:b/>
          <w:bCs/>
          <w:color w:val="1F3864"/>
          <w:sz w:val="40"/>
          <w:szCs w:val="40"/>
        </w:rPr>
        <w:t xml:space="preserve">Multi-Structure Decision System</w:t>
      </w:r>
    </w:p>
    <w:p>
      <w:pPr>
        <w:spacing w:after="600" w:before="0"/>
        <w:jc w:val="center"/>
      </w:pPr>
      <w:r>
        <w:rPr>
          <w:rFonts w:ascii="Arial" w:cs="Arial" w:eastAsia="Arial" w:hAnsi="Arial"/>
          <w:b/>
          <w:bCs/>
          <w:color w:val="2E5B8A"/>
          <w:sz w:val="32"/>
          <w:szCs w:val="32"/>
        </w:rPr>
        <w:t xml:space="preserve">(IFAMDS)</w:t>
      </w:r>
    </w:p>
    <w:p>
      <w:pPr>
        <w:spacing w:after="600"/>
        <w:jc w:val="center"/>
      </w:pPr>
      <w:r>
        <w:rPr>
          <w:rFonts w:ascii="Arial" w:cs="Arial" w:eastAsia="Arial" w:hAnsi="Arial"/>
          <w:i/>
          <w:iCs/>
          <w:color w:val="333333"/>
          <w:sz w:val="28"/>
          <w:szCs w:val="28"/>
        </w:rPr>
        <w:t xml:space="preserve">Project Report</w:t>
      </w:r>
    </w:p>
    <w:p>
      <w:pPr>
        <w:spacing w:after="120"/>
        <w:jc w:val="center"/>
      </w:pPr>
      <w:r>
        <w:rPr>
          <w:rFonts w:ascii="Arial" w:cs="Arial" w:eastAsia="Arial" w:hAnsi="Arial"/>
          <w:color w:val="555555"/>
          <w:sz w:val="22"/>
          <w:szCs w:val="22"/>
        </w:rPr>
        <w:t xml:space="preserve">Submitted By</w:t>
      </w:r>
    </w:p>
    <w:p>
      <w:pPr>
        <w:spacing w:after="60"/>
        <w:jc w:val="center"/>
      </w:pPr>
      <w:r>
        <w:rPr>
          <w:rFonts w:ascii="Arial" w:cs="Arial" w:eastAsia="Arial" w:hAnsi="Arial"/>
          <w:b/>
          <w:bCs/>
          <w:sz w:val="24"/>
          <w:szCs w:val="24"/>
        </w:rPr>
        <w:t xml:space="preserve">Maaz Sher</w:t>
      </w:r>
    </w:p>
    <w:p>
      <w:pPr>
        <w:spacing w:after="120"/>
        <w:jc w:val="center"/>
      </w:pPr>
      <w:r>
        <w:rPr>
          <w:rFonts w:ascii="Arial" w:cs="Arial" w:eastAsia="Arial" w:hAnsi="Arial"/>
          <w:color w:val="555555"/>
          <w:sz w:val="22"/>
          <w:szCs w:val="22"/>
        </w:rPr>
        <w:t xml:space="preserve">24I-0083</w:t>
      </w:r>
    </w:p>
    <w:p>
      <w:pPr>
        <w:spacing w:after="60"/>
        <w:jc w:val="center"/>
      </w:pPr>
      <w:r>
        <w:rPr>
          <w:rFonts w:ascii="Arial" w:cs="Arial" w:eastAsia="Arial" w:hAnsi="Arial"/>
          <w:b/>
          <w:bCs/>
          <w:sz w:val="24"/>
          <w:szCs w:val="24"/>
        </w:rPr>
        <w:t xml:space="preserve">Muhammad Hamid</w:t>
      </w:r>
    </w:p>
    <w:p>
      <w:pPr>
        <w:spacing w:after="360"/>
        <w:jc w:val="center"/>
      </w:pPr>
      <w:r>
        <w:rPr>
          <w:rFonts w:ascii="Arial" w:cs="Arial" w:eastAsia="Arial" w:hAnsi="Arial"/>
          <w:color w:val="555555"/>
          <w:sz w:val="22"/>
          <w:szCs w:val="22"/>
        </w:rPr>
        <w:t xml:space="preserve">24F-0030</w:t>
      </w:r>
    </w:p>
    <w:p>
      <w:pPr>
        <w:spacing w:after="0"/>
        <w:jc w:val="center"/>
      </w:pPr>
      <w:r>
        <w:rPr>
          <w:rFonts w:ascii="Arial" w:cs="Arial" w:eastAsia="Arial" w:hAnsi="Arial"/>
          <w:color w:val="555555"/>
          <w:sz w:val="22"/>
          <w:szCs w:val="22"/>
        </w:rPr>
        <w:t xml:space="preserve">May 9, 2026</w:t>
      </w:r>
    </w:p>
    <w:p>
      <w:r>
        <w:br w:type="page"/>
      </w:r>
    </w:p>
    <w:p>
      <w:pPr>
        <w:pStyle w:val="Heading1"/>
        <w:spacing w:after="180" w:before="200"/>
      </w:pPr>
      <w:r>
        <w:t xml:space="preserve">1. System Overview</w:t>
      </w:r>
    </w:p>
    <w:p>
      <w:pPr>
        <w:spacing w:after="80"/>
      </w:pPr>
      <w:r>
        <w:rPr>
          <w:rFonts w:ascii="Arial" w:cs="Arial" w:eastAsia="Arial" w:hAnsi="Arial"/>
          <w:sz w:val="20"/>
          <w:szCs w:val="20"/>
        </w:rPr>
        <w:t xml:space="preserve">IFAMDS is a comprehensive C++ console-based simulation system that models a real-world forest management environment. It integrates multiple advanced data structures across eight processing layers to handle sensor data collection, event tracking, fire detection, resource allocation, and decision-making across nine forest zones.</w:t>
      </w:r>
    </w:p>
    <w:p>
      <w:pPr>
        <w:pStyle w:val="Heading2"/>
        <w:spacing w:after="120" w:before="200"/>
      </w:pPr>
      <w:r>
        <w:t xml:space="preserve">1.1 Architecture</w:t>
      </w:r>
    </w:p>
    <w:p>
      <w:pPr>
        <w:pStyle w:val="ListParagraph"/>
        <w:numPr>
          <w:ilvl w:val="0"/>
          <w:numId w:val="2"/>
        </w:numPr>
        <w:spacing w:after="60"/>
      </w:pPr>
      <w:r>
        <w:rPr>
          <w:rFonts w:ascii="Arial" w:cs="Arial" w:eastAsia="Arial" w:hAnsi="Arial"/>
          <w:sz w:val="20"/>
          <w:szCs w:val="20"/>
        </w:rPr>
        <w:t xml:space="preserve">Array Layer (A1–A4): Static baseline and dynamic sensor streams; 1D time-series and 2D spatial grids</w:t>
      </w:r>
    </w:p>
    <w:p>
      <w:pPr>
        <w:pStyle w:val="ListParagraph"/>
        <w:numPr>
          <w:ilvl w:val="0"/>
          <w:numId w:val="2"/>
        </w:numPr>
        <w:spacing w:after="60"/>
      </w:pPr>
      <w:r>
        <w:rPr>
          <w:rFonts w:ascii="Arial" w:cs="Arial" w:eastAsia="Arial" w:hAnsi="Arial"/>
          <w:sz w:val="20"/>
          <w:szCs w:val="20"/>
        </w:rPr>
        <w:t xml:space="preserve">Linked Lists (L1–L6): Raw, verified, and anomaly event streams; forward and backward correction chains</w:t>
      </w:r>
    </w:p>
    <w:p>
      <w:pPr>
        <w:pStyle w:val="ListParagraph"/>
        <w:numPr>
          <w:ilvl w:val="0"/>
          <w:numId w:val="2"/>
        </w:numPr>
        <w:spacing w:after="60"/>
      </w:pPr>
      <w:r>
        <w:rPr>
          <w:rFonts w:ascii="Arial" w:cs="Arial" w:eastAsia="Arial" w:hAnsi="Arial"/>
          <w:sz w:val="20"/>
          <w:szCs w:val="20"/>
        </w:rPr>
        <w:t xml:space="preserve">Circular Linked Lists (L7–L10): Continuous local, system-wide, emergency, and stability monitoring loops</w:t>
      </w:r>
    </w:p>
    <w:p>
      <w:pPr>
        <w:pStyle w:val="ListParagraph"/>
        <w:numPr>
          <w:ilvl w:val="0"/>
          <w:numId w:val="2"/>
        </w:numPr>
        <w:spacing w:after="60"/>
      </w:pPr>
      <w:r>
        <w:rPr>
          <w:rFonts w:ascii="Arial" w:cs="Arial" w:eastAsia="Arial" w:hAnsi="Arial"/>
          <w:sz w:val="20"/>
          <w:szCs w:val="20"/>
        </w:rPr>
        <w:t xml:space="preserve">Queue System (Q1–Q4): Routine, surveillance, emergency, and multi-factor decision scheduling</w:t>
      </w:r>
    </w:p>
    <w:p>
      <w:pPr>
        <w:pStyle w:val="ListParagraph"/>
        <w:numPr>
          <w:ilvl w:val="0"/>
          <w:numId w:val="2"/>
        </w:numPr>
        <w:spacing w:after="60"/>
      </w:pPr>
      <w:r>
        <w:rPr>
          <w:rFonts w:ascii="Arial" w:cs="Arial" w:eastAsia="Arial" w:hAnsi="Arial"/>
          <w:sz w:val="20"/>
          <w:szCs w:val="20"/>
        </w:rPr>
        <w:t xml:space="preserve">Tree Structures (T1–T12): Zone hierarchy, terrain classification, resource tracking, fire classification, decision trees</w:t>
      </w:r>
    </w:p>
    <w:p>
      <w:pPr>
        <w:pStyle w:val="ListParagraph"/>
        <w:numPr>
          <w:ilvl w:val="0"/>
          <w:numId w:val="2"/>
        </w:numPr>
        <w:spacing w:after="60"/>
      </w:pPr>
      <w:r>
        <w:rPr>
          <w:rFonts w:ascii="Arial" w:cs="Arial" w:eastAsia="Arial" w:hAnsi="Arial"/>
          <w:sz w:val="20"/>
          <w:szCs w:val="20"/>
        </w:rPr>
        <w:t xml:space="preserve">Graph Layer (G1–G2): Adjacency list and adjacency matrix for fire-spread BFS and DFS routing</w:t>
      </w:r>
    </w:p>
    <w:p>
      <w:pPr>
        <w:pStyle w:val="ListParagraph"/>
        <w:numPr>
          <w:ilvl w:val="0"/>
          <w:numId w:val="2"/>
        </w:numPr>
        <w:spacing w:after="60"/>
      </w:pPr>
      <w:r>
        <w:rPr>
          <w:rFonts w:ascii="Arial" w:cs="Arial" w:eastAsia="Arial" w:hAnsi="Arial"/>
          <w:sz w:val="20"/>
          <w:szCs w:val="20"/>
        </w:rPr>
        <w:t xml:space="preserve">Hash Tables (H1–H3): Primary index, collision-handling, and fast retrieval cache for O(1) zone lookup</w:t>
      </w:r>
    </w:p>
    <w:p>
      <w:pPr>
        <w:pStyle w:val="ListParagraph"/>
        <w:numPr>
          <w:ilvl w:val="0"/>
          <w:numId w:val="2"/>
        </w:numPr>
        <w:spacing w:after="60"/>
      </w:pPr>
      <w:r>
        <w:rPr>
          <w:rFonts w:ascii="Arial" w:cs="Arial" w:eastAsia="Arial" w:hAnsi="Arial"/>
          <w:sz w:val="20"/>
          <w:szCs w:val="20"/>
        </w:rPr>
        <w:t xml:space="preserve">Stack (Dept 3): Execution state management and rollback capability</w:t>
      </w:r>
    </w:p>
    <w:p>
      <w:pPr>
        <w:pStyle w:val="Heading2"/>
        <w:spacing w:after="120" w:before="200"/>
      </w:pPr>
      <w:r>
        <w:t xml:space="preserve">1.2 Key Features</w:t>
      </w:r>
    </w:p>
    <w:p>
      <w:pPr>
        <w:pStyle w:val="ListParagraph"/>
        <w:numPr>
          <w:ilvl w:val="0"/>
          <w:numId w:val="2"/>
        </w:numPr>
        <w:spacing w:after="60"/>
      </w:pPr>
      <w:r>
        <w:rPr>
          <w:rFonts w:ascii="Arial" w:cs="Arial" w:eastAsia="Arial" w:hAnsi="Arial"/>
          <w:sz w:val="20"/>
          <w:szCs w:val="20"/>
        </w:rPr>
        <w:t xml:space="preserve">Real-time sensor ingestion and threshold-based anomaly filtering (Temp &gt; 45°C, Smoke &gt; 70, Humidity &lt; 20%)</w:t>
      </w:r>
    </w:p>
    <w:p>
      <w:pPr>
        <w:pStyle w:val="ListParagraph"/>
        <w:numPr>
          <w:ilvl w:val="0"/>
          <w:numId w:val="2"/>
        </w:numPr>
        <w:spacing w:after="60"/>
      </w:pPr>
      <w:r>
        <w:rPr>
          <w:rFonts w:ascii="Arial" w:cs="Arial" w:eastAsia="Arial" w:hAnsi="Arial"/>
          <w:sz w:val="20"/>
          <w:szCs w:val="20"/>
        </w:rPr>
        <w:t xml:space="preserve">Spatial interpolation to estimate missing zone values from neighbours</w:t>
      </w:r>
    </w:p>
    <w:p>
      <w:pPr>
        <w:pStyle w:val="ListParagraph"/>
        <w:numPr>
          <w:ilvl w:val="0"/>
          <w:numId w:val="2"/>
        </w:numPr>
        <w:spacing w:after="60"/>
      </w:pPr>
      <w:r>
        <w:rPr>
          <w:rFonts w:ascii="Arial" w:cs="Arial" w:eastAsia="Arial" w:hAnsi="Arial"/>
          <w:sz w:val="20"/>
          <w:szCs w:val="20"/>
        </w:rPr>
        <w:t xml:space="preserve">Priority-based task scheduling with emergency pre-emption</w:t>
      </w:r>
    </w:p>
    <w:p>
      <w:pPr>
        <w:pStyle w:val="ListParagraph"/>
        <w:numPr>
          <w:ilvl w:val="0"/>
          <w:numId w:val="2"/>
        </w:numPr>
        <w:spacing w:after="60"/>
      </w:pPr>
      <w:r>
        <w:rPr>
          <w:rFonts w:ascii="Arial" w:cs="Arial" w:eastAsia="Arial" w:hAnsi="Arial"/>
          <w:sz w:val="20"/>
          <w:szCs w:val="20"/>
        </w:rPr>
        <w:t xml:space="preserve">BFS fire-spread prediction and DFS deep-path evacuation analysis</w:t>
      </w:r>
    </w:p>
    <w:p>
      <w:pPr>
        <w:pStyle w:val="ListParagraph"/>
        <w:numPr>
          <w:ilvl w:val="0"/>
          <w:numId w:val="2"/>
        </w:numPr>
        <w:spacing w:after="60"/>
      </w:pPr>
      <w:r>
        <w:rPr>
          <w:rFonts w:ascii="Arial" w:cs="Arial" w:eastAsia="Arial" w:hAnsi="Arial"/>
          <w:sz w:val="20"/>
          <w:szCs w:val="20"/>
        </w:rPr>
        <w:t xml:space="preserve">Bidirectional event correction and global state synchronisation</w:t>
      </w:r>
    </w:p>
    <w:p>
      <w:pPr>
        <w:pStyle w:val="ListParagraph"/>
        <w:numPr>
          <w:ilvl w:val="0"/>
          <w:numId w:val="2"/>
        </w:numPr>
        <w:spacing w:after="60"/>
      </w:pPr>
      <w:r>
        <w:rPr>
          <w:rFonts w:ascii="Arial" w:cs="Arial" w:eastAsia="Arial" w:hAnsi="Arial"/>
          <w:sz w:val="20"/>
          <w:szCs w:val="20"/>
        </w:rPr>
        <w:t xml:space="preserve">O(1) hash-based zone data retrieval with chaining collision resolution</w:t>
      </w:r>
    </w:p>
    <w:p>
      <w:pPr>
        <w:pStyle w:val="ListParagraph"/>
        <w:numPr>
          <w:ilvl w:val="0"/>
          <w:numId w:val="2"/>
        </w:numPr>
        <w:spacing w:after="60"/>
      </w:pPr>
      <w:r>
        <w:rPr>
          <w:rFonts w:ascii="Arial" w:cs="Arial" w:eastAsia="Arial" w:hAnsi="Arial"/>
          <w:sz w:val="20"/>
          <w:szCs w:val="20"/>
        </w:rPr>
        <w:t xml:space="preserve">System monitoring with latency tracking, load analysis, and bottleneck detection</w:t>
      </w:r>
    </w:p>
    <w:p>
      <w:r>
        <w:br w:type="page"/>
      </w:r>
    </w:p>
    <w:p>
      <w:pPr>
        <w:pStyle w:val="Heading1"/>
        <w:spacing w:after="180" w:before="200"/>
      </w:pPr>
      <w:r>
        <w:t xml:space="preserve">2. Data Structure Usage Summary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4466"/>
      </w:tblGrid>
      <w:tr>
        <w:trPr>
          <w:tblHeader/>
        </w:trPr>
        <w:tc>
          <w:tcPr>
            <w:tcW w:type="dxa" w:w="3200"/>
            <w:tcBorders>
              <w:top w:val="single" w:color="AAAAAA" w:sz="1"/>
              <w:left w:val="single" w:color="AAAAAA" w:sz="1"/>
              <w:bottom w:val="single" w:color="AAAAAA" w:sz="1"/>
              <w:right w:val="single" w:color="AAAAAA" w:sz="1"/>
            </w:tcBorders>
            <w:shd w:fill="2E5B8A" w:val="clear"/>
            <w:tcMar>
              <w:top w:type="dxa" w:w="80"/>
              <w:left w:type="dxa" w:w="120"/>
              <w:bottom w:type="dxa" w:w="80"/>
              <w:right w:type="dxa" w:w="120"/>
            </w:tcMar>
          </w:tcPr>
          <w:p>
            <w:r>
              <w:rPr>
                <w:rFonts w:ascii="Arial" w:cs="Arial" w:eastAsia="Arial" w:hAnsi="Arial"/>
                <w:b/>
                <w:bCs/>
                <w:color w:val="FFFFFF"/>
                <w:sz w:val="18"/>
                <w:szCs w:val="18"/>
              </w:rPr>
              <w:t xml:space="preserve">Data Structure</w:t>
            </w:r>
          </w:p>
        </w:tc>
        <w:tc>
          <w:tcPr>
            <w:tcW w:type="dxa" w:w="2800"/>
            <w:tcBorders>
              <w:top w:val="single" w:color="AAAAAA" w:sz="1"/>
              <w:left w:val="single" w:color="AAAAAA" w:sz="1"/>
              <w:bottom w:val="single" w:color="AAAAAA" w:sz="1"/>
              <w:right w:val="single" w:color="AAAAAA" w:sz="1"/>
            </w:tcBorders>
            <w:shd w:fill="2E5B8A" w:val="clear"/>
            <w:tcMar>
              <w:top w:type="dxa" w:w="80"/>
              <w:left w:type="dxa" w:w="120"/>
              <w:bottom w:type="dxa" w:w="80"/>
              <w:right w:type="dxa" w:w="120"/>
            </w:tcMar>
          </w:tcPr>
          <w:p>
            <w:r>
              <w:rPr>
                <w:rFonts w:ascii="Arial" w:cs="Arial" w:eastAsia="Arial" w:hAnsi="Arial"/>
                <w:b/>
                <w:bCs/>
                <w:color w:val="FFFFFF"/>
                <w:sz w:val="18"/>
                <w:szCs w:val="18"/>
              </w:rPr>
              <w:t xml:space="preserve">Time Complexity</w:t>
            </w:r>
          </w:p>
        </w:tc>
        <w:tc>
          <w:tcPr>
            <w:tcW w:type="dxa" w:w="4466"/>
            <w:tcBorders>
              <w:top w:val="single" w:color="AAAAAA" w:sz="1"/>
              <w:left w:val="single" w:color="AAAAAA" w:sz="1"/>
              <w:bottom w:val="single" w:color="AAAAAA" w:sz="1"/>
              <w:right w:val="single" w:color="AAAAAA" w:sz="1"/>
            </w:tcBorders>
            <w:shd w:fill="2E5B8A" w:val="clear"/>
            <w:tcMar>
              <w:top w:type="dxa" w:w="80"/>
              <w:left w:type="dxa" w:w="120"/>
              <w:bottom w:type="dxa" w:w="80"/>
              <w:right w:type="dxa" w:w="120"/>
            </w:tcMar>
          </w:tcPr>
          <w:p>
            <w:r>
              <w:rPr>
                <w:rFonts w:ascii="Arial" w:cs="Arial" w:eastAsia="Arial" w:hAnsi="Arial"/>
                <w:b/>
                <w:bCs/>
                <w:color w:val="FFFFFF"/>
                <w:sz w:val="18"/>
                <w:szCs w:val="18"/>
              </w:rPr>
              <w:t xml:space="preserve">Use Case</w:t>
            </w:r>
          </w:p>
        </w:tc>
      </w:tr>
      <w:tr>
        <w:trPr>
          <w:tblHeader w:val="false"/>
        </w:trPr>
        <w:tc>
          <w:tcPr>
            <w:tcW w:type="dxa" w:w="3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Arrays (A1-A4)</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O(1) access, O(n) scan</w:t>
            </w:r>
          </w:p>
        </w:tc>
        <w:tc>
          <w:tcPr>
            <w:tcW w:type="dxa" w:w="4466"/>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Sensor data, grid matrices</w:t>
            </w:r>
          </w:p>
        </w:tc>
      </w:tr>
      <w:tr>
        <w:trPr>
          <w:tblHeader w:val="false"/>
        </w:trPr>
        <w:tc>
          <w:tcPr>
            <w:tcW w:type="dxa" w:w="3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Linked Lists (L1-L6)</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O(1) insert, O(n) search</w:t>
            </w:r>
          </w:p>
        </w:tc>
        <w:tc>
          <w:tcPr>
            <w:tcW w:type="dxa" w:w="4466"/>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Event streams, correction chains</w:t>
            </w:r>
          </w:p>
        </w:tc>
      </w:tr>
      <w:tr>
        <w:trPr>
          <w:tblHeader w:val="false"/>
        </w:trPr>
        <w:tc>
          <w:tcPr>
            <w:tcW w:type="dxa" w:w="3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Circular LL (L7-L10)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 per cycle</w:t>
            </w:r>
          </w:p>
        </w:tc>
        <w:tc>
          <w:tcPr>
            <w:tcW w:type="dxa" w:w="4466"/>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Continuous monitoring loops</w:t>
            </w:r>
          </w:p>
        </w:tc>
      </w:tr>
      <w:tr>
        <w:trPr>
          <w:tblHeader w:val="false"/>
        </w:trPr>
        <w:tc>
          <w:tcPr>
            <w:tcW w:type="dxa" w:w="3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18"/>
                <w:szCs w:val="18"/>
              </w:rPr>
              <w:t xml:space="preserve">Queues (Q1-Q4)</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O(1) enqueue/dequeue</w:t>
            </w:r>
          </w:p>
        </w:tc>
        <w:tc>
          <w:tcPr>
            <w:tcW w:type="dxa" w:w="4466"/>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18"/>
                <w:szCs w:val="18"/>
              </w:rPr>
              <w:t xml:space="preserve">Task scheduling, FIFO priority</w:t>
            </w:r>
          </w:p>
        </w:tc>
      </w:tr>
      <w:tr>
        <w:trPr>
          <w:tblHeader w:val="false"/>
        </w:trPr>
        <w:tc>
          <w:tcPr>
            <w:tcW w:type="dxa" w:w="3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Trees (T1-T12)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O(log n) search, O(h) traverse</w:t>
            </w:r>
          </w:p>
        </w:tc>
        <w:tc>
          <w:tcPr>
            <w:tcW w:type="dxa" w:w="4466"/>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Decision intelligence, risk scoring</w:t>
            </w:r>
          </w:p>
        </w:tc>
      </w:tr>
      <w:tr>
        <w:trPr>
          <w:tblHeader w:val="false"/>
        </w:trPr>
        <w:tc>
          <w:tcPr>
            <w:tcW w:type="dxa" w:w="3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Graphs (G1-G2)</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O(V+E) BFS/DFS</w:t>
            </w:r>
          </w:p>
        </w:tc>
        <w:tc>
          <w:tcPr>
            <w:tcW w:type="dxa" w:w="4466"/>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18"/>
                <w:szCs w:val="18"/>
              </w:rPr>
              <w:t xml:space="preserve">Fire spread, routing</w:t>
            </w:r>
          </w:p>
        </w:tc>
      </w:tr>
      <w:tr>
        <w:trPr>
          <w:tblHeader w:val="false"/>
        </w:trPr>
        <w:tc>
          <w:tcPr>
            <w:tcW w:type="dxa" w:w="3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Hash Tables (H1-H3)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O(1) avg, O(n) worst</w:t>
            </w:r>
          </w:p>
        </w:tc>
        <w:tc>
          <w:tcPr>
            <w:tcW w:type="dxa" w:w="4466"/>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Fast zone data retrieval</w:t>
            </w:r>
          </w:p>
        </w:tc>
      </w:tr>
      <w:tr>
        <w:trPr>
          <w:tblHeader w:val="false"/>
        </w:trPr>
        <w:tc>
          <w:tcPr>
            <w:tcW w:type="dxa" w:w="3200"/>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Stack</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O(1) push/pop</w:t>
            </w:r>
          </w:p>
        </w:tc>
        <w:tc>
          <w:tcPr>
            <w:tcW w:type="dxa" w:w="4466"/>
            <w:tcBorders>
              <w:top w:val="single" w:color="AAAAAA" w:sz="1"/>
              <w:left w:val="single" w:color="AAAAAA" w:sz="1"/>
              <w:bottom w:val="single" w:color="AAAAAA" w:sz="1"/>
              <w:right w:val="single" w:color="AAAAAA" w:sz="1"/>
            </w:tcBorders>
            <w:shd w:fill="F5F8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Execution state &amp; rollback</w:t>
            </w:r>
          </w:p>
        </w:tc>
      </w:tr>
    </w:tbl>
    <w:p>
      <w:pPr>
        <w:spacing w:after="200"/>
      </w:pPr>
    </w:p>
    <w:p>
      <w:pPr>
        <w:spacing w:after="80"/>
      </w:pPr>
      <w:r>
        <w:rPr>
          <w:rFonts w:ascii="Arial" w:cs="Arial" w:eastAsia="Arial" w:hAnsi="Arial"/>
          <w:sz w:val="20"/>
          <w:szCs w:val="20"/>
        </w:rPr>
        <w:t xml:space="preserve">Risk score formula used by the decision tree layer:</w:t>
      </w:r>
    </w:p>
    <w:p>
      <w:pPr>
        <w:spacing w:after="100" w:before="100"/>
        <w:jc w:val="center"/>
      </w:pPr>
      <w:r>
        <w:rPr>
          <w:rFonts w:ascii="Courier New" w:cs="Courier New" w:eastAsia="Courier New" w:hAnsi="Courier New"/>
          <w:b/>
          <w:bCs/>
          <w:sz w:val="22"/>
          <w:szCs w:val="22"/>
        </w:rPr>
        <w:t xml:space="preserve">Risk = 0.4 × (Temp/100) + 0.3 × (Smoke/100) + 0.3 × ((100 − Humidity)/100)</w:t>
      </w:r>
    </w:p>
    <w:p>
      <w:pPr>
        <w:pStyle w:val="ListParagraph"/>
        <w:numPr>
          <w:ilvl w:val="0"/>
          <w:numId w:val="2"/>
        </w:numPr>
        <w:spacing w:after="60"/>
      </w:pPr>
      <w:r>
        <w:rPr>
          <w:rFonts w:ascii="Arial" w:cs="Arial" w:eastAsia="Arial" w:hAnsi="Arial"/>
          <w:sz w:val="20"/>
          <w:szCs w:val="20"/>
        </w:rPr>
        <w:t xml:space="preserve">Score &lt; 0.3  →  NORMAL</w:t>
      </w:r>
    </w:p>
    <w:p>
      <w:pPr>
        <w:pStyle w:val="ListParagraph"/>
        <w:numPr>
          <w:ilvl w:val="0"/>
          <w:numId w:val="2"/>
        </w:numPr>
        <w:spacing w:after="60"/>
      </w:pPr>
      <w:r>
        <w:rPr>
          <w:rFonts w:ascii="Arial" w:cs="Arial" w:eastAsia="Arial" w:hAnsi="Arial"/>
          <w:sz w:val="20"/>
          <w:szCs w:val="20"/>
        </w:rPr>
        <w:t xml:space="preserve">Score 0.3–0.6  →  INCREASED MONITORING</w:t>
      </w:r>
    </w:p>
    <w:p>
      <w:pPr>
        <w:pStyle w:val="ListParagraph"/>
        <w:numPr>
          <w:ilvl w:val="0"/>
          <w:numId w:val="2"/>
        </w:numPr>
        <w:spacing w:after="60"/>
      </w:pPr>
      <w:r>
        <w:rPr>
          <w:rFonts w:ascii="Arial" w:cs="Arial" w:eastAsia="Arial" w:hAnsi="Arial"/>
          <w:sz w:val="20"/>
          <w:szCs w:val="20"/>
        </w:rPr>
        <w:t xml:space="preserve">Score &gt; 0.6  →  EMERGENCY ACTIVATED</w:t>
      </w:r>
    </w:p>
    <w:p>
      <w:r>
        <w:br w:type="page"/>
      </w:r>
    </w:p>
    <w:p>
      <w:pPr>
        <w:pStyle w:val="Heading1"/>
        <w:spacing w:after="180" w:before="200"/>
      </w:pPr>
      <w:r>
        <w:t xml:space="preserve">3. Five Complete Scenarios</w:t>
      </w:r>
    </w:p>
    <w:p>
      <w:pPr>
        <w:pStyle w:val="Heading2"/>
        <w:spacing w:after="100" w:before="180"/>
      </w:pPr>
      <w:r>
        <w:t xml:space="preserve">Scenario 1: Cascading Fire &amp; Resource Conflict Resolution</w:t>
      </w:r>
    </w:p>
    <w:p>
      <w:pPr>
        <w:spacing w:after="80"/>
      </w:pPr>
      <w:r>
        <w:rPr>
          <w:rFonts w:ascii="Arial" w:cs="Arial" w:eastAsia="Arial" w:hAnsi="Arial"/>
          <w:sz w:val="20"/>
          <w:szCs w:val="20"/>
        </w:rPr>
        <w:t xml:space="preserve">A fire ignites in Zone 3 and spreads toward Zones 4 and 6. Sensor readings (temperature, smoke, wind) are continuously ingested. Valid readings flow through L1 → L2 → L3 (raw → verified → anomaly). Emergency tasks enter Q3 for priority processing. BFS traversal on G1 predicts spread level-by-level. Resources are allocated via O(1) hash lookup. The stack captures state snapshots for potential rollback.</w:t>
      </w:r>
    </w:p>
    <w:p>
      <w:pPr>
        <w:spacing w:after="120"/>
      </w:pPr>
      <w:r>
        <w:rPr>
          <w:rFonts w:ascii="Arial" w:cs="Arial" w:eastAsia="Arial" w:hAnsi="Arial"/>
          <w:b/>
          <w:bCs/>
          <w:color w:val="2E5B8A"/>
          <w:sz w:val="20"/>
          <w:szCs w:val="20"/>
        </w:rPr>
        <w:t xml:space="preserve">Data structures: Arrays, Linked Lists (L1–L4), Queues (Q3), Stack, Graph (BFS).</w:t>
      </w:r>
    </w:p>
    <w:p>
      <w:pPr>
        <w:pStyle w:val="Heading2"/>
        <w:spacing w:after="100" w:before="180"/>
      </w:pPr>
      <w:r>
        <w:t xml:space="preserve">Scenario 2: Sensor Failure &amp; System Reconstruction</w:t>
      </w:r>
    </w:p>
    <w:p>
      <w:pPr>
        <w:spacing w:after="80"/>
      </w:pPr>
      <w:r>
        <w:rPr>
          <w:rFonts w:ascii="Arial" w:cs="Arial" w:eastAsia="Arial" w:hAnsi="Arial"/>
          <w:sz w:val="20"/>
          <w:szCs w:val="20"/>
        </w:rPr>
        <w:t xml:space="preserve">Zone 2 sensors begin emitting incomplete or incorrect readings. The system compares live stream A2 against the static baseline A1. Backward traversal of the doubly-linked list L5 identifies the last valid state. Missing values are estimated from adjacent zone patterns via spatial interpolation. Reconstructed data is cached in H3 for fast future access. L6 ensures global state consistency after recovery.</w:t>
      </w:r>
    </w:p>
    <w:p>
      <w:pPr>
        <w:spacing w:after="120"/>
      </w:pPr>
      <w:r>
        <w:rPr>
          <w:rFonts w:ascii="Arial" w:cs="Arial" w:eastAsia="Arial" w:hAnsi="Arial"/>
          <w:b/>
          <w:bCs/>
          <w:color w:val="2E5B8A"/>
          <w:sz w:val="20"/>
          <w:szCs w:val="20"/>
        </w:rPr>
        <w:t xml:space="preserve">Data structures: Arrays (A1, A2), Doubly Linked List (L5), State Sync Chain (L6), Hash Cache (H3).</w:t>
      </w:r>
    </w:p>
    <w:p>
      <w:pPr>
        <w:pStyle w:val="Heading2"/>
        <w:spacing w:after="100" w:before="180"/>
      </w:pPr>
      <w:r>
        <w:t xml:space="preserve">Scenario 3: Multi-Factor Anomaly Escalation</w:t>
      </w:r>
    </w:p>
    <w:p>
      <w:pPr>
        <w:spacing w:after="80"/>
      </w:pPr>
      <w:r>
        <w:rPr>
          <w:rFonts w:ascii="Arial" w:cs="Arial" w:eastAsia="Arial" w:hAnsi="Arial"/>
          <w:sz w:val="20"/>
          <w:szCs w:val="20"/>
        </w:rPr>
        <w:t xml:space="preserve">Three simultaneous events occur: abnormal animal movement, rising fire risk (temperature + smoke spike), and human intrusion in a restricted zone. All signals are correlated through the anomaly stream L3. Tree hierarchy T10 → T11 aggregates multi-factor risk scores. Circular lists L9 and L10 accelerate monitoring loops. Escalation progresses from zone-level to regional to global alert.</w:t>
      </w:r>
    </w:p>
    <w:p>
      <w:pPr>
        <w:spacing w:after="120"/>
      </w:pPr>
      <w:r>
        <w:rPr>
          <w:rFonts w:ascii="Arial" w:cs="Arial" w:eastAsia="Arial" w:hAnsi="Arial"/>
          <w:b/>
          <w:bCs/>
          <w:color w:val="2E5B8A"/>
          <w:sz w:val="20"/>
          <w:szCs w:val="20"/>
        </w:rPr>
        <w:t xml:space="preserve">Data structures: Arrays, Anomaly Stream (L3), Trees (T10, T11), Circular LL (L9, L10).</w:t>
      </w:r>
    </w:p>
    <w:p>
      <w:pPr>
        <w:pStyle w:val="Heading2"/>
        <w:spacing w:after="100" w:before="180"/>
      </w:pPr>
      <w:r>
        <w:t xml:space="preserve">Scenario 4: System Overload &amp; Load Redistribution</w:t>
      </w:r>
    </w:p>
    <w:p>
      <w:pPr>
        <w:spacing w:after="80"/>
      </w:pPr>
      <w:r>
        <w:rPr>
          <w:rFonts w:ascii="Arial" w:cs="Arial" w:eastAsia="Arial" w:hAnsi="Arial"/>
          <w:sz w:val="20"/>
          <w:szCs w:val="20"/>
        </w:rPr>
        <w:t xml:space="preserve">A sudden surge of incoming sensor updates exceeds normal processing capacity. Q1 (routine) tasks are deferred; Q3 (emergency) tasks receive immediate CPU. The stack captures frequent state snapshots during high load. Hash-based O(1) lookups prevent redundant computation. After the surge subsides, deferred Q1 tasks are reintroduced in a controlled manner and the system returns to balanced operation.</w:t>
      </w:r>
    </w:p>
    <w:p>
      <w:pPr>
        <w:spacing w:after="120"/>
      </w:pPr>
      <w:r>
        <w:rPr>
          <w:rFonts w:ascii="Arial" w:cs="Arial" w:eastAsia="Arial" w:hAnsi="Arial"/>
          <w:b/>
          <w:bCs/>
          <w:color w:val="2E5B8A"/>
          <w:sz w:val="20"/>
          <w:szCs w:val="20"/>
        </w:rPr>
        <w:t xml:space="preserve">Data structures: All four Queues (Q1–Q4), Stack, Hash Tables (H1–H3), Arrays.</w:t>
      </w:r>
    </w:p>
    <w:p>
      <w:pPr>
        <w:pStyle w:val="Heading2"/>
        <w:spacing w:after="100" w:before="180"/>
      </w:pPr>
      <w:r>
        <w:t xml:space="preserve">Scenario 5: Global Multi-Zone Emergency Synchronisation</w:t>
      </w:r>
    </w:p>
    <w:p>
      <w:pPr>
        <w:spacing w:after="80"/>
      </w:pPr>
      <w:r>
        <w:rPr>
          <w:rFonts w:ascii="Arial" w:cs="Arial" w:eastAsia="Arial" w:hAnsi="Arial"/>
          <w:sz w:val="20"/>
          <w:szCs w:val="20"/>
        </w:rPr>
        <w:t xml:space="preserve">Critical conditions appear simultaneously in five or more of the nine zones. All data structures operate in an integrated crisis mode: arrays collect nine-zone sensor data; linked-list chains (L1–L6) propagate events; circular lists (L7–L10) cycle continuously; all queues (Q1–Q4) activate at maximum priority; the tree hierarchy escalates rapidly to global decision node T12; graph algorithms identify safe corridors; hash tables enable instant resource distribution; the stack manages multi-checkpoint rollback. L6 maintains global state consistency throughout.</w:t>
      </w:r>
    </w:p>
    <w:p>
      <w:pPr>
        <w:spacing w:after="120"/>
      </w:pPr>
      <w:r>
        <w:rPr>
          <w:rFonts w:ascii="Arial" w:cs="Arial" w:eastAsia="Arial" w:hAnsi="Arial"/>
          <w:b/>
          <w:bCs/>
          <w:color w:val="2E5B8A"/>
          <w:sz w:val="20"/>
          <w:szCs w:val="20"/>
        </w:rPr>
        <w:t xml:space="preserve">Data structures: All modules active in coordinated crisis mode.</w:t>
      </w:r>
    </w:p>
    <w:p>
      <w:pPr>
        <w:spacing w:after="200" w:before="200"/>
        <w:jc w:val="center"/>
      </w:pPr>
      <w:r>
        <w:rPr>
          <w:rFonts w:ascii="Arial" w:cs="Arial" w:eastAsia="Arial" w:hAnsi="Arial"/>
          <w:i/>
          <w:iCs/>
          <w:color w:val="333333"/>
          <w:sz w:val="20"/>
          <w:szCs w:val="20"/>
        </w:rPr>
        <w:t xml:space="preserve">The IFAMDS system demonstrates that correct selection and integration of data structures enables a robust, efficient, and maintainable real-world simulation — from routine sensor polling to full multi-zone emergency response.</w:t>
      </w:r>
    </w:p>
    <w:p>
      <w:r>
        <w:br w:type="page"/>
      </w:r>
    </w:p>
    <w:p>
      <w:pPr>
        <w:pStyle w:val="Heading1"/>
        <w:spacing w:after="180" w:before="200"/>
      </w:pPr>
      <w:r>
        <w:t xml:space="preserve">4. SFML-Based Screenshots</w:t>
      </w:r>
    </w:p>
    <w:p>
      <w:pPr>
        <w:spacing w:after="80"/>
      </w:pPr>
      <w:r>
        <w:rPr>
          <w:rFonts w:ascii="Arial" w:cs="Arial" w:eastAsia="Arial" w:hAnsi="Arial"/>
          <w:sz w:val="20"/>
          <w:szCs w:val="20"/>
        </w:rPr>
        <w:t xml:space="preserve">The following screenshots show the graphical SFML interface of the IFAMDS system, featuring the themed menu navigation and output result panels. Duplicate frames have been removed.</w:t>
      </w:r>
    </w:p>
    <w:p>
      <w:pPr>
        <w:spacing w:after="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173"/>
            <w:tcBorders>
              <w:top w:val="none"/>
              <w:left w:val="none"/>
              <w:bottom w:val="none"/>
              <w:right w:val="none"/>
            </w:tcBorders>
            <w:tcMar>
              <w:top w:type="dxa" w:w="40"/>
              <w:left w:type="dxa" w:w="50"/>
              <w:bottom w:type="dxa" w:w="40"/>
              <w:right w:type="dxa" w:w="50"/>
            </w:tcMar>
          </w:tcPr>
          <w:p>
            <w:pPr>
              <w:spacing w:after="60"/>
              <w:jc w:val="center"/>
            </w:pPr>
            <w:r>
              <w:drawing>
                <wp:inline distT="0" distB="0" distL="0" distR="0">
                  <wp:extent cx="3286125" cy="2066925"/>
                  <wp:effectExtent t="0" r="0" b="0" l="0"/>
                  <wp:docPr id="1" name="sfml_01.png" descr="sfml_01.png" title="sfml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286125" cy="2066925"/>
                          </a:xfrm>
                          <a:prstGeom prst="rect">
                            <a:avLst/>
                          </a:prstGeom>
                        </pic:spPr>
                      </pic:pic>
                    </a:graphicData>
                  </a:graphic>
                </wp:inline>
              </w:drawing>
            </w:r>
          </w:p>
        </w:tc>
        <w:tc>
          <w:tcPr>
            <w:tcW w:type="dxa" w:w="5173"/>
            <w:tcBorders>
              <w:top w:val="none"/>
              <w:left w:val="none"/>
              <w:bottom w:val="none"/>
              <w:right w:val="none"/>
            </w:tcBorders>
            <w:tcMar>
              <w:top w:type="dxa" w:w="40"/>
              <w:left w:type="dxa" w:w="50"/>
              <w:bottom w:type="dxa" w:w="40"/>
              <w:right w:type="dxa" w:w="50"/>
            </w:tcMar>
          </w:tcPr>
          <w:p>
            <w:pPr>
              <w:spacing w:after="60"/>
              <w:jc w:val="center"/>
            </w:pPr>
            <w:r>
              <w:drawing>
                <wp:inline distT="0" distB="0" distL="0" distR="0">
                  <wp:extent cx="3286125" cy="2066925"/>
                  <wp:effectExtent t="0" r="0" b="0" l="0"/>
                  <wp:docPr id="1" name="sfml_02.png" descr="sfml_02.png" title="sfml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86125" cy="2066925"/>
                          </a:xfrm>
                          <a:prstGeom prst="rect">
                            <a:avLst/>
                          </a:prstGeom>
                        </pic:spPr>
                      </pic:pic>
                    </a:graphicData>
                  </a:graphic>
                </wp:inline>
              </w:drawing>
            </w:r>
          </w:p>
        </w:tc>
      </w:tr>
    </w:tbl>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173"/>
            <w:tcBorders>
              <w:top w:val="none"/>
              <w:left w:val="none"/>
              <w:bottom w:val="none"/>
              <w:right w:val="none"/>
            </w:tcBorders>
            <w:tcMar>
              <w:top w:type="dxa" w:w="40"/>
              <w:left w:type="dxa" w:w="50"/>
              <w:bottom w:type="dxa" w:w="40"/>
              <w:right w:type="dxa" w:w="50"/>
            </w:tcMar>
          </w:tcPr>
          <w:p>
            <w:pPr>
              <w:spacing w:after="60"/>
              <w:jc w:val="center"/>
            </w:pPr>
            <w:r>
              <w:drawing>
                <wp:inline distT="0" distB="0" distL="0" distR="0">
                  <wp:extent cx="3286125" cy="2066925"/>
                  <wp:effectExtent t="0" r="0" b="0" l="0"/>
                  <wp:docPr id="1" name="sfml_03.png" descr="sfml_03.png" title="sfml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86125" cy="2066925"/>
                          </a:xfrm>
                          <a:prstGeom prst="rect">
                            <a:avLst/>
                          </a:prstGeom>
                        </pic:spPr>
                      </pic:pic>
                    </a:graphicData>
                  </a:graphic>
                </wp:inline>
              </w:drawing>
            </w:r>
          </w:p>
        </w:tc>
        <w:tc>
          <w:tcPr>
            <w:tcW w:type="dxa" w:w="5173"/>
            <w:tcBorders>
              <w:top w:val="none"/>
              <w:left w:val="none"/>
              <w:bottom w:val="none"/>
              <w:right w:val="none"/>
            </w:tcBorders>
            <w:tcMar>
              <w:top w:type="dxa" w:w="40"/>
              <w:left w:type="dxa" w:w="50"/>
              <w:bottom w:type="dxa" w:w="40"/>
              <w:right w:type="dxa" w:w="50"/>
            </w:tcMar>
          </w:tcPr>
          <w:p>
            <w:pPr>
              <w:spacing w:after="60"/>
              <w:jc w:val="center"/>
            </w:pPr>
            <w:r>
              <w:drawing>
                <wp:inline distT="0" distB="0" distL="0" distR="0">
                  <wp:extent cx="3286125" cy="2066925"/>
                  <wp:effectExtent t="0" r="0" b="0" l="0"/>
                  <wp:docPr id="1" name="sfml_04.png" descr="sfml_04.png" title="sfml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86125" cy="2066925"/>
                          </a:xfrm>
                          <a:prstGeom prst="rect">
                            <a:avLst/>
                          </a:prstGeom>
                        </pic:spPr>
                      </pic:pic>
                    </a:graphicData>
                  </a:graphic>
                </wp:inline>
              </w:drawing>
            </w:r>
          </w:p>
        </w:tc>
      </w:tr>
    </w:tbl>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173"/>
            <w:tcBorders>
              <w:top w:val="none"/>
              <w:left w:val="none"/>
              <w:bottom w:val="none"/>
              <w:right w:val="none"/>
            </w:tcBorders>
            <w:tcMar>
              <w:top w:type="dxa" w:w="40"/>
              <w:left w:type="dxa" w:w="50"/>
              <w:bottom w:type="dxa" w:w="40"/>
              <w:right w:type="dxa" w:w="50"/>
            </w:tcMar>
          </w:tcPr>
          <w:p>
            <w:pPr>
              <w:spacing w:after="60"/>
              <w:jc w:val="center"/>
            </w:pPr>
            <w:r>
              <w:drawing>
                <wp:inline distT="0" distB="0" distL="0" distR="0">
                  <wp:extent cx="3286125" cy="2066925"/>
                  <wp:effectExtent t="0" r="0" b="0" l="0"/>
                  <wp:docPr id="1" name="sfml_05.png" descr="sfml_05.png" title="sfml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86125" cy="2066925"/>
                          </a:xfrm>
                          <a:prstGeom prst="rect">
                            <a:avLst/>
                          </a:prstGeom>
                        </pic:spPr>
                      </pic:pic>
                    </a:graphicData>
                  </a:graphic>
                </wp:inline>
              </w:drawing>
            </w:r>
          </w:p>
        </w:tc>
        <w:tc>
          <w:tcPr>
            <w:tcW w:type="dxa" w:w="5173"/>
            <w:tcBorders>
              <w:top w:val="none"/>
              <w:left w:val="none"/>
              <w:bottom w:val="none"/>
              <w:right w:val="none"/>
            </w:tcBorders>
            <w:tcMar>
              <w:top w:type="dxa" w:w="40"/>
              <w:left w:type="dxa" w:w="50"/>
              <w:bottom w:type="dxa" w:w="40"/>
              <w:right w:type="dxa" w:w="50"/>
            </w:tcMar>
          </w:tcPr>
          <w:p>
            <w:pPr>
              <w:spacing w:after="60"/>
              <w:jc w:val="center"/>
            </w:pPr>
            <w:r>
              <w:drawing>
                <wp:inline distT="0" distB="0" distL="0" distR="0">
                  <wp:extent cx="3286125" cy="2066925"/>
                  <wp:effectExtent t="0" r="0" b="0" l="0"/>
                  <wp:docPr id="1" name="sfml_06.png" descr="sfml_06.png" title="sfml_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86125" cy="2066925"/>
                          </a:xfrm>
                          <a:prstGeom prst="rect">
                            <a:avLst/>
                          </a:prstGeom>
                        </pic:spPr>
                      </pic:pic>
                    </a:graphicData>
                  </a:graphic>
                </wp:inline>
              </w:drawing>
            </w:r>
          </w:p>
        </w:tc>
      </w:tr>
    </w:tbl>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173"/>
            <w:tcBorders>
              <w:top w:val="none"/>
              <w:left w:val="none"/>
              <w:bottom w:val="none"/>
              <w:right w:val="none"/>
            </w:tcBorders>
            <w:tcMar>
              <w:top w:type="dxa" w:w="40"/>
              <w:left w:type="dxa" w:w="50"/>
              <w:bottom w:type="dxa" w:w="40"/>
              <w:right w:type="dxa" w:w="50"/>
            </w:tcMar>
          </w:tcPr>
          <w:p>
            <w:pPr>
              <w:spacing w:after="60"/>
              <w:jc w:val="center"/>
            </w:pPr>
            <w:r>
              <w:drawing>
                <wp:inline distT="0" distB="0" distL="0" distR="0">
                  <wp:extent cx="3286125" cy="2066925"/>
                  <wp:effectExtent t="0" r="0" b="0" l="0"/>
                  <wp:docPr id="1" name="sfml_07.png" descr="sfml_07.png" title="sfml_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86125" cy="2066925"/>
                          </a:xfrm>
                          <a:prstGeom prst="rect">
                            <a:avLst/>
                          </a:prstGeom>
                        </pic:spPr>
                      </pic:pic>
                    </a:graphicData>
                  </a:graphic>
                </wp:inline>
              </w:drawing>
            </w:r>
          </w:p>
        </w:tc>
        <w:tc>
          <w:tcPr>
            <w:tcW w:type="dxa" w:w="5173"/>
            <w:tcBorders>
              <w:top w:val="none"/>
              <w:left w:val="none"/>
              <w:bottom w:val="none"/>
              <w:right w:val="none"/>
            </w:tcBorders>
            <w:tcMar>
              <w:top w:type="dxa" w:w="40"/>
              <w:left w:type="dxa" w:w="50"/>
              <w:bottom w:type="dxa" w:w="40"/>
              <w:right w:type="dxa" w:w="50"/>
            </w:tcMar>
          </w:tcPr>
          <w:p>
            <w:pPr>
              <w:spacing w:after="60"/>
              <w:jc w:val="center"/>
            </w:pPr>
            <w:r>
              <w:drawing>
                <wp:inline distT="0" distB="0" distL="0" distR="0">
                  <wp:extent cx="3286125" cy="2066925"/>
                  <wp:effectExtent t="0" r="0" b="0" l="0"/>
                  <wp:docPr id="1" name="sfml_08.png" descr="sfml_08.png" title="sfml_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86125" cy="2066925"/>
                          </a:xfrm>
                          <a:prstGeom prst="rect">
                            <a:avLst/>
                          </a:prstGeom>
                        </pic:spPr>
                      </pic:pic>
                    </a:graphicData>
                  </a:graphic>
                </wp:inline>
              </w:drawing>
            </w:r>
          </w:p>
        </w:tc>
      </w:tr>
    </w:tbl>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173"/>
            <w:tcBorders>
              <w:top w:val="none"/>
              <w:left w:val="none"/>
              <w:bottom w:val="none"/>
              <w:right w:val="none"/>
            </w:tcBorders>
            <w:tcMar>
              <w:top w:type="dxa" w:w="40"/>
              <w:left w:type="dxa" w:w="50"/>
              <w:bottom w:type="dxa" w:w="40"/>
              <w:right w:type="dxa" w:w="50"/>
            </w:tcMar>
          </w:tcPr>
          <w:p>
            <w:pPr>
              <w:spacing w:after="60"/>
              <w:jc w:val="center"/>
            </w:pPr>
            <w:r>
              <w:drawing>
                <wp:inline distT="0" distB="0" distL="0" distR="0">
                  <wp:extent cx="3286125" cy="2066925"/>
                  <wp:effectExtent t="0" r="0" b="0" l="0"/>
                  <wp:docPr id="1" name="sfml_09.png" descr="sfml_09.png" title="sfml_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86125" cy="2066925"/>
                          </a:xfrm>
                          <a:prstGeom prst="rect">
                            <a:avLst/>
                          </a:prstGeom>
                        </pic:spPr>
                      </pic:pic>
                    </a:graphicData>
                  </a:graphic>
                </wp:inline>
              </w:drawing>
            </w:r>
          </w:p>
        </w:tc>
        <w:tc>
          <w:tcPr>
            <w:tcW w:type="dxa" w:w="5173"/>
            <w:tcBorders>
              <w:top w:val="none"/>
              <w:left w:val="none"/>
              <w:bottom w:val="none"/>
              <w:right w:val="none"/>
            </w:tcBorders>
            <w:tcMar>
              <w:top w:type="dxa" w:w="40"/>
              <w:left w:type="dxa" w:w="50"/>
              <w:bottom w:type="dxa" w:w="40"/>
              <w:right w:type="dxa" w:w="50"/>
            </w:tcMar>
          </w:tcPr>
          <w:p>
            <w:pPr>
              <w:spacing w:after="60"/>
              <w:jc w:val="center"/>
            </w:pPr>
            <w:r>
              <w:drawing>
                <wp:inline distT="0" distB="0" distL="0" distR="0">
                  <wp:extent cx="3286125" cy="2066925"/>
                  <wp:effectExtent t="0" r="0" b="0" l="0"/>
                  <wp:docPr id="1" name="sfml_10.png" descr="sfml_10.png" title="sfml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86125" cy="2066925"/>
                          </a:xfrm>
                          <a:prstGeom prst="rect">
                            <a:avLst/>
                          </a:prstGeom>
                        </pic:spPr>
                      </pic:pic>
                    </a:graphicData>
                  </a:graphic>
                </wp:inline>
              </w:drawing>
            </w:r>
          </w:p>
        </w:tc>
      </w:tr>
    </w:tbl>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173"/>
            <w:tcBorders>
              <w:top w:val="none"/>
              <w:left w:val="none"/>
              <w:bottom w:val="none"/>
              <w:right w:val="none"/>
            </w:tcBorders>
            <w:tcMar>
              <w:top w:type="dxa" w:w="40"/>
              <w:left w:type="dxa" w:w="50"/>
              <w:bottom w:type="dxa" w:w="40"/>
              <w:right w:type="dxa" w:w="50"/>
            </w:tcMar>
          </w:tcPr>
          <w:p>
            <w:pPr>
              <w:spacing w:after="60"/>
              <w:jc w:val="center"/>
            </w:pPr>
            <w:r>
              <w:drawing>
                <wp:inline distT="0" distB="0" distL="0" distR="0">
                  <wp:extent cx="3286125" cy="2066925"/>
                  <wp:effectExtent t="0" r="0" b="0" l="0"/>
                  <wp:docPr id="1" name="sfml_11.png" descr="sfml_11.png" title="sfml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86125" cy="2066925"/>
                          </a:xfrm>
                          <a:prstGeom prst="rect">
                            <a:avLst/>
                          </a:prstGeom>
                        </pic:spPr>
                      </pic:pic>
                    </a:graphicData>
                  </a:graphic>
                </wp:inline>
              </w:drawing>
            </w:r>
          </w:p>
        </w:tc>
        <w:tc>
          <w:tcPr>
            <w:tcW w:type="dxa" w:w="5173"/>
            <w:tcBorders>
              <w:top w:val="none"/>
              <w:left w:val="none"/>
              <w:bottom w:val="none"/>
              <w:right w:val="none"/>
            </w:tcBorders>
            <w:tcMar>
              <w:top w:type="dxa" w:w="40"/>
              <w:left w:type="dxa" w:w="50"/>
              <w:bottom w:type="dxa" w:w="40"/>
              <w:right w:type="dxa" w:w="50"/>
            </w:tcMar>
          </w:tcPr>
          <w:p>
            <w:pPr>
              <w:spacing w:after="60"/>
              <w:jc w:val="center"/>
            </w:pPr>
            <w:r>
              <w:drawing>
                <wp:inline distT="0" distB="0" distL="0" distR="0">
                  <wp:extent cx="3286125" cy="2066925"/>
                  <wp:effectExtent t="0" r="0" b="0" l="0"/>
                  <wp:docPr id="1" name="sfml_12.png" descr="sfml_12.png" title="sfml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86125" cy="2066925"/>
                          </a:xfrm>
                          <a:prstGeom prst="rect">
                            <a:avLst/>
                          </a:prstGeom>
                        </pic:spPr>
                      </pic:pic>
                    </a:graphicData>
                  </a:graphic>
                </wp:inline>
              </w:drawing>
            </w:r>
          </w:p>
        </w:tc>
      </w:tr>
    </w:tbl>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173"/>
            <w:tcBorders>
              <w:top w:val="none"/>
              <w:left w:val="none"/>
              <w:bottom w:val="none"/>
              <w:right w:val="none"/>
            </w:tcBorders>
            <w:tcMar>
              <w:top w:type="dxa" w:w="40"/>
              <w:left w:type="dxa" w:w="50"/>
              <w:bottom w:type="dxa" w:w="40"/>
              <w:right w:type="dxa" w:w="50"/>
            </w:tcMar>
          </w:tcPr>
          <w:p>
            <w:pPr>
              <w:spacing w:after="60"/>
              <w:jc w:val="center"/>
            </w:pPr>
            <w:r>
              <w:drawing>
                <wp:inline distT="0" distB="0" distL="0" distR="0">
                  <wp:extent cx="3286125" cy="2066925"/>
                  <wp:effectExtent t="0" r="0" b="0" l="0"/>
                  <wp:docPr id="1" name="sfml_13.png" descr="sfml_13.png" title="sfml_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86125" cy="2066925"/>
                          </a:xfrm>
                          <a:prstGeom prst="rect">
                            <a:avLst/>
                          </a:prstGeom>
                        </pic:spPr>
                      </pic:pic>
                    </a:graphicData>
                  </a:graphic>
                </wp:inline>
              </w:drawing>
            </w:r>
          </w:p>
        </w:tc>
        <w:tc>
          <w:tcPr>
            <w:tcW w:type="dxa" w:w="5173"/>
            <w:tcBorders>
              <w:top w:val="none"/>
              <w:left w:val="none"/>
              <w:bottom w:val="none"/>
              <w:right w:val="none"/>
            </w:tcBorders>
            <w:tcMar>
              <w:top w:type="dxa" w:w="40"/>
              <w:left w:type="dxa" w:w="50"/>
              <w:bottom w:type="dxa" w:w="40"/>
              <w:right w:type="dxa" w:w="50"/>
            </w:tcMar>
          </w:tcPr>
          <w:p>
            <w:pPr>
              <w:spacing w:after="60"/>
              <w:jc w:val="center"/>
            </w:pPr>
            <w:r>
              <w:drawing>
                <wp:inline distT="0" distB="0" distL="0" distR="0">
                  <wp:extent cx="3286125" cy="2066925"/>
                  <wp:effectExtent t="0" r="0" b="0" l="0"/>
                  <wp:docPr id="1" name="sfml_14.png" descr="sfml_14.png" title="sfml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86125" cy="2066925"/>
                          </a:xfrm>
                          <a:prstGeom prst="rect">
                            <a:avLst/>
                          </a:prstGeom>
                        </pic:spPr>
                      </pic:pic>
                    </a:graphicData>
                  </a:graphic>
                </wp:inline>
              </w:drawing>
            </w:r>
          </w:p>
        </w:tc>
      </w:tr>
    </w:tbl>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173"/>
            <w:tcBorders>
              <w:top w:val="none"/>
              <w:left w:val="none"/>
              <w:bottom w:val="none"/>
              <w:right w:val="none"/>
            </w:tcBorders>
            <w:tcMar>
              <w:top w:type="dxa" w:w="40"/>
              <w:left w:type="dxa" w:w="50"/>
              <w:bottom w:type="dxa" w:w="40"/>
              <w:right w:type="dxa" w:w="50"/>
            </w:tcMar>
          </w:tcPr>
          <w:p>
            <w:pPr>
              <w:spacing w:after="60"/>
              <w:jc w:val="center"/>
            </w:pPr>
            <w:r>
              <w:drawing>
                <wp:inline distT="0" distB="0" distL="0" distR="0">
                  <wp:extent cx="3286125" cy="2066925"/>
                  <wp:effectExtent t="0" r="0" b="0" l="0"/>
                  <wp:docPr id="1" name="sfml_15.png" descr="sfml_15.png" title="sfml_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86125" cy="2066925"/>
                          </a:xfrm>
                          <a:prstGeom prst="rect">
                            <a:avLst/>
                          </a:prstGeom>
                        </pic:spPr>
                      </pic:pic>
                    </a:graphicData>
                  </a:graphic>
                </wp:inline>
              </w:drawing>
            </w:r>
          </w:p>
        </w:tc>
        <w:tc>
          <w:tcPr>
            <w:tcW w:type="dxa" w:w="5173"/>
            <w:tcBorders>
              <w:top w:val="none"/>
              <w:left w:val="none"/>
              <w:bottom w:val="none"/>
              <w:right w:val="none"/>
            </w:tcBorders>
            <w:tcMar>
              <w:top w:type="dxa" w:w="40"/>
              <w:left w:type="dxa" w:w="50"/>
              <w:bottom w:type="dxa" w:w="40"/>
              <w:right w:type="dxa" w:w="50"/>
            </w:tcMar>
          </w:tcPr>
          <w:p>
            <w:pPr>
              <w:spacing w:after="60"/>
              <w:jc w:val="center"/>
            </w:pPr>
            <w:r>
              <w:drawing>
                <wp:inline distT="0" distB="0" distL="0" distR="0">
                  <wp:extent cx="3286125" cy="2066925"/>
                  <wp:effectExtent t="0" r="0" b="0" l="0"/>
                  <wp:docPr id="1" name="sfml_16.png" descr="sfml_16.png" title="sfml_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86125" cy="2066925"/>
                          </a:xfrm>
                          <a:prstGeom prst="rect">
                            <a:avLst/>
                          </a:prstGeom>
                        </pic:spPr>
                      </pic:pic>
                    </a:graphicData>
                  </a:graphic>
                </wp:inline>
              </w:drawing>
            </w:r>
          </w:p>
        </w:tc>
      </w:tr>
    </w:tbl>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173"/>
            <w:tcBorders>
              <w:top w:val="none"/>
              <w:left w:val="none"/>
              <w:bottom w:val="none"/>
              <w:right w:val="none"/>
            </w:tcBorders>
            <w:tcMar>
              <w:top w:type="dxa" w:w="40"/>
              <w:left w:type="dxa" w:w="50"/>
              <w:bottom w:type="dxa" w:w="40"/>
              <w:right w:type="dxa" w:w="50"/>
            </w:tcMar>
          </w:tcPr>
          <w:p>
            <w:pPr>
              <w:spacing w:after="60"/>
              <w:jc w:val="center"/>
            </w:pPr>
            <w:r>
              <w:drawing>
                <wp:inline distT="0" distB="0" distL="0" distR="0">
                  <wp:extent cx="3286125" cy="2066925"/>
                  <wp:effectExtent t="0" r="0" b="0" l="0"/>
                  <wp:docPr id="1" name="sfml_17.png" descr="sfml_17.png" title="sfml_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86125" cy="2066925"/>
                          </a:xfrm>
                          <a:prstGeom prst="rect">
                            <a:avLst/>
                          </a:prstGeom>
                        </pic:spPr>
                      </pic:pic>
                    </a:graphicData>
                  </a:graphic>
                </wp:inline>
              </w:drawing>
            </w:r>
          </w:p>
        </w:tc>
        <w:tc>
          <w:tcPr>
            <w:tcW w:type="dxa" w:w="5173"/>
            <w:tcBorders>
              <w:top w:val="none"/>
              <w:left w:val="none"/>
              <w:bottom w:val="none"/>
              <w:right w:val="none"/>
            </w:tcBorders>
            <w:tcMar>
              <w:top w:type="dxa" w:w="40"/>
              <w:left w:type="dxa" w:w="50"/>
              <w:bottom w:type="dxa" w:w="40"/>
              <w:right w:type="dxa" w:w="50"/>
            </w:tcMar>
          </w:tcPr>
          <w:p>
            <w:pPr>
              <w:spacing w:after="60"/>
              <w:jc w:val="center"/>
            </w:pPr>
            <w:r>
              <w:drawing>
                <wp:inline distT="0" distB="0" distL="0" distR="0">
                  <wp:extent cx="3286125" cy="2066925"/>
                  <wp:effectExtent t="0" r="0" b="0" l="0"/>
                  <wp:docPr id="1" name="sfml_18.png" descr="sfml_18.png" title="sfml_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86125" cy="2066925"/>
                          </a:xfrm>
                          <a:prstGeom prst="rect">
                            <a:avLst/>
                          </a:prstGeom>
                        </pic:spPr>
                      </pic:pic>
                    </a:graphicData>
                  </a:graphic>
                </wp:inline>
              </w:drawing>
            </w:r>
          </w:p>
        </w:tc>
      </w:tr>
    </w:tbl>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173"/>
            <w:tcBorders>
              <w:top w:val="none"/>
              <w:left w:val="none"/>
              <w:bottom w:val="none"/>
              <w:right w:val="none"/>
            </w:tcBorders>
            <w:tcMar>
              <w:top w:type="dxa" w:w="40"/>
              <w:left w:type="dxa" w:w="50"/>
              <w:bottom w:type="dxa" w:w="40"/>
              <w:right w:type="dxa" w:w="50"/>
            </w:tcMar>
          </w:tcPr>
          <w:p>
            <w:pPr>
              <w:spacing w:after="60"/>
              <w:jc w:val="center"/>
            </w:pPr>
            <w:r>
              <w:drawing>
                <wp:inline distT="0" distB="0" distL="0" distR="0">
                  <wp:extent cx="3286125" cy="2066925"/>
                  <wp:effectExtent t="0" r="0" b="0" l="0"/>
                  <wp:docPr id="1" name="sfml_19.png" descr="sfml_19.png" title="sfml_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86125" cy="2066925"/>
                          </a:xfrm>
                          <a:prstGeom prst="rect">
                            <a:avLst/>
                          </a:prstGeom>
                        </pic:spPr>
                      </pic:pic>
                    </a:graphicData>
                  </a:graphic>
                </wp:inline>
              </w:drawing>
            </w:r>
          </w:p>
        </w:tc>
        <w:tc>
          <w:tcPr>
            <w:tcW w:type="dxa" w:w="5173"/>
            <w:tcBorders>
              <w:top w:val="none"/>
              <w:left w:val="none"/>
              <w:bottom w:val="none"/>
              <w:right w:val="none"/>
            </w:tcBorders>
            <w:tcMar>
              <w:top w:type="dxa" w:w="40"/>
              <w:left w:type="dxa" w:w="50"/>
              <w:bottom w:type="dxa" w:w="40"/>
              <w:right w:type="dxa" w:w="50"/>
            </w:tcMar>
          </w:tcPr>
          <w:p>
            <w:pPr>
              <w:spacing w:after="60"/>
              <w:jc w:val="center"/>
            </w:pPr>
            <w:r>
              <w:drawing>
                <wp:inline distT="0" distB="0" distL="0" distR="0">
                  <wp:extent cx="3286125" cy="2066925"/>
                  <wp:effectExtent t="0" r="0" b="0" l="0"/>
                  <wp:docPr id="1" name="sfml_20.png" descr="sfml_20.png" title="sfml_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86125" cy="2066925"/>
                          </a:xfrm>
                          <a:prstGeom prst="rect">
                            <a:avLst/>
                          </a:prstGeom>
                        </pic:spPr>
                      </pic:pic>
                    </a:graphicData>
                  </a:graphic>
                </wp:inline>
              </w:drawing>
            </w:r>
          </w:p>
        </w:tc>
      </w:tr>
    </w:tbl>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173"/>
            <w:tcBorders>
              <w:top w:val="none"/>
              <w:left w:val="none"/>
              <w:bottom w:val="none"/>
              <w:right w:val="none"/>
            </w:tcBorders>
            <w:tcMar>
              <w:top w:type="dxa" w:w="40"/>
              <w:left w:type="dxa" w:w="50"/>
              <w:bottom w:type="dxa" w:w="40"/>
              <w:right w:type="dxa" w:w="50"/>
            </w:tcMar>
          </w:tcPr>
          <w:p>
            <w:pPr>
              <w:spacing w:after="60"/>
              <w:jc w:val="center"/>
            </w:pPr>
            <w:r>
              <w:drawing>
                <wp:inline distT="0" distB="0" distL="0" distR="0">
                  <wp:extent cx="3286125" cy="2066925"/>
                  <wp:effectExtent t="0" r="0" b="0" l="0"/>
                  <wp:docPr id="1" name="sfml_21.png" descr="sfml_21.png" title="sfml_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86125" cy="2066925"/>
                          </a:xfrm>
                          <a:prstGeom prst="rect">
                            <a:avLst/>
                          </a:prstGeom>
                        </pic:spPr>
                      </pic:pic>
                    </a:graphicData>
                  </a:graphic>
                </wp:inline>
              </w:drawing>
            </w:r>
          </w:p>
        </w:tc>
        <w:tc>
          <w:tcPr>
            <w:tcW w:type="dxa" w:w="5173"/>
            <w:tcBorders>
              <w:top w:val="none"/>
              <w:left w:val="none"/>
              <w:bottom w:val="none"/>
              <w:right w:val="none"/>
            </w:tcBorders>
            <w:tcMar>
              <w:top w:type="dxa" w:w="40"/>
              <w:left w:type="dxa" w:w="50"/>
              <w:bottom w:type="dxa" w:w="40"/>
              <w:right w:type="dxa" w:w="50"/>
            </w:tcMar>
          </w:tcPr>
          <w:p>
            <w:pPr>
              <w:spacing w:after="60"/>
              <w:jc w:val="center"/>
            </w:pPr>
            <w:r>
              <w:drawing>
                <wp:inline distT="0" distB="0" distL="0" distR="0">
                  <wp:extent cx="3286125" cy="2066925"/>
                  <wp:effectExtent t="0" r="0" b="0" l="0"/>
                  <wp:docPr id="1" name="sfml_22.png" descr="sfml_22.png" title="sfml_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86125" cy="2066925"/>
                          </a:xfrm>
                          <a:prstGeom prst="rect">
                            <a:avLst/>
                          </a:prstGeom>
                        </pic:spPr>
                      </pic:pic>
                    </a:graphicData>
                  </a:graphic>
                </wp:inline>
              </w:drawing>
            </w:r>
          </w:p>
        </w:tc>
      </w:tr>
    </w:tbl>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173"/>
            <w:tcBorders>
              <w:top w:val="none"/>
              <w:left w:val="none"/>
              <w:bottom w:val="none"/>
              <w:right w:val="none"/>
            </w:tcBorders>
            <w:tcMar>
              <w:top w:type="dxa" w:w="40"/>
              <w:left w:type="dxa" w:w="50"/>
              <w:bottom w:type="dxa" w:w="40"/>
              <w:right w:type="dxa" w:w="50"/>
            </w:tcMar>
          </w:tcPr>
          <w:p>
            <w:pPr>
              <w:spacing w:after="60"/>
              <w:jc w:val="center"/>
            </w:pPr>
            <w:r>
              <w:drawing>
                <wp:inline distT="0" distB="0" distL="0" distR="0">
                  <wp:extent cx="3286125" cy="2066925"/>
                  <wp:effectExtent t="0" r="0" b="0" l="0"/>
                  <wp:docPr id="1" name="sfml_23.png" descr="sfml_23.png" title="sfml_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86125" cy="2066925"/>
                          </a:xfrm>
                          <a:prstGeom prst="rect">
                            <a:avLst/>
                          </a:prstGeom>
                        </pic:spPr>
                      </pic:pic>
                    </a:graphicData>
                  </a:graphic>
                </wp:inline>
              </w:drawing>
            </w:r>
          </w:p>
        </w:tc>
        <w:tc>
          <w:tcPr>
            <w:tcW w:type="dxa" w:w="5173"/>
            <w:tcBorders>
              <w:top w:val="none"/>
              <w:left w:val="none"/>
              <w:bottom w:val="none"/>
              <w:right w:val="none"/>
            </w:tcBorders>
          </w:tcPr>
          <w:p/>
        </w:tc>
      </w:tr>
    </w:tbl>
    <w:p>
      <w:pPr>
        <w:spacing w:after="80"/>
      </w:pPr>
    </w:p>
    <w:p>
      <w:r>
        <w:br w:type="page"/>
      </w:r>
    </w:p>
    <w:p>
      <w:pPr>
        <w:pStyle w:val="Heading1"/>
        <w:spacing w:after="180" w:before="200"/>
      </w:pPr>
      <w:r>
        <w:t xml:space="preserve">5. Console-Based Screenshots</w:t>
      </w:r>
    </w:p>
    <w:p>
      <w:pPr>
        <w:spacing w:after="80"/>
      </w:pPr>
      <w:r>
        <w:rPr>
          <w:rFonts w:ascii="Arial" w:cs="Arial" w:eastAsia="Arial" w:hAnsi="Arial"/>
          <w:sz w:val="20"/>
          <w:szCs w:val="20"/>
        </w:rPr>
        <w:t xml:space="preserve">The following screenshots show the text-based console interface of the IFAMDS system, demonstrating real-time data output, hash tables, decision trees, and all subsystem outputs in terminal format.</w:t>
      </w:r>
    </w:p>
    <w:p>
      <w:pPr>
        <w:spacing w:after="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133"/>
            <w:tcBorders>
              <w:top w:val="none"/>
              <w:left w:val="none"/>
              <w:bottom w:val="none"/>
              <w:right w:val="none"/>
            </w:tcBorders>
            <w:tcMar>
              <w:top w:type="dxa" w:w="40"/>
              <w:left w:type="dxa" w:w="60"/>
              <w:bottom w:type="dxa" w:w="40"/>
              <w:right w:type="dxa" w:w="60"/>
            </w:tcMar>
          </w:tcPr>
          <w:p>
            <w:pPr>
              <w:spacing w:after="60"/>
              <w:jc w:val="center"/>
            </w:pPr>
            <w:r>
              <w:drawing>
                <wp:inline distT="0" distB="0" distL="0" distR="0">
                  <wp:extent cx="3257550" cy="5457825"/>
                  <wp:effectExtent t="0" r="0" b="0" l="0"/>
                  <wp:docPr id="1" name="con_01.png" descr="con_01.png" title="con_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57550" cy="5457825"/>
                          </a:xfrm>
                          <a:prstGeom prst="rect">
                            <a:avLst/>
                          </a:prstGeom>
                        </pic:spPr>
                      </pic:pic>
                    </a:graphicData>
                  </a:graphic>
                </wp:inline>
              </w:drawing>
            </w:r>
          </w:p>
        </w:tc>
        <w:tc>
          <w:tcPr>
            <w:tcW w:type="dxa" w:w="5133"/>
            <w:tcBorders>
              <w:top w:val="none"/>
              <w:left w:val="none"/>
              <w:bottom w:val="none"/>
              <w:right w:val="none"/>
            </w:tcBorders>
            <w:tcMar>
              <w:top w:type="dxa" w:w="40"/>
              <w:left w:type="dxa" w:w="60"/>
              <w:bottom w:type="dxa" w:w="40"/>
              <w:right w:type="dxa" w:w="60"/>
            </w:tcMar>
          </w:tcPr>
          <w:p>
            <w:pPr>
              <w:spacing w:after="60"/>
              <w:jc w:val="center"/>
            </w:pPr>
            <w:r>
              <w:drawing>
                <wp:inline distT="0" distB="0" distL="0" distR="0">
                  <wp:extent cx="3257550" cy="5457825"/>
                  <wp:effectExtent t="0" r="0" b="0" l="0"/>
                  <wp:docPr id="1" name="con_02.png" descr="con_02.png" title="con_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57550" cy="5457825"/>
                          </a:xfrm>
                          <a:prstGeom prst="rect">
                            <a:avLst/>
                          </a:prstGeom>
                        </pic:spPr>
                      </pic:pic>
                    </a:graphicData>
                  </a:graphic>
                </wp:inline>
              </w:drawing>
            </w:r>
          </w:p>
        </w:tc>
      </w:tr>
    </w:tbl>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133"/>
            <w:tcBorders>
              <w:top w:val="none"/>
              <w:left w:val="none"/>
              <w:bottom w:val="none"/>
              <w:right w:val="none"/>
            </w:tcBorders>
            <w:tcMar>
              <w:top w:type="dxa" w:w="40"/>
              <w:left w:type="dxa" w:w="60"/>
              <w:bottom w:type="dxa" w:w="40"/>
              <w:right w:type="dxa" w:w="60"/>
            </w:tcMar>
          </w:tcPr>
          <w:p>
            <w:pPr>
              <w:spacing w:after="60"/>
              <w:jc w:val="center"/>
            </w:pPr>
            <w:r>
              <w:drawing>
                <wp:inline distT="0" distB="0" distL="0" distR="0">
                  <wp:extent cx="3257550" cy="5457825"/>
                  <wp:effectExtent t="0" r="0" b="0" l="0"/>
                  <wp:docPr id="1" name="con_03.png" descr="con_03.png" title="con_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57550" cy="5457825"/>
                          </a:xfrm>
                          <a:prstGeom prst="rect">
                            <a:avLst/>
                          </a:prstGeom>
                        </pic:spPr>
                      </pic:pic>
                    </a:graphicData>
                  </a:graphic>
                </wp:inline>
              </w:drawing>
            </w:r>
          </w:p>
        </w:tc>
        <w:tc>
          <w:tcPr>
            <w:tcW w:type="dxa" w:w="5133"/>
            <w:tcBorders>
              <w:top w:val="none"/>
              <w:left w:val="none"/>
              <w:bottom w:val="none"/>
              <w:right w:val="none"/>
            </w:tcBorders>
            <w:tcMar>
              <w:top w:type="dxa" w:w="40"/>
              <w:left w:type="dxa" w:w="60"/>
              <w:bottom w:type="dxa" w:w="40"/>
              <w:right w:type="dxa" w:w="60"/>
            </w:tcMar>
          </w:tcPr>
          <w:p>
            <w:pPr>
              <w:spacing w:after="60"/>
              <w:jc w:val="center"/>
            </w:pPr>
            <w:r>
              <w:drawing>
                <wp:inline distT="0" distB="0" distL="0" distR="0">
                  <wp:extent cx="3257550" cy="5457825"/>
                  <wp:effectExtent t="0" r="0" b="0" l="0"/>
                  <wp:docPr id="1" name="con_04.png" descr="con_04.png" title="con_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57550" cy="5457825"/>
                          </a:xfrm>
                          <a:prstGeom prst="rect">
                            <a:avLst/>
                          </a:prstGeom>
                        </pic:spPr>
                      </pic:pic>
                    </a:graphicData>
                  </a:graphic>
                </wp:inline>
              </w:drawing>
            </w:r>
          </w:p>
        </w:tc>
      </w:tr>
    </w:tbl>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133"/>
            <w:tcBorders>
              <w:top w:val="none"/>
              <w:left w:val="none"/>
              <w:bottom w:val="none"/>
              <w:right w:val="none"/>
            </w:tcBorders>
            <w:tcMar>
              <w:top w:type="dxa" w:w="40"/>
              <w:left w:type="dxa" w:w="60"/>
              <w:bottom w:type="dxa" w:w="40"/>
              <w:right w:type="dxa" w:w="60"/>
            </w:tcMar>
          </w:tcPr>
          <w:p>
            <w:pPr>
              <w:spacing w:after="60"/>
              <w:jc w:val="center"/>
            </w:pPr>
            <w:r>
              <w:drawing>
                <wp:inline distT="0" distB="0" distL="0" distR="0">
                  <wp:extent cx="3257550" cy="5457825"/>
                  <wp:effectExtent t="0" r="0" b="0" l="0"/>
                  <wp:docPr id="1" name="con_05.png" descr="con_05.png" title="con_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57550" cy="5457825"/>
                          </a:xfrm>
                          <a:prstGeom prst="rect">
                            <a:avLst/>
                          </a:prstGeom>
                        </pic:spPr>
                      </pic:pic>
                    </a:graphicData>
                  </a:graphic>
                </wp:inline>
              </w:drawing>
            </w:r>
          </w:p>
        </w:tc>
        <w:tc>
          <w:tcPr>
            <w:tcW w:type="dxa" w:w="5133"/>
            <w:tcBorders>
              <w:top w:val="none"/>
              <w:left w:val="none"/>
              <w:bottom w:val="none"/>
              <w:right w:val="none"/>
            </w:tcBorders>
            <w:tcMar>
              <w:top w:type="dxa" w:w="40"/>
              <w:left w:type="dxa" w:w="60"/>
              <w:bottom w:type="dxa" w:w="40"/>
              <w:right w:type="dxa" w:w="60"/>
            </w:tcMar>
          </w:tcPr>
          <w:p>
            <w:pPr>
              <w:spacing w:after="60"/>
              <w:jc w:val="center"/>
            </w:pPr>
            <w:r>
              <w:drawing>
                <wp:inline distT="0" distB="0" distL="0" distR="0">
                  <wp:extent cx="3257550" cy="5457825"/>
                  <wp:effectExtent t="0" r="0" b="0" l="0"/>
                  <wp:docPr id="1" name="con_06.png" descr="con_06.png" title="con_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57550" cy="5457825"/>
                          </a:xfrm>
                          <a:prstGeom prst="rect">
                            <a:avLst/>
                          </a:prstGeom>
                        </pic:spPr>
                      </pic:pic>
                    </a:graphicData>
                  </a:graphic>
                </wp:inline>
              </w:drawing>
            </w:r>
          </w:p>
        </w:tc>
      </w:tr>
    </w:tbl>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133"/>
            <w:tcBorders>
              <w:top w:val="none"/>
              <w:left w:val="none"/>
              <w:bottom w:val="none"/>
              <w:right w:val="none"/>
            </w:tcBorders>
            <w:tcMar>
              <w:top w:type="dxa" w:w="40"/>
              <w:left w:type="dxa" w:w="60"/>
              <w:bottom w:type="dxa" w:w="40"/>
              <w:right w:type="dxa" w:w="60"/>
            </w:tcMar>
          </w:tcPr>
          <w:p>
            <w:pPr>
              <w:spacing w:after="60"/>
              <w:jc w:val="center"/>
            </w:pPr>
            <w:r>
              <w:drawing>
                <wp:inline distT="0" distB="0" distL="0" distR="0">
                  <wp:extent cx="3257550" cy="5457825"/>
                  <wp:effectExtent t="0" r="0" b="0" l="0"/>
                  <wp:docPr id="1" name="con_07.png" descr="con_07.png" title="con_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57550" cy="5457825"/>
                          </a:xfrm>
                          <a:prstGeom prst="rect">
                            <a:avLst/>
                          </a:prstGeom>
                        </pic:spPr>
                      </pic:pic>
                    </a:graphicData>
                  </a:graphic>
                </wp:inline>
              </w:drawing>
            </w:r>
          </w:p>
        </w:tc>
        <w:tc>
          <w:tcPr>
            <w:tcW w:type="dxa" w:w="5133"/>
            <w:tcBorders>
              <w:top w:val="none"/>
              <w:left w:val="none"/>
              <w:bottom w:val="none"/>
              <w:right w:val="none"/>
            </w:tcBorders>
            <w:tcMar>
              <w:top w:type="dxa" w:w="40"/>
              <w:left w:type="dxa" w:w="60"/>
              <w:bottom w:type="dxa" w:w="40"/>
              <w:right w:type="dxa" w:w="60"/>
            </w:tcMar>
          </w:tcPr>
          <w:p>
            <w:pPr>
              <w:spacing w:after="60"/>
              <w:jc w:val="center"/>
            </w:pPr>
            <w:r>
              <w:drawing>
                <wp:inline distT="0" distB="0" distL="0" distR="0">
                  <wp:extent cx="3257550" cy="5457825"/>
                  <wp:effectExtent t="0" r="0" b="0" l="0"/>
                  <wp:docPr id="1" name="con_08.png" descr="con_08.png" title="con_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57550" cy="5457825"/>
                          </a:xfrm>
                          <a:prstGeom prst="rect">
                            <a:avLst/>
                          </a:prstGeom>
                        </pic:spPr>
                      </pic:pic>
                    </a:graphicData>
                  </a:graphic>
                </wp:inline>
              </w:drawing>
            </w:r>
          </w:p>
        </w:tc>
      </w:tr>
    </w:tbl>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133"/>
            <w:tcBorders>
              <w:top w:val="none"/>
              <w:left w:val="none"/>
              <w:bottom w:val="none"/>
              <w:right w:val="none"/>
            </w:tcBorders>
            <w:tcMar>
              <w:top w:type="dxa" w:w="40"/>
              <w:left w:type="dxa" w:w="60"/>
              <w:bottom w:type="dxa" w:w="40"/>
              <w:right w:type="dxa" w:w="60"/>
            </w:tcMar>
          </w:tcPr>
          <w:p>
            <w:pPr>
              <w:spacing w:after="60"/>
              <w:jc w:val="center"/>
            </w:pPr>
            <w:r>
              <w:drawing>
                <wp:inline distT="0" distB="0" distL="0" distR="0">
                  <wp:extent cx="3257550" cy="5457825"/>
                  <wp:effectExtent t="0" r="0" b="0" l="0"/>
                  <wp:docPr id="1" name="con_09.png" descr="con_09.png" title="con_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57550" cy="5457825"/>
                          </a:xfrm>
                          <a:prstGeom prst="rect">
                            <a:avLst/>
                          </a:prstGeom>
                        </pic:spPr>
                      </pic:pic>
                    </a:graphicData>
                  </a:graphic>
                </wp:inline>
              </w:drawing>
            </w:r>
          </w:p>
        </w:tc>
        <w:tc>
          <w:tcPr>
            <w:tcW w:type="dxa" w:w="5133"/>
            <w:tcBorders>
              <w:top w:val="none"/>
              <w:left w:val="none"/>
              <w:bottom w:val="none"/>
              <w:right w:val="none"/>
            </w:tcBorders>
            <w:tcMar>
              <w:top w:type="dxa" w:w="40"/>
              <w:left w:type="dxa" w:w="60"/>
              <w:bottom w:type="dxa" w:w="40"/>
              <w:right w:type="dxa" w:w="60"/>
            </w:tcMar>
          </w:tcPr>
          <w:p>
            <w:pPr>
              <w:spacing w:after="60"/>
              <w:jc w:val="center"/>
            </w:pPr>
            <w:r>
              <w:drawing>
                <wp:inline distT="0" distB="0" distL="0" distR="0">
                  <wp:extent cx="3257550" cy="5457825"/>
                  <wp:effectExtent t="0" r="0" b="0" l="0"/>
                  <wp:docPr id="1" name="con_10.png" descr="con_10.png" title="con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57550" cy="5457825"/>
                          </a:xfrm>
                          <a:prstGeom prst="rect">
                            <a:avLst/>
                          </a:prstGeom>
                        </pic:spPr>
                      </pic:pic>
                    </a:graphicData>
                  </a:graphic>
                </wp:inline>
              </w:drawing>
            </w:r>
          </w:p>
        </w:tc>
      </w:tr>
    </w:tbl>
    <w:p>
      <w:pPr>
        <w:spacing w:after="8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133"/>
            <w:tcBorders>
              <w:top w:val="none"/>
              <w:left w:val="none"/>
              <w:bottom w:val="none"/>
              <w:right w:val="none"/>
            </w:tcBorders>
            <w:tcMar>
              <w:top w:type="dxa" w:w="40"/>
              <w:left w:type="dxa" w:w="60"/>
              <w:bottom w:type="dxa" w:w="40"/>
              <w:right w:type="dxa" w:w="60"/>
            </w:tcMar>
          </w:tcPr>
          <w:p>
            <w:pPr>
              <w:spacing w:after="60"/>
              <w:jc w:val="center"/>
            </w:pPr>
            <w:r>
              <w:drawing>
                <wp:inline distT="0" distB="0" distL="0" distR="0">
                  <wp:extent cx="3257550" cy="5457825"/>
                  <wp:effectExtent t="0" r="0" b="0" l="0"/>
                  <wp:docPr id="1" name="con_11.png" descr="con_11.png" title="con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57550" cy="5457825"/>
                          </a:xfrm>
                          <a:prstGeom prst="rect">
                            <a:avLst/>
                          </a:prstGeom>
                        </pic:spPr>
                      </pic:pic>
                    </a:graphicData>
                  </a:graphic>
                </wp:inline>
              </w:drawing>
            </w:r>
          </w:p>
        </w:tc>
        <w:tc>
          <w:tcPr>
            <w:tcW w:type="dxa" w:w="5133"/>
            <w:tcBorders>
              <w:top w:val="none"/>
              <w:left w:val="none"/>
              <w:bottom w:val="none"/>
              <w:right w:val="none"/>
            </w:tcBorders>
          </w:tcPr>
          <w:p/>
        </w:tc>
      </w:tr>
    </w:tbl>
    <w:p>
      <w:pPr>
        <w:spacing w:after="80"/>
      </w:pP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5B8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070A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e6d83d3ce4f1d53b253c70a402313bbd7a0b91.png"/><Relationship Id="rId8" Type="http://schemas.openxmlformats.org/officeDocument/2006/relationships/image" Target="media/ac8053db9d7e9c2202afe5ccc95bcdc9a91432b8.png"/><Relationship Id="rId9" Type="http://schemas.openxmlformats.org/officeDocument/2006/relationships/image" Target="media/47ab4f935c89fffff85781fde763e522cc3bf454.png"/><Relationship Id="rId10" Type="http://schemas.openxmlformats.org/officeDocument/2006/relationships/image" Target="media/2b6370610ae0d95d0444d316cfbeada28008f686.png"/><Relationship Id="rId11" Type="http://schemas.openxmlformats.org/officeDocument/2006/relationships/image" Target="media/683fb446e43375d5400d348b8f38bcd42b9764f8.png"/><Relationship Id="rId12" Type="http://schemas.openxmlformats.org/officeDocument/2006/relationships/image" Target="media/e0c8113288d51401c6ede983e1cb90a0d34dea4b.png"/><Relationship Id="rId13" Type="http://schemas.openxmlformats.org/officeDocument/2006/relationships/image" Target="media/2a3cc5c49ab74a83eee46cba56075a025819bcb6.png"/><Relationship Id="rId14" Type="http://schemas.openxmlformats.org/officeDocument/2006/relationships/image" Target="media/aa3a9ba03efd004b53014532aede991028b5175f.png"/><Relationship Id="rId15" Type="http://schemas.openxmlformats.org/officeDocument/2006/relationships/image" Target="media/773981e16f1b7587f905e815fc378803029153b5.png"/><Relationship Id="rId16" Type="http://schemas.openxmlformats.org/officeDocument/2006/relationships/image" Target="media/3c614df0f01bc82441c347053c6818c13498a2a1.png"/><Relationship Id="rId17" Type="http://schemas.openxmlformats.org/officeDocument/2006/relationships/image" Target="media/c85889160c677eaf88e8050a68418a91eccaddd0.png"/><Relationship Id="rId18" Type="http://schemas.openxmlformats.org/officeDocument/2006/relationships/image" Target="media/6e35466912c7b1128068d227c5e5a3b7288fe5f7.png"/><Relationship Id="rId19" Type="http://schemas.openxmlformats.org/officeDocument/2006/relationships/image" Target="media/d1efda068e7dcb7a918cc2a980b144145c8d535e.png"/><Relationship Id="rId20" Type="http://schemas.openxmlformats.org/officeDocument/2006/relationships/image" Target="media/1f23f3ff5d89ce3afd51accd6a93e91d6e8dc70d.png"/><Relationship Id="rId21" Type="http://schemas.openxmlformats.org/officeDocument/2006/relationships/image" Target="media/702d11f708bec5422b310f95c5787a2ddb81e994.png"/><Relationship Id="rId22" Type="http://schemas.openxmlformats.org/officeDocument/2006/relationships/image" Target="media/eb17d7799ab952dc0c2cc7a190ac349ab837d6c5.png"/><Relationship Id="rId23" Type="http://schemas.openxmlformats.org/officeDocument/2006/relationships/image" Target="media/3b049f99f15381d8db961c48dc0bbdd8135bc697.png"/><Relationship Id="rId24" Type="http://schemas.openxmlformats.org/officeDocument/2006/relationships/image" Target="media/daf1f5a6078793c387573357a1ecbe22c3d9f16e.png"/><Relationship Id="rId25" Type="http://schemas.openxmlformats.org/officeDocument/2006/relationships/image" Target="media/b024347088970035738f0a979eb64e6e73767d6e.png"/><Relationship Id="rId26" Type="http://schemas.openxmlformats.org/officeDocument/2006/relationships/image" Target="media/1036ee177818f927ef78bf8b9176f5376a163ae4.png"/><Relationship Id="rId27" Type="http://schemas.openxmlformats.org/officeDocument/2006/relationships/image" Target="media/466036003739855118676544cef82566e9bf59b4.png"/><Relationship Id="rId28" Type="http://schemas.openxmlformats.org/officeDocument/2006/relationships/image" Target="media/3aee8e159f094ce0bc421c09de5f49510daf7117.png"/><Relationship Id="rId29" Type="http://schemas.openxmlformats.org/officeDocument/2006/relationships/image" Target="media/0e320d1cb1fb686247a8897b47cf90c822a90ec5.png"/><Relationship Id="rId30" Type="http://schemas.openxmlformats.org/officeDocument/2006/relationships/image" Target="media/32219cfb8f92c193c42fb92d26a5733d88469ea8.png"/><Relationship Id="rId31" Type="http://schemas.openxmlformats.org/officeDocument/2006/relationships/image" Target="media/6dbc5d22f76381de8a58e960218ff54d8fba1f0c.png"/><Relationship Id="rId32" Type="http://schemas.openxmlformats.org/officeDocument/2006/relationships/image" Target="media/52047142a0addab2c7bc3489ddc7f67076bd1c45.png"/><Relationship Id="rId33" Type="http://schemas.openxmlformats.org/officeDocument/2006/relationships/image" Target="media/de4aec57af4b8476ddc41dbae59dabbb8686fd67.png"/><Relationship Id="rId34" Type="http://schemas.openxmlformats.org/officeDocument/2006/relationships/image" Target="media/f1f501044f82922902b106e527fa7c0914a3cf81.png"/><Relationship Id="rId35" Type="http://schemas.openxmlformats.org/officeDocument/2006/relationships/image" Target="media/f2bf5a45d0acdd2ee4751bde3d8bd47c769bfb9e.png"/><Relationship Id="rId36" Type="http://schemas.openxmlformats.org/officeDocument/2006/relationships/image" Target="media/6b99c26d1ecf622bb3f0861e66465b37edfd07c2.png"/><Relationship Id="rId37" Type="http://schemas.openxmlformats.org/officeDocument/2006/relationships/image" Target="media/0b1c5f621e280b42d15e8f1d58f7f5695910b3fa.png"/><Relationship Id="rId38" Type="http://schemas.openxmlformats.org/officeDocument/2006/relationships/image" Target="media/45bf5f79da786856e41e37671461732040eb1c61.png"/><Relationship Id="rId39" Type="http://schemas.openxmlformats.org/officeDocument/2006/relationships/image" Target="media/78c090a111d1f95673d028f14f722c9028bac06a.png"/><Relationship Id="rId40" Type="http://schemas.openxmlformats.org/officeDocument/2006/relationships/image" Target="media/4fc1ce0d02b9ec1b969c0ce7ba97434fbb7bc21a.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2026-05-09T17:21:26.078Z</dcterms:created>
  <dcterms:modified xsi:type="dcterms:W3CDTF">2026-05-09T17:21:26.078Z</dcterms:modified>
</cp:coreProperties>
</file>

<file path=docProps/custom.xml><?xml version="1.0" encoding="utf-8"?>
<Properties xmlns="http://schemas.openxmlformats.org/officeDocument/2006/custom-properties" xmlns:vt="http://schemas.openxmlformats.org/officeDocument/2006/docPropsVTypes"/>
</file>