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97E" w:rsidRPr="001E0D70" w:rsidRDefault="00F726BE" w:rsidP="001E0D70">
      <w:pPr>
        <w:jc w:val="center"/>
        <w:sectPr w:rsidR="008B197E" w:rsidRPr="001E0D70" w:rsidSect="003B4153">
          <w:footerReference w:type="even" r:id="rId9"/>
          <w:pgSz w:w="12240" w:h="15840" w:code="1"/>
          <w:pgMar w:top="1080" w:right="1080" w:bottom="1440" w:left="1080" w:header="720" w:footer="720" w:gutter="0"/>
          <w:cols w:space="720"/>
        </w:sectPr>
      </w:pPr>
      <w:r w:rsidRPr="001E0D70">
        <w:rPr>
          <w:rFonts w:ascii="Helvetica" w:hAnsi="Helvetica"/>
          <w:b/>
          <w:sz w:val="36"/>
        </w:rPr>
        <w:t>Classification</w:t>
      </w:r>
      <w:r>
        <w:rPr>
          <w:rFonts w:ascii="Helvetica" w:hAnsi="Helvetica"/>
          <w:b/>
          <w:sz w:val="36"/>
        </w:rPr>
        <w:t xml:space="preserve"> of small-size </w:t>
      </w:r>
      <w:r w:rsidRPr="001E0D70">
        <w:rPr>
          <w:rFonts w:ascii="Helvetica" w:hAnsi="Helvetica"/>
          <w:b/>
          <w:sz w:val="36"/>
        </w:rPr>
        <w:t>document</w:t>
      </w:r>
      <w:r>
        <w:rPr>
          <w:rFonts w:ascii="Helvetica" w:hAnsi="Helvetica"/>
          <w:b/>
          <w:sz w:val="36"/>
        </w:rPr>
        <w:t>s</w:t>
      </w:r>
      <w:r w:rsidRPr="001E0D70">
        <w:rPr>
          <w:rFonts w:ascii="Helvetica" w:hAnsi="Helvetica"/>
          <w:b/>
          <w:sz w:val="36"/>
        </w:rPr>
        <w:t xml:space="preserve"> </w:t>
      </w:r>
      <w:r w:rsidR="001E0D70">
        <w:rPr>
          <w:rFonts w:ascii="Helvetica" w:hAnsi="Helvetica"/>
          <w:b/>
          <w:sz w:val="36"/>
        </w:rPr>
        <w:t xml:space="preserve">Using </w:t>
      </w:r>
      <w:r w:rsidR="001E0D70" w:rsidRPr="001E0D70">
        <w:rPr>
          <w:rFonts w:ascii="Helvetica" w:hAnsi="Helvetica"/>
          <w:b/>
          <w:sz w:val="36"/>
        </w:rPr>
        <w:t xml:space="preserve">Multinomial Naïve Bayes </w:t>
      </w:r>
    </w:p>
    <w:p w:rsidR="008B197E" w:rsidRDefault="001E0D70">
      <w:pPr>
        <w:pStyle w:val="Author"/>
        <w:spacing w:after="0"/>
        <w:rPr>
          <w:spacing w:val="-2"/>
        </w:rPr>
      </w:pPr>
      <w:r>
        <w:rPr>
          <w:spacing w:val="-2"/>
        </w:rPr>
        <w:lastRenderedPageBreak/>
        <w:br w:type="column"/>
      </w:r>
      <w:r>
        <w:rPr>
          <w:spacing w:val="-2"/>
        </w:rPr>
        <w:lastRenderedPageBreak/>
        <w:t>Hamid Hooshmandi</w:t>
      </w:r>
    </w:p>
    <w:p w:rsidR="001E0D70" w:rsidRDefault="001E0D70">
      <w:pPr>
        <w:pStyle w:val="Author"/>
        <w:spacing w:after="0"/>
        <w:rPr>
          <w:spacing w:val="-2"/>
        </w:rPr>
      </w:pPr>
      <w:r>
        <w:rPr>
          <w:spacing w:val="-2"/>
        </w:rPr>
        <w:t>CSCI 4141</w:t>
      </w:r>
    </w:p>
    <w:p w:rsidR="001E0D70" w:rsidRDefault="001E0D70">
      <w:pPr>
        <w:pStyle w:val="Author"/>
        <w:spacing w:after="0"/>
        <w:rPr>
          <w:spacing w:val="-2"/>
        </w:rPr>
      </w:pPr>
      <w:r>
        <w:rPr>
          <w:spacing w:val="-2"/>
        </w:rPr>
        <w:t>Final Project</w:t>
      </w:r>
    </w:p>
    <w:p w:rsidR="008B197E" w:rsidRDefault="001E0D70">
      <w:pPr>
        <w:pStyle w:val="E-Mail"/>
        <w:rPr>
          <w:spacing w:val="-2"/>
        </w:rPr>
      </w:pPr>
      <w:r>
        <w:rPr>
          <w:spacing w:val="-2"/>
        </w:rPr>
        <w:t>Hamid42643@gmail.com</w:t>
      </w:r>
    </w:p>
    <w:p w:rsidR="008B197E" w:rsidRDefault="008B197E">
      <w:pPr>
        <w:pStyle w:val="E-Mail"/>
        <w:rPr>
          <w:spacing w:val="-2"/>
        </w:rPr>
      </w:pPr>
    </w:p>
    <w:p w:rsidR="001E0D70" w:rsidRDefault="001E0D70">
      <w:pPr>
        <w:pStyle w:val="E-Mail"/>
        <w:rPr>
          <w:spacing w:val="-2"/>
        </w:rPr>
      </w:pPr>
    </w:p>
    <w:p w:rsidR="008B197E" w:rsidRDefault="008B197E">
      <w:pPr>
        <w:pStyle w:val="E-Mail"/>
      </w:pPr>
    </w:p>
    <w:p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:rsidR="008B197E" w:rsidRDefault="002A5FD0">
      <w:pPr>
        <w:pStyle w:val="Heading1"/>
        <w:spacing w:before="120"/>
      </w:pPr>
      <w:r>
        <w:lastRenderedPageBreak/>
        <w:t>INTRODUCTION</w:t>
      </w:r>
      <w:r w:rsidR="00A37593">
        <w:t xml:space="preserve">/ Hypothesis </w:t>
      </w:r>
    </w:p>
    <w:p w:rsidR="00DC7563" w:rsidRDefault="00A37593" w:rsidP="00DC7563">
      <w:pPr>
        <w:rPr>
          <w:noProof/>
          <w:lang w:val="en-CA"/>
        </w:rPr>
      </w:pPr>
      <w:r>
        <w:t xml:space="preserve">While </w:t>
      </w:r>
      <w:r w:rsidRPr="00DC7563">
        <w:t xml:space="preserve">Multinomial Naïve Bayes </w:t>
      </w:r>
      <w:r>
        <w:t xml:space="preserve">has been used before and found and effective at classification of documents </w:t>
      </w:r>
      <w:r w:rsidRPr="002A5FD0">
        <w:rPr>
          <w:noProof/>
          <w:lang w:val="en-CA"/>
        </w:rPr>
        <w:t>(Andrew McCallum)</w:t>
      </w:r>
      <w:r>
        <w:rPr>
          <w:noProof/>
          <w:lang w:val="en-CA"/>
        </w:rPr>
        <w:t xml:space="preserve">, I examined application </w:t>
      </w:r>
      <w:r>
        <w:t xml:space="preserve">MNB </w:t>
      </w:r>
      <w:r>
        <w:t>for</w:t>
      </w:r>
      <w:r w:rsidRPr="00DC7563">
        <w:t xml:space="preserve"> classification of </w:t>
      </w:r>
      <w:r>
        <w:t>small documents (4</w:t>
      </w:r>
      <w:r w:rsidRPr="00DC7563">
        <w:t xml:space="preserve"> to 110 words)</w:t>
      </w:r>
      <w:r>
        <w:t xml:space="preserve"> and tried to find out if it is an effective tool for this purpose</w:t>
      </w:r>
      <w:r w:rsidRPr="00DC7563">
        <w:t xml:space="preserve">. </w:t>
      </w:r>
      <w:r>
        <w:t xml:space="preserve"> </w:t>
      </w:r>
      <w:r w:rsidR="00DC7563" w:rsidRPr="00DC7563">
        <w:t>The result of the experience shows that TF normalization, words stemming and document length normalization improve the accuracy. While applying IDF significantly decrease the accuracy.</w:t>
      </w:r>
      <w:r w:rsidR="002A5FD0">
        <w:t xml:space="preserve"> </w:t>
      </w:r>
      <w:r w:rsidR="002A5FD0">
        <w:rPr>
          <w:noProof/>
          <w:lang w:val="en-CA"/>
        </w:rPr>
        <w:t xml:space="preserve"> </w:t>
      </w:r>
    </w:p>
    <w:p w:rsidR="00082CD0" w:rsidRDefault="00082CD0" w:rsidP="00DC7563"/>
    <w:p w:rsidR="00DC7563" w:rsidRDefault="00DC7563" w:rsidP="00DC7563">
      <w:pPr>
        <w:pStyle w:val="Heading2"/>
      </w:pPr>
      <w:r w:rsidRPr="003628D3">
        <w:t>Multinomial naïve Baye</w:t>
      </w:r>
      <w:r>
        <w:t>s</w:t>
      </w:r>
    </w:p>
    <w:p w:rsidR="00DC7563" w:rsidRDefault="00DC7563" w:rsidP="00DC7563">
      <w:r w:rsidRPr="00DC7563">
        <w:t>Multinomial naïve Bayes is special form of Naïve Bayes</w:t>
      </w:r>
      <w:r w:rsidR="008C44FB">
        <w:t xml:space="preserve"> algorithm</w:t>
      </w:r>
      <w:r w:rsidR="00C27B59">
        <w:t>.</w:t>
      </w:r>
      <w:r w:rsidRPr="00DC7563">
        <w:t xml:space="preserve"> While Simple Naïve Bayes only takes into account the present or absent of a words. Multinomial Naïve Bayes </w:t>
      </w:r>
      <w:r w:rsidR="008C44FB">
        <w:t xml:space="preserve">also </w:t>
      </w:r>
      <w:r w:rsidRPr="00DC7563">
        <w:t xml:space="preserve">takes into account word </w:t>
      </w:r>
      <w:r w:rsidR="008C44FB">
        <w:t>frequencies of a document</w:t>
      </w:r>
      <w:r w:rsidRPr="00DC7563">
        <w:t>.</w:t>
      </w:r>
      <w:r w:rsidR="00C27B59">
        <w:t xml:space="preserve"> </w:t>
      </w:r>
      <w:r w:rsidR="005573EE">
        <w:t xml:space="preserve">NBM is simple to implement, computationally inexpensive and gives good accuracy on task of text classification. </w:t>
      </w:r>
      <w:proofErr w:type="gramStart"/>
      <w:r w:rsidR="00C27B59">
        <w:t>A</w:t>
      </w:r>
      <w:bookmarkStart w:id="0" w:name="_GoBack"/>
      <w:bookmarkEnd w:id="0"/>
      <w:r w:rsidR="00C27B59">
        <w:t xml:space="preserve">lthough </w:t>
      </w:r>
      <w:r w:rsidR="005573EE">
        <w:t>it is still outperformed by Support Vector Machines.</w:t>
      </w:r>
      <w:proofErr w:type="gramEnd"/>
      <w:r w:rsidR="00F83717">
        <w:t xml:space="preserve"> </w:t>
      </w:r>
      <w:r w:rsidR="00F83717">
        <w:rPr>
          <w:noProof/>
          <w:lang w:val="en-CA"/>
        </w:rPr>
        <w:t xml:space="preserve"> </w:t>
      </w:r>
      <w:r w:rsidR="00F83717" w:rsidRPr="00F83717">
        <w:rPr>
          <w:noProof/>
          <w:lang w:val="en-CA"/>
        </w:rPr>
        <w:t>(Ashraf M. Kibriya)</w:t>
      </w:r>
    </w:p>
    <w:p w:rsidR="00082CD0" w:rsidRPr="00DC7563" w:rsidRDefault="00082CD0" w:rsidP="00DC7563"/>
    <w:p w:rsidR="00DC7563" w:rsidRDefault="002A5FD0" w:rsidP="00DC7563">
      <w:pPr>
        <w:pStyle w:val="Heading1"/>
        <w:spacing w:before="120"/>
      </w:pPr>
      <w:r w:rsidRPr="003628D3">
        <w:t>EXPERIMENT SETUP</w:t>
      </w:r>
    </w:p>
    <w:p w:rsidR="00C80B6F" w:rsidRDefault="00DC7563" w:rsidP="00DC7563">
      <w:pPr>
        <w:pStyle w:val="BodyTextIndent"/>
        <w:spacing w:after="120"/>
      </w:pPr>
      <w:r>
        <w:t>The training set includes two data sets. Data set 1 which includes 7408 instances from 24 different categories. The data set 2 which includes 11903 instances from 24 unique categories. Both the datasets are quotes from famous authors the quotes are gathered from http://www.brainyquote.com/ Website using a crawler.</w:t>
      </w:r>
      <w:r w:rsidR="00C27B59">
        <w:t xml:space="preserve"> </w:t>
      </w:r>
      <w:r>
        <w:t>Each category in Data set 1 include</w:t>
      </w:r>
      <w:r w:rsidR="00C27B59">
        <w:t>s different number of documents Figure 1.</w:t>
      </w:r>
      <w:r>
        <w:t xml:space="preserve"> While Data set 2 conta</w:t>
      </w:r>
      <w:r w:rsidR="00C27B59">
        <w:t>ins uniform number of documents Figure 2.                          `</w:t>
      </w:r>
      <w:r w:rsidR="00C80B6F">
        <w:br/>
      </w:r>
    </w:p>
    <w:tbl>
      <w:tblPr>
        <w:tblW w:w="5100" w:type="dxa"/>
        <w:tblLook w:val="04A0" w:firstRow="1" w:lastRow="0" w:firstColumn="1" w:lastColumn="0" w:noHBand="0" w:noVBand="1"/>
      </w:tblPr>
      <w:tblGrid>
        <w:gridCol w:w="5100"/>
      </w:tblGrid>
      <w:tr w:rsidR="0036311D" w:rsidRPr="0072726B" w:rsidTr="0072726B">
        <w:tc>
          <w:tcPr>
            <w:tcW w:w="5100" w:type="dxa"/>
            <w:shd w:val="clear" w:color="auto" w:fill="auto"/>
          </w:tcPr>
          <w:p w:rsidR="0036311D" w:rsidRPr="0072726B" w:rsidRDefault="00F02CE6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  <w:r w:rsidRPr="0072726B">
              <w:rPr>
                <w:rFonts w:cs="Miriam"/>
                <w:b/>
                <w:bCs/>
                <w:szCs w:val="18"/>
                <w:lang w:eastAsia="en-AU"/>
              </w:rPr>
              <w:t xml:space="preserve">Figure 1: </w:t>
            </w:r>
            <w:r w:rsidR="0036311D" w:rsidRPr="0072726B">
              <w:rPr>
                <w:rFonts w:cs="Miriam"/>
                <w:b/>
                <w:bCs/>
                <w:szCs w:val="18"/>
                <w:lang w:eastAsia="en-AU"/>
              </w:rPr>
              <w:t>Data Set 1</w:t>
            </w:r>
            <w:r w:rsidRPr="0072726B">
              <w:rPr>
                <w:rFonts w:cs="Miriam"/>
                <w:b/>
                <w:bCs/>
                <w:szCs w:val="18"/>
                <w:lang w:eastAsia="en-AU"/>
              </w:rPr>
              <w:t xml:space="preserve"> has</w:t>
            </w:r>
            <w:r w:rsidR="0036311D" w:rsidRPr="0072726B">
              <w:rPr>
                <w:rFonts w:cs="Miriam"/>
                <w:b/>
                <w:bCs/>
                <w:szCs w:val="18"/>
                <w:lang w:eastAsia="en-AU"/>
              </w:rPr>
              <w:t xml:space="preserve"> different number of documents for each categories</w:t>
            </w:r>
          </w:p>
        </w:tc>
      </w:tr>
      <w:tr w:rsidR="0036311D" w:rsidTr="0072726B">
        <w:tc>
          <w:tcPr>
            <w:tcW w:w="5100" w:type="dxa"/>
            <w:shd w:val="clear" w:color="auto" w:fill="auto"/>
          </w:tcPr>
          <w:p w:rsidR="0036311D" w:rsidRDefault="00A37593" w:rsidP="0072726B">
            <w:pPr>
              <w:pStyle w:val="BodyTextIndent"/>
              <w:spacing w:after="120"/>
              <w:ind w:firstLine="0"/>
              <w:jc w:val="center"/>
            </w:pPr>
            <w:r>
              <w:rPr>
                <w:lang w:val="en-CA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i1025" type="#_x0000_t75" style="width:241.05pt;height:105.8pt;visibility:visible;mso-wrap-style:square">
                  <v:imagedata r:id="rId10" o:title="cat"/>
                </v:shape>
              </w:pict>
            </w:r>
          </w:p>
        </w:tc>
      </w:tr>
      <w:tr w:rsidR="0036311D" w:rsidTr="0072726B">
        <w:tc>
          <w:tcPr>
            <w:tcW w:w="5100" w:type="dxa"/>
            <w:shd w:val="clear" w:color="auto" w:fill="auto"/>
          </w:tcPr>
          <w:p w:rsidR="0036311D" w:rsidRDefault="0036311D" w:rsidP="0072726B">
            <w:pPr>
              <w:pStyle w:val="BodyTextIndent"/>
              <w:spacing w:after="120"/>
              <w:ind w:firstLine="0"/>
            </w:pPr>
          </w:p>
          <w:p w:rsidR="00E573E0" w:rsidRDefault="00E573E0" w:rsidP="0072726B">
            <w:pPr>
              <w:pStyle w:val="BodyTextIndent"/>
              <w:spacing w:after="120"/>
              <w:ind w:firstLine="0"/>
            </w:pPr>
          </w:p>
          <w:p w:rsidR="001E0D70" w:rsidRDefault="001E0D70" w:rsidP="0072726B">
            <w:pPr>
              <w:pStyle w:val="BodyTextIndent"/>
              <w:spacing w:after="120"/>
              <w:ind w:firstLine="0"/>
            </w:pPr>
          </w:p>
        </w:tc>
      </w:tr>
      <w:tr w:rsidR="00F02CE6" w:rsidRPr="0072726B" w:rsidTr="0072726B">
        <w:tc>
          <w:tcPr>
            <w:tcW w:w="5100" w:type="dxa"/>
            <w:shd w:val="clear" w:color="auto" w:fill="auto"/>
          </w:tcPr>
          <w:p w:rsidR="00F02CE6" w:rsidRPr="0072726B" w:rsidRDefault="00F02CE6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  <w:r w:rsidRPr="0072726B">
              <w:rPr>
                <w:rFonts w:cs="Miriam"/>
                <w:b/>
                <w:bCs/>
                <w:szCs w:val="18"/>
                <w:lang w:eastAsia="en-AU"/>
              </w:rPr>
              <w:t>Figure 2: Data Set 2 has more uniform number of documents for each category</w:t>
            </w:r>
          </w:p>
        </w:tc>
      </w:tr>
      <w:tr w:rsidR="00F02CE6" w:rsidTr="0072726B">
        <w:tc>
          <w:tcPr>
            <w:tcW w:w="5100" w:type="dxa"/>
            <w:shd w:val="clear" w:color="auto" w:fill="auto"/>
          </w:tcPr>
          <w:p w:rsidR="00F02CE6" w:rsidRDefault="00FB7B18" w:rsidP="0072726B">
            <w:pPr>
              <w:pStyle w:val="BodyTextIndent"/>
              <w:spacing w:after="120"/>
              <w:ind w:firstLine="0"/>
              <w:jc w:val="center"/>
            </w:pPr>
            <w:r>
              <w:rPr>
                <w:noProof/>
                <w:lang w:val="en-CA" w:eastAsia="en-CA"/>
              </w:rPr>
              <w:pict>
                <v:shape id="_x0000_i1026" type="#_x0000_t75" style="width:244.15pt;height:118.35pt;visibility:visible;mso-wrap-style:square">
                  <v:imagedata r:id="rId11" o:title="11"/>
                </v:shape>
              </w:pict>
            </w:r>
          </w:p>
        </w:tc>
      </w:tr>
    </w:tbl>
    <w:p w:rsidR="00DC7563" w:rsidRDefault="00DC7563" w:rsidP="00C80B6F">
      <w:pPr>
        <w:pStyle w:val="BodyTextIndent"/>
        <w:spacing w:after="120"/>
      </w:pPr>
    </w:p>
    <w:p w:rsidR="00DC7563" w:rsidRDefault="002A5FD0" w:rsidP="00DC7563">
      <w:pPr>
        <w:pStyle w:val="Heading1"/>
        <w:spacing w:before="120"/>
      </w:pPr>
      <w:r w:rsidRPr="003628D3">
        <w:t>FEATURE GENERATION</w:t>
      </w:r>
    </w:p>
    <w:p w:rsidR="00DC7563" w:rsidRPr="00DC7563" w:rsidRDefault="00DC7563" w:rsidP="00DC7563">
      <w:pPr>
        <w:pStyle w:val="NormalWeb"/>
        <w:spacing w:before="0" w:beforeAutospacing="0" w:after="0" w:afterAutospacing="0"/>
        <w:rPr>
          <w:sz w:val="18"/>
          <w:szCs w:val="20"/>
          <w:lang w:val="en-US" w:eastAsia="en-US"/>
        </w:rPr>
      </w:pPr>
      <w:r w:rsidRPr="00DC7563">
        <w:rPr>
          <w:sz w:val="18"/>
          <w:szCs w:val="20"/>
          <w:lang w:val="en-US" w:eastAsia="en-US"/>
        </w:rPr>
        <w:t>Each document converted to a high dimension vector. Indicating the present or absent of a word in the document. All the words have been turned to lower case. Alphabetic string tokenize with a list of stop words (</w:t>
      </w:r>
      <w:proofErr w:type="spellStart"/>
      <w:r w:rsidRPr="00DC7563">
        <w:rPr>
          <w:sz w:val="18"/>
          <w:szCs w:val="20"/>
          <w:lang w:val="en-US" w:eastAsia="en-US"/>
        </w:rPr>
        <w:t>Weka</w:t>
      </w:r>
      <w:proofErr w:type="spellEnd"/>
      <w:r w:rsidRPr="00DC7563">
        <w:rPr>
          <w:sz w:val="18"/>
          <w:szCs w:val="20"/>
          <w:lang w:val="en-US" w:eastAsia="en-US"/>
        </w:rPr>
        <w:t xml:space="preserve"> 3-6) has been used. Naïve Bayes Multinomial has been used for all the experiences with 5 fold cross validation for evaluation.</w:t>
      </w:r>
      <w:r>
        <w:rPr>
          <w:sz w:val="18"/>
          <w:szCs w:val="20"/>
          <w:lang w:val="en-US" w:eastAsia="en-US"/>
        </w:rPr>
        <w:t xml:space="preserve"> </w:t>
      </w:r>
      <w:r w:rsidR="00237FEF">
        <w:rPr>
          <w:sz w:val="18"/>
          <w:szCs w:val="20"/>
          <w:lang w:val="en-US" w:eastAsia="en-US"/>
        </w:rPr>
        <w:t xml:space="preserve">Different stemmer and IDF </w:t>
      </w:r>
      <w:r w:rsidRPr="00DC7563">
        <w:rPr>
          <w:sz w:val="18"/>
          <w:szCs w:val="20"/>
          <w:lang w:val="en-US" w:eastAsia="en-US"/>
        </w:rPr>
        <w:t xml:space="preserve">TF </w:t>
      </w:r>
      <w:proofErr w:type="gramStart"/>
      <w:r w:rsidRPr="00DC7563">
        <w:rPr>
          <w:sz w:val="18"/>
          <w:szCs w:val="20"/>
          <w:lang w:val="en-US" w:eastAsia="en-US"/>
        </w:rPr>
        <w:t>has</w:t>
      </w:r>
      <w:proofErr w:type="gramEnd"/>
      <w:r w:rsidRPr="00DC7563">
        <w:rPr>
          <w:sz w:val="18"/>
          <w:szCs w:val="20"/>
          <w:lang w:val="en-US" w:eastAsia="en-US"/>
        </w:rPr>
        <w:t xml:space="preserve"> been used. The results are shown below.  </w:t>
      </w:r>
    </w:p>
    <w:p w:rsidR="008E5C9E" w:rsidRDefault="008E5C9E" w:rsidP="00DC7563">
      <w:pPr>
        <w:pStyle w:val="BodyTextIndent"/>
        <w:spacing w:after="120"/>
      </w:pPr>
    </w:p>
    <w:tbl>
      <w:tblPr>
        <w:tblW w:w="5295" w:type="dxa"/>
        <w:tblLook w:val="04A0" w:firstRow="1" w:lastRow="0" w:firstColumn="1" w:lastColumn="0" w:noHBand="0" w:noVBand="1"/>
      </w:tblPr>
      <w:tblGrid>
        <w:gridCol w:w="5295"/>
      </w:tblGrid>
      <w:tr w:rsidR="008E5C9E" w:rsidRPr="0072726B" w:rsidTr="0072726B">
        <w:tc>
          <w:tcPr>
            <w:tcW w:w="5295" w:type="dxa"/>
            <w:shd w:val="clear" w:color="auto" w:fill="auto"/>
          </w:tcPr>
          <w:p w:rsidR="008E5C9E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  <w:r w:rsidRPr="0072726B">
              <w:rPr>
                <w:rFonts w:cs="Miriam"/>
                <w:b/>
                <w:bCs/>
                <w:szCs w:val="18"/>
                <w:lang w:eastAsia="en-AU"/>
              </w:rPr>
              <w:t>Table 1: setup for different experiences</w:t>
            </w:r>
          </w:p>
        </w:tc>
      </w:tr>
      <w:tr w:rsidR="008E5C9E" w:rsidTr="0072726B">
        <w:tc>
          <w:tcPr>
            <w:tcW w:w="5295" w:type="dxa"/>
            <w:shd w:val="clear" w:color="auto" w:fill="auto"/>
          </w:tcPr>
          <w:tbl>
            <w:tblPr>
              <w:tblW w:w="507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  <w:insideH w:val="single" w:sz="2" w:space="0" w:color="000000"/>
                <w:insideV w:val="single" w:sz="2" w:space="0" w:color="000000"/>
              </w:tblBorders>
              <w:tblLook w:val="0160" w:firstRow="1" w:lastRow="1" w:firstColumn="0" w:lastColumn="1" w:noHBand="0" w:noVBand="0"/>
            </w:tblPr>
            <w:tblGrid>
              <w:gridCol w:w="1670"/>
              <w:gridCol w:w="999"/>
              <w:gridCol w:w="2404"/>
            </w:tblGrid>
            <w:tr w:rsidR="00F02CE6" w:rsidTr="001B4212">
              <w:trPr>
                <w:trHeight w:val="310"/>
              </w:trPr>
              <w:tc>
                <w:tcPr>
                  <w:tcW w:w="1670" w:type="dxa"/>
                  <w:vAlign w:val="center"/>
                </w:tcPr>
                <w:p w:rsidR="00F02CE6" w:rsidRPr="002C081B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r w:rsidRPr="002C081B">
                    <w:rPr>
                      <w:b/>
                      <w:bCs/>
                    </w:rPr>
                    <w:t>Option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Top</w:t>
                  </w:r>
                </w:p>
              </w:tc>
              <w:tc>
                <w:tcPr>
                  <w:tcW w:w="2404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2C081B">
                    <w:rPr>
                      <w:b/>
                      <w:bCs/>
                    </w:rPr>
                    <w:t>Description</w:t>
                  </w:r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  <w:vAlign w:val="center"/>
                </w:tcPr>
                <w:p w:rsidR="00F02CE6" w:rsidRPr="002C081B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IDF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237FEF" w:rsidP="001B4212">
                  <w:pPr>
                    <w:pStyle w:val="BodyTextIndent"/>
                    <w:ind w:firstLine="0"/>
                    <w:jc w:val="center"/>
                  </w:pPr>
                  <w:r w:rsidRPr="00DD1AF8">
                    <w:rPr>
                      <w:rFonts w:ascii="Calibri" w:hAnsi="Calibri"/>
                      <w:b/>
                      <w:lang w:eastAsia="en-CA"/>
                    </w:rPr>
                    <w:t>variable</w:t>
                  </w:r>
                </w:p>
              </w:tc>
              <w:tc>
                <w:tcPr>
                  <w:tcW w:w="2404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>
                    <w:t>First</w:t>
                  </w:r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  <w:vAlign w:val="center"/>
                </w:tcPr>
                <w:p w:rsidR="00F02CE6" w:rsidRPr="002C081B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proofErr w:type="spellStart"/>
                  <w:r w:rsidRPr="00737635">
                    <w:rPr>
                      <w:rFonts w:ascii="Calibri" w:hAnsi="Calibri"/>
                      <w:lang w:eastAsia="en-CA"/>
                    </w:rPr>
                    <w:t>lowerCase</w:t>
                  </w:r>
                  <w:proofErr w:type="spellEnd"/>
                  <w:r w:rsidRPr="00737635">
                    <w:rPr>
                      <w:rFonts w:ascii="Calibri" w:hAnsi="Calibri"/>
                      <w:lang w:eastAsia="en-CA"/>
                    </w:rPr>
                    <w:t xml:space="preserve"> terms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 w:rsidRPr="00737635">
                    <w:rPr>
                      <w:rFonts w:ascii="Calibri" w:hAnsi="Calibri"/>
                      <w:lang w:eastAsia="en-CA"/>
                    </w:rPr>
                    <w:t>Yes</w:t>
                  </w:r>
                  <w:r>
                    <w:rPr>
                      <w:rFonts w:ascii="Calibri" w:hAnsi="Calibri"/>
                      <w:lang w:eastAsia="en-CA"/>
                    </w:rPr>
                    <w:t xml:space="preserve"> </w:t>
                  </w:r>
                </w:p>
              </w:tc>
              <w:tc>
                <w:tcPr>
                  <w:tcW w:w="2404" w:type="dxa"/>
                </w:tcPr>
                <w:p w:rsidR="00F02CE6" w:rsidRPr="00737635" w:rsidRDefault="00F02CE6" w:rsidP="001B4212">
                  <w:pPr>
                    <w:spacing w:after="0"/>
                    <w:textAlignment w:val="top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whether or not word terms are converted to lower case</w:t>
                  </w:r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</w:tcPr>
                <w:p w:rsidR="00F02CE6" w:rsidRPr="00737635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proofErr w:type="spellStart"/>
                  <w:r w:rsidRPr="00737635">
                    <w:rPr>
                      <w:rFonts w:ascii="Calibri" w:hAnsi="Calibri"/>
                      <w:lang w:eastAsia="en-CA"/>
                    </w:rPr>
                    <w:t>Stopwords</w:t>
                  </w:r>
                  <w:proofErr w:type="spellEnd"/>
                  <w:r w:rsidRPr="00737635">
                    <w:rPr>
                      <w:rFonts w:ascii="Calibri" w:hAnsi="Calibri"/>
                      <w:lang w:eastAsia="en-CA"/>
                    </w:rPr>
                    <w:t xml:space="preserve"> list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>
                    <w:t>Yes</w:t>
                  </w:r>
                </w:p>
              </w:tc>
              <w:tc>
                <w:tcPr>
                  <w:tcW w:w="2404" w:type="dxa"/>
                </w:tcPr>
                <w:p w:rsidR="00F02CE6" w:rsidRPr="00737635" w:rsidRDefault="00F02CE6" w:rsidP="001B4212">
                  <w:pPr>
                    <w:spacing w:after="0"/>
                    <w:textAlignment w:val="top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stemming algorithm used</w:t>
                  </w:r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</w:tcPr>
                <w:p w:rsidR="00F02CE6" w:rsidRPr="00737635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tokenizer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 w:rsidRPr="00737635">
                    <w:rPr>
                      <w:rFonts w:ascii="Calibri" w:hAnsi="Calibri"/>
                      <w:lang w:eastAsia="en-CA"/>
                    </w:rPr>
                    <w:t>Alphabetic</w:t>
                  </w:r>
                </w:p>
              </w:tc>
              <w:tc>
                <w:tcPr>
                  <w:tcW w:w="2404" w:type="dxa"/>
                </w:tcPr>
                <w:p w:rsidR="00F02CE6" w:rsidRPr="00737635" w:rsidRDefault="00F02CE6" w:rsidP="001B4212">
                  <w:pPr>
                    <w:spacing w:after="0"/>
                    <w:textAlignment w:val="top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tokenization method used</w:t>
                  </w:r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  <w:vAlign w:val="center"/>
                </w:tcPr>
                <w:p w:rsidR="00F02CE6" w:rsidRPr="002C081B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TF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 w:rsidRPr="00DD1AF8">
                    <w:rPr>
                      <w:rFonts w:ascii="Calibri" w:hAnsi="Calibri"/>
                      <w:b/>
                      <w:lang w:eastAsia="en-CA"/>
                    </w:rPr>
                    <w:t>variable</w:t>
                  </w:r>
                </w:p>
              </w:tc>
              <w:tc>
                <w:tcPr>
                  <w:tcW w:w="2404" w:type="dxa"/>
                </w:tcPr>
                <w:p w:rsidR="00F02CE6" w:rsidRPr="00737635" w:rsidRDefault="00F02CE6" w:rsidP="001B4212">
                  <w:pPr>
                    <w:spacing w:after="0"/>
                    <w:textAlignment w:val="top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word frequencies transformed to: log(1+fij) </w:t>
                  </w:r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</w:tcPr>
                <w:p w:rsidR="00F02CE6" w:rsidRPr="00737635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proofErr w:type="spellStart"/>
                  <w:r w:rsidRPr="00737635">
                    <w:rPr>
                      <w:rFonts w:ascii="Calibri" w:hAnsi="Calibri"/>
                      <w:lang w:eastAsia="en-CA"/>
                    </w:rPr>
                    <w:t>normalizeDoc</w:t>
                  </w:r>
                  <w:proofErr w:type="spellEnd"/>
                  <w:r w:rsidRPr="00737635">
                    <w:rPr>
                      <w:rFonts w:ascii="Calibri" w:hAnsi="Calibri"/>
                      <w:lang w:eastAsia="en-CA"/>
                    </w:rPr>
                    <w:t xml:space="preserve"> Length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 w:rsidRPr="00DD1AF8">
                    <w:rPr>
                      <w:rFonts w:ascii="Calibri" w:hAnsi="Calibri"/>
                      <w:b/>
                      <w:lang w:eastAsia="en-CA"/>
                    </w:rPr>
                    <w:t>variable</w:t>
                  </w:r>
                </w:p>
              </w:tc>
              <w:tc>
                <w:tcPr>
                  <w:tcW w:w="2404" w:type="dxa"/>
                </w:tcPr>
                <w:p w:rsidR="00F02CE6" w:rsidRPr="00737635" w:rsidRDefault="00F02CE6" w:rsidP="001B4212">
                  <w:pPr>
                    <w:spacing w:after="0"/>
                    <w:textAlignment w:val="top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 xml:space="preserve">Whether or not word frequencies for a document should be </w:t>
                  </w:r>
                  <w:proofErr w:type="gramStart"/>
                  <w:r w:rsidRPr="00737635">
                    <w:rPr>
                      <w:rFonts w:ascii="Calibri" w:hAnsi="Calibri"/>
                      <w:lang w:eastAsia="en-CA"/>
                    </w:rPr>
                    <w:t>normalized .</w:t>
                  </w:r>
                  <w:proofErr w:type="gramEnd"/>
                </w:p>
              </w:tc>
            </w:tr>
            <w:tr w:rsidR="00F02CE6" w:rsidTr="001B4212">
              <w:trPr>
                <w:trHeight w:val="310"/>
              </w:trPr>
              <w:tc>
                <w:tcPr>
                  <w:tcW w:w="1670" w:type="dxa"/>
                  <w:vAlign w:val="center"/>
                </w:tcPr>
                <w:p w:rsidR="00F02CE6" w:rsidRPr="002C081B" w:rsidRDefault="00F02CE6" w:rsidP="001B4212">
                  <w:pPr>
                    <w:pStyle w:val="BodyTextIndent"/>
                    <w:ind w:firstLine="0"/>
                    <w:jc w:val="center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stemmer</w:t>
                  </w:r>
                </w:p>
              </w:tc>
              <w:tc>
                <w:tcPr>
                  <w:tcW w:w="999" w:type="dxa"/>
                  <w:vAlign w:val="center"/>
                </w:tcPr>
                <w:p w:rsidR="00F02CE6" w:rsidRDefault="00F02CE6" w:rsidP="001B4212">
                  <w:pPr>
                    <w:pStyle w:val="BodyTextIndent"/>
                    <w:ind w:firstLine="0"/>
                    <w:jc w:val="center"/>
                  </w:pPr>
                  <w:r w:rsidRPr="00DD1AF8">
                    <w:rPr>
                      <w:rFonts w:ascii="Calibri" w:hAnsi="Calibri"/>
                      <w:b/>
                      <w:lang w:eastAsia="en-CA"/>
                    </w:rPr>
                    <w:t>variable</w:t>
                  </w:r>
                </w:p>
              </w:tc>
              <w:tc>
                <w:tcPr>
                  <w:tcW w:w="2404" w:type="dxa"/>
                </w:tcPr>
                <w:p w:rsidR="00F02CE6" w:rsidRPr="00737635" w:rsidRDefault="00F02CE6" w:rsidP="001B4212">
                  <w:pPr>
                    <w:spacing w:after="0"/>
                    <w:textAlignment w:val="top"/>
                    <w:rPr>
                      <w:rFonts w:ascii="Calibri" w:hAnsi="Calibri"/>
                      <w:lang w:eastAsia="en-CA"/>
                    </w:rPr>
                  </w:pPr>
                  <w:r w:rsidRPr="00737635">
                    <w:rPr>
                      <w:rFonts w:ascii="Calibri" w:hAnsi="Calibri"/>
                      <w:lang w:eastAsia="en-CA"/>
                    </w:rPr>
                    <w:t>The stemming algorithm used</w:t>
                  </w:r>
                </w:p>
              </w:tc>
            </w:tr>
          </w:tbl>
          <w:p w:rsidR="008E5C9E" w:rsidRDefault="008E5C9E" w:rsidP="0072726B">
            <w:pPr>
              <w:pStyle w:val="BodyTextIndent"/>
              <w:spacing w:after="120"/>
              <w:ind w:firstLine="0"/>
            </w:pPr>
          </w:p>
        </w:tc>
      </w:tr>
    </w:tbl>
    <w:p w:rsidR="003A55E6" w:rsidRDefault="003A55E6" w:rsidP="00DC7563">
      <w:pPr>
        <w:pStyle w:val="BodyTextIndent"/>
        <w:spacing w:after="120"/>
      </w:pPr>
    </w:p>
    <w:p w:rsidR="00854FD0" w:rsidRDefault="00854FD0" w:rsidP="00854FD0">
      <w:pPr>
        <w:pStyle w:val="Heading1"/>
        <w:spacing w:before="120"/>
      </w:pPr>
      <w:r w:rsidRPr="003628D3">
        <w:lastRenderedPageBreak/>
        <w:t>EVALUATION</w:t>
      </w:r>
    </w:p>
    <w:p w:rsidR="00DC7563" w:rsidRDefault="00DC7563" w:rsidP="00DC7563">
      <w:pPr>
        <w:pStyle w:val="Heading2"/>
      </w:pPr>
      <w:r>
        <w:t>Results</w:t>
      </w:r>
    </w:p>
    <w:p w:rsidR="00854FD0" w:rsidRDefault="001243F6" w:rsidP="00DC7563">
      <w:r>
        <w:t xml:space="preserve">Table 2 shows </w:t>
      </w:r>
      <w:r w:rsidRPr="001243F6">
        <w:t xml:space="preserve">accuracy </w:t>
      </w:r>
      <w:r>
        <w:t xml:space="preserve">of classification </w:t>
      </w:r>
      <w:r w:rsidRPr="001243F6">
        <w:t>using different tokenization techniques</w:t>
      </w:r>
      <w:r>
        <w:t xml:space="preserve">. </w:t>
      </w:r>
      <w:r w:rsidR="00DC7563" w:rsidRPr="00186EFA">
        <w:t xml:space="preserve">the results shows, besides size of </w:t>
      </w:r>
      <w:r w:rsidR="00DC7563">
        <w:t>training</w:t>
      </w:r>
      <w:r w:rsidR="00DC7563" w:rsidRPr="00186EFA">
        <w:t xml:space="preserve"> set</w:t>
      </w:r>
      <w:r w:rsidR="00DC7563">
        <w:t>, most important</w:t>
      </w:r>
      <w:r w:rsidR="00DC7563" w:rsidRPr="00186EFA">
        <w:t xml:space="preserve"> factor</w:t>
      </w:r>
      <w:r w:rsidR="00DC7563">
        <w:t>s</w:t>
      </w:r>
      <w:r w:rsidR="00DC7563" w:rsidRPr="00186EFA">
        <w:t xml:space="preserve"> in accuracy of small documents classification using NBM algorithm are TF normalization, stemming and document length normalization.</w:t>
      </w:r>
      <w:r w:rsidR="00DC7563">
        <w:t xml:space="preserve"> Furthermore Inverse document frequency significantly decreases results accuracy.</w:t>
      </w:r>
    </w:p>
    <w:p w:rsidR="00854FD0" w:rsidRDefault="00854FD0" w:rsidP="00DC7563"/>
    <w:p w:rsidR="00854FD0" w:rsidRDefault="00854FD0" w:rsidP="00854FD0">
      <w:pPr>
        <w:pStyle w:val="Heading1"/>
        <w:spacing w:before="120"/>
      </w:pPr>
      <w:r>
        <w:t>REFERENCES</w:t>
      </w:r>
    </w:p>
    <w:p w:rsidR="00854FD0" w:rsidRPr="00854FD0" w:rsidRDefault="00854FD0" w:rsidP="00854FD0">
      <w:pPr>
        <w:sectPr w:rsidR="00854FD0" w:rsidRPr="00854FD0" w:rsidSect="00B20EA2">
          <w:type w:val="continuous"/>
          <w:pgSz w:w="12240" w:h="15840" w:code="1"/>
          <w:pgMar w:top="1080" w:right="1080" w:bottom="1440" w:left="1080" w:header="720" w:footer="720" w:gutter="0"/>
          <w:cols w:num="2" w:space="475"/>
        </w:sectPr>
      </w:pPr>
      <w:r>
        <w:br/>
      </w:r>
      <w:r w:rsidR="0072726B">
        <w:rPr>
          <w:noProof/>
        </w:rPr>
        <w:t>Andrew McCallum, K. N. (n.d.). A Comparison of Event Models for Naive Bayes Text Classi. Pittsburgh, PA.</w:t>
      </w:r>
    </w:p>
    <w:p w:rsidR="004E69C3" w:rsidRDefault="004E69C3" w:rsidP="00DC7563"/>
    <w:tbl>
      <w:tblPr>
        <w:tblW w:w="0" w:type="auto"/>
        <w:tblLook w:val="04A0" w:firstRow="1" w:lastRow="0" w:firstColumn="1" w:lastColumn="0" w:noHBand="0" w:noVBand="1"/>
      </w:tblPr>
      <w:tblGrid>
        <w:gridCol w:w="10296"/>
      </w:tblGrid>
      <w:tr w:rsidR="002A3502" w:rsidTr="0072726B">
        <w:tc>
          <w:tcPr>
            <w:tcW w:w="10296" w:type="dxa"/>
            <w:shd w:val="clear" w:color="auto" w:fill="auto"/>
          </w:tcPr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  <w:r w:rsidRPr="0072726B">
              <w:rPr>
                <w:rFonts w:cs="Miriam"/>
                <w:b/>
                <w:bCs/>
                <w:szCs w:val="18"/>
                <w:lang w:eastAsia="en-AU"/>
              </w:rPr>
              <w:t>Table 2: Classification accuracy using different tokenization techniques</w:t>
            </w:r>
          </w:p>
        </w:tc>
      </w:tr>
      <w:tr w:rsidR="002A3502" w:rsidTr="0072726B">
        <w:tc>
          <w:tcPr>
            <w:tcW w:w="10296" w:type="dxa"/>
            <w:shd w:val="clear" w:color="auto" w:fill="auto"/>
          </w:tcPr>
          <w:tbl>
            <w:tblPr>
              <w:tblW w:w="0" w:type="auto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7"/>
              <w:gridCol w:w="1186"/>
              <w:gridCol w:w="2049"/>
              <w:gridCol w:w="4838"/>
              <w:gridCol w:w="890"/>
            </w:tblGrid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Experience no.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4E69C3">
                    <w:rPr>
                      <w:b/>
                      <w:bCs/>
                    </w:rPr>
                    <w:t>Data set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4E69C3">
                    <w:rPr>
                      <w:b/>
                      <w:bCs/>
                    </w:rPr>
                    <w:t xml:space="preserve">Classification and 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4E69C3">
                    <w:rPr>
                      <w:b/>
                      <w:bCs/>
                    </w:rPr>
                    <w:t>Evaluation methods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4E69C3">
                    <w:rPr>
                      <w:b/>
                      <w:bCs/>
                    </w:rPr>
                    <w:t>Tokenization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4E69C3">
                    <w:rPr>
                      <w:b/>
                      <w:bCs/>
                    </w:rPr>
                    <w:t>Accuracy</w:t>
                  </w: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1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1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 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74%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 </w:t>
                  </w: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2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1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TF normalization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77%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 </w:t>
                  </w: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3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1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TF normalization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without stemming</w:t>
                  </w:r>
                  <w:r w:rsidRPr="004E69C3">
                    <w:rPr>
                      <w:bCs/>
                    </w:rPr>
                    <w:br/>
                    <w:t> 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78%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 </w:t>
                  </w: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4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2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TF normalization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proofErr w:type="spellStart"/>
                  <w:r w:rsidRPr="004E69C3">
                    <w:rPr>
                      <w:bCs/>
                    </w:rPr>
                    <w:t>Lovin</w:t>
                  </w:r>
                  <w:proofErr w:type="spellEnd"/>
                  <w:r w:rsidRPr="004E69C3">
                    <w:rPr>
                      <w:bCs/>
                    </w:rPr>
                    <w:t xml:space="preserve"> stemming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79%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 </w:t>
                  </w: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5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2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TF normalization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Porter stemmer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stemming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83%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 </w:t>
                  </w: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6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2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TF normalization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Porter stemmer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document length normalization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  <w:hideMark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84%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</w:p>
              </w:tc>
            </w:tr>
            <w:tr w:rsidR="002A3502" w:rsidRPr="00C10CBB" w:rsidTr="002A3502">
              <w:tc>
                <w:tcPr>
                  <w:tcW w:w="1097" w:type="dxa"/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>
                    <w:rPr>
                      <w:bCs/>
                    </w:rPr>
                    <w:t>7</w:t>
                  </w:r>
                </w:p>
              </w:tc>
              <w:tc>
                <w:tcPr>
                  <w:tcW w:w="1186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Data Set 2</w:t>
                  </w:r>
                </w:p>
              </w:tc>
              <w:tc>
                <w:tcPr>
                  <w:tcW w:w="2049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NB multinomial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5% cross validation</w:t>
                  </w:r>
                </w:p>
              </w:tc>
              <w:tc>
                <w:tcPr>
                  <w:tcW w:w="4838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TF normalization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Porter stemmer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document length normalization</w:t>
                  </w:r>
                </w:p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IDF</w:t>
                  </w:r>
                </w:p>
              </w:tc>
              <w:tc>
                <w:tcPr>
                  <w:tcW w:w="890" w:type="dxa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:rsidR="002A3502" w:rsidRPr="004E69C3" w:rsidRDefault="002A3502" w:rsidP="001B4212">
                  <w:pPr>
                    <w:pStyle w:val="BodyTextIndent"/>
                    <w:ind w:firstLine="0"/>
                    <w:jc w:val="center"/>
                    <w:rPr>
                      <w:bCs/>
                    </w:rPr>
                  </w:pPr>
                  <w:r w:rsidRPr="004E69C3">
                    <w:rPr>
                      <w:bCs/>
                    </w:rPr>
                    <w:t>51%</w:t>
                  </w:r>
                </w:p>
              </w:tc>
            </w:tr>
          </w:tbl>
          <w:p w:rsidR="002A3502" w:rsidRDefault="002A3502" w:rsidP="00DC7563"/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72726B" w:rsidRPr="0072726B" w:rsidRDefault="0072726B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72726B" w:rsidRPr="0072726B" w:rsidRDefault="0072726B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72726B" w:rsidRPr="0072726B" w:rsidRDefault="0072726B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72726B" w:rsidRPr="0072726B" w:rsidRDefault="0072726B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72726B" w:rsidRPr="0072726B" w:rsidRDefault="0072726B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</w:p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  <w:r w:rsidRPr="0072726B">
              <w:rPr>
                <w:rFonts w:cs="Miriam"/>
                <w:b/>
                <w:bCs/>
                <w:szCs w:val="18"/>
                <w:lang w:eastAsia="en-AU"/>
              </w:rPr>
              <w:lastRenderedPageBreak/>
              <w:t>Table 3: confusion matrix for experience no. 6</w:t>
            </w:r>
          </w:p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Default="00A37593" w:rsidP="00DC7563">
            <w:r>
              <w:rPr>
                <w:rFonts w:ascii="Cambria" w:hAnsi="Cambria"/>
                <w:b/>
                <w:noProof/>
                <w:color w:val="4F81BD"/>
                <w:sz w:val="26"/>
                <w:szCs w:val="26"/>
                <w:lang w:val="en-CA" w:eastAsia="en-CA"/>
              </w:rPr>
              <w:pict>
                <v:shape id="Picture 3" o:spid="_x0000_i1027" type="#_x0000_t75" style="width:494pt;height:250.45pt;visibility:visible;mso-wrap-style:square">
                  <v:imagedata r:id="rId12" o:title=""/>
                </v:shape>
              </w:pict>
            </w:r>
          </w:p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Default="002A3502" w:rsidP="00DC7563"/>
          <w:p w:rsidR="002A3502" w:rsidRDefault="002A3502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1243F6" w:rsidRDefault="001243F6" w:rsidP="00DC7563"/>
          <w:p w:rsidR="0072726B" w:rsidRDefault="0072726B" w:rsidP="00DC7563"/>
          <w:p w:rsidR="0072726B" w:rsidRDefault="0072726B" w:rsidP="00DC7563"/>
          <w:p w:rsidR="001243F6" w:rsidRDefault="001243F6" w:rsidP="00DC7563"/>
          <w:p w:rsidR="001243F6" w:rsidRDefault="001243F6" w:rsidP="00DC7563"/>
          <w:p w:rsidR="002A3502" w:rsidRDefault="002A3502" w:rsidP="00DC7563"/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Pr="0072726B" w:rsidRDefault="002A3502" w:rsidP="0072726B">
            <w:pPr>
              <w:pStyle w:val="BodyTextIndent"/>
              <w:spacing w:after="120"/>
              <w:ind w:firstLine="0"/>
              <w:jc w:val="center"/>
              <w:rPr>
                <w:rFonts w:cs="Miriam"/>
                <w:b/>
                <w:bCs/>
                <w:szCs w:val="18"/>
                <w:lang w:eastAsia="en-AU"/>
              </w:rPr>
            </w:pPr>
            <w:r w:rsidRPr="0072726B">
              <w:rPr>
                <w:rFonts w:cs="Miriam"/>
                <w:b/>
                <w:bCs/>
                <w:szCs w:val="18"/>
                <w:lang w:eastAsia="en-AU"/>
              </w:rPr>
              <w:lastRenderedPageBreak/>
              <w:t>Table 4: Accuracy by class</w:t>
            </w:r>
          </w:p>
        </w:tc>
      </w:tr>
      <w:tr w:rsidR="002A3502" w:rsidTr="0072726B">
        <w:tc>
          <w:tcPr>
            <w:tcW w:w="10296" w:type="dxa"/>
            <w:shd w:val="clear" w:color="auto" w:fill="auto"/>
          </w:tcPr>
          <w:tbl>
            <w:tblPr>
              <w:tblW w:w="8940" w:type="dxa"/>
              <w:tblInd w:w="9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20"/>
              <w:gridCol w:w="960"/>
              <w:gridCol w:w="960"/>
              <w:gridCol w:w="960"/>
              <w:gridCol w:w="960"/>
              <w:gridCol w:w="1280"/>
              <w:gridCol w:w="1700"/>
            </w:tblGrid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TP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FP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Precision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Recall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F-Measure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Class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0.904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0.904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0.866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Education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0.932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0.012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0.803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0.932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0.863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Health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0.976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0.017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0.976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0.855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Morning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0.928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0.015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0.766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0.928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0.839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Money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0.807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0.009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0.827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0.807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0.817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Business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0.927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0.012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0.795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0.927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0.856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Family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0.873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0.012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0.783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0.873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0.825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Peace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0.941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0.941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0.915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Dreams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0.832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0.841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0.836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War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0.882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0.845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0.863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Art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0.858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0.861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Home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0.895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0.869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Happiness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0.872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0.872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0.886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Success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0.878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0.857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0.867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Change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0.735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0.735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0.795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Nature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0.899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0.896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0.898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Truth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0.825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0.825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0.86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Power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0.638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0.828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0.638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0.721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Time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0.732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0.816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0.732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0.772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Love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0.006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0.856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0.856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God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0.563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0.005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0.804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0.563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0.662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Life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0.79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0.978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0.79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0.874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Intelligence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0.849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0.947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0.849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0.895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Courage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0.554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0.941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0.554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0.698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Friendship</w:t>
                  </w:r>
                </w:p>
              </w:tc>
            </w:tr>
            <w:tr w:rsidR="002A3502" w:rsidRPr="0068064A" w:rsidTr="001B4212">
              <w:trPr>
                <w:trHeight w:val="300"/>
              </w:trPr>
              <w:tc>
                <w:tcPr>
                  <w:tcW w:w="212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Weighted Avg.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0.842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0.007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0.847</w:t>
                  </w:r>
                </w:p>
              </w:tc>
              <w:tc>
                <w:tcPr>
                  <w:tcW w:w="96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0.842</w:t>
                  </w:r>
                </w:p>
              </w:tc>
              <w:tc>
                <w:tcPr>
                  <w:tcW w:w="128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  <w:r w:rsidRPr="005F2836">
                    <w:rPr>
                      <w:b/>
                      <w:bCs/>
                    </w:rPr>
                    <w:t>0.84</w:t>
                  </w:r>
                </w:p>
              </w:tc>
              <w:tc>
                <w:tcPr>
                  <w:tcW w:w="1700" w:type="dxa"/>
                  <w:shd w:val="clear" w:color="auto" w:fill="auto"/>
                  <w:noWrap/>
                  <w:vAlign w:val="bottom"/>
                  <w:hideMark/>
                </w:tcPr>
                <w:p w:rsidR="002A3502" w:rsidRPr="005F2836" w:rsidRDefault="002A3502" w:rsidP="001B4212">
                  <w:pPr>
                    <w:pStyle w:val="BodyTextIndent"/>
                    <w:ind w:firstLine="0"/>
                    <w:jc w:val="center"/>
                    <w:rPr>
                      <w:b/>
                      <w:bCs/>
                    </w:rPr>
                  </w:pPr>
                </w:p>
              </w:tc>
            </w:tr>
          </w:tbl>
          <w:p w:rsidR="002A3502" w:rsidRDefault="002A3502" w:rsidP="00DC7563"/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Default="002A3502" w:rsidP="00DC7563"/>
        </w:tc>
      </w:tr>
      <w:tr w:rsidR="002A3502" w:rsidTr="0072726B">
        <w:tc>
          <w:tcPr>
            <w:tcW w:w="10296" w:type="dxa"/>
            <w:shd w:val="clear" w:color="auto" w:fill="auto"/>
          </w:tcPr>
          <w:p w:rsidR="002A3502" w:rsidRDefault="002A3502" w:rsidP="00DC7563"/>
        </w:tc>
      </w:tr>
    </w:tbl>
    <w:p w:rsidR="004E69C3" w:rsidRDefault="004E69C3" w:rsidP="00DC7563"/>
    <w:p w:rsidR="005F2836" w:rsidRDefault="005F2836" w:rsidP="00DC7563"/>
    <w:p w:rsidR="005F2836" w:rsidRPr="00DC7563" w:rsidRDefault="005F2836" w:rsidP="00DC7563"/>
    <w:sectPr w:rsidR="005F2836" w:rsidRPr="00DC7563" w:rsidSect="00854FD0">
      <w:pgSz w:w="12240" w:h="15840" w:code="1"/>
      <w:pgMar w:top="1080" w:right="1080" w:bottom="1440" w:left="1080" w:header="720" w:footer="720" w:gutter="0"/>
      <w:cols w:space="4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B18" w:rsidRDefault="00FB7B18">
      <w:r>
        <w:separator/>
      </w:r>
    </w:p>
  </w:endnote>
  <w:endnote w:type="continuationSeparator" w:id="0">
    <w:p w:rsidR="00FB7B18" w:rsidRDefault="00FB7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05B5" w:rsidRDefault="00A105B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105B5" w:rsidRDefault="00A105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B18" w:rsidRDefault="00FB7B18">
      <w:r>
        <w:separator/>
      </w:r>
    </w:p>
  </w:footnote>
  <w:footnote w:type="continuationSeparator" w:id="0">
    <w:p w:rsidR="00FB7B18" w:rsidRDefault="00FB7B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56303FE7"/>
    <w:multiLevelType w:val="hybridMultilevel"/>
    <w:tmpl w:val="855A45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08CF"/>
    <w:rsid w:val="00016D54"/>
    <w:rsid w:val="000355F6"/>
    <w:rsid w:val="00082CD0"/>
    <w:rsid w:val="00086ED9"/>
    <w:rsid w:val="0009634A"/>
    <w:rsid w:val="000A045E"/>
    <w:rsid w:val="000D5DAD"/>
    <w:rsid w:val="000F275B"/>
    <w:rsid w:val="001243F6"/>
    <w:rsid w:val="001378B9"/>
    <w:rsid w:val="001578EE"/>
    <w:rsid w:val="00172159"/>
    <w:rsid w:val="001E0D70"/>
    <w:rsid w:val="001E4A9D"/>
    <w:rsid w:val="00237FEF"/>
    <w:rsid w:val="002A3502"/>
    <w:rsid w:val="002A5FD0"/>
    <w:rsid w:val="002C081B"/>
    <w:rsid w:val="002D6A57"/>
    <w:rsid w:val="002E752B"/>
    <w:rsid w:val="00306D32"/>
    <w:rsid w:val="0036311D"/>
    <w:rsid w:val="00375299"/>
    <w:rsid w:val="003A55E6"/>
    <w:rsid w:val="003B01BC"/>
    <w:rsid w:val="003B4153"/>
    <w:rsid w:val="003E3258"/>
    <w:rsid w:val="004548E5"/>
    <w:rsid w:val="004627D0"/>
    <w:rsid w:val="00474255"/>
    <w:rsid w:val="004E69C3"/>
    <w:rsid w:val="005573EE"/>
    <w:rsid w:val="00571CED"/>
    <w:rsid w:val="005842F9"/>
    <w:rsid w:val="005B6A93"/>
    <w:rsid w:val="005F2836"/>
    <w:rsid w:val="00603A4D"/>
    <w:rsid w:val="0061710B"/>
    <w:rsid w:val="0062758A"/>
    <w:rsid w:val="0068547D"/>
    <w:rsid w:val="0069356A"/>
    <w:rsid w:val="006A044B"/>
    <w:rsid w:val="006A1FA3"/>
    <w:rsid w:val="006D451E"/>
    <w:rsid w:val="00723D6C"/>
    <w:rsid w:val="0072726B"/>
    <w:rsid w:val="00792A11"/>
    <w:rsid w:val="00793DF2"/>
    <w:rsid w:val="007A5114"/>
    <w:rsid w:val="007C08CF"/>
    <w:rsid w:val="007C3600"/>
    <w:rsid w:val="008536AF"/>
    <w:rsid w:val="00854FD0"/>
    <w:rsid w:val="0087467E"/>
    <w:rsid w:val="008B197E"/>
    <w:rsid w:val="008C44FB"/>
    <w:rsid w:val="008E5C9E"/>
    <w:rsid w:val="009B701B"/>
    <w:rsid w:val="009F334B"/>
    <w:rsid w:val="00A105B5"/>
    <w:rsid w:val="00A37593"/>
    <w:rsid w:val="00A66E61"/>
    <w:rsid w:val="00AE2664"/>
    <w:rsid w:val="00B20EA2"/>
    <w:rsid w:val="00BF3697"/>
    <w:rsid w:val="00C27B59"/>
    <w:rsid w:val="00C80B6F"/>
    <w:rsid w:val="00CB4646"/>
    <w:rsid w:val="00CD7EC6"/>
    <w:rsid w:val="00D3292B"/>
    <w:rsid w:val="00D365F8"/>
    <w:rsid w:val="00DA70EA"/>
    <w:rsid w:val="00DC7563"/>
    <w:rsid w:val="00E26518"/>
    <w:rsid w:val="00E3178B"/>
    <w:rsid w:val="00E573E0"/>
    <w:rsid w:val="00E85CE7"/>
    <w:rsid w:val="00EC1F6A"/>
    <w:rsid w:val="00ED3D93"/>
    <w:rsid w:val="00F02CE6"/>
    <w:rsid w:val="00F5619A"/>
    <w:rsid w:val="00F726BE"/>
    <w:rsid w:val="00F80FBE"/>
    <w:rsid w:val="00F83717"/>
    <w:rsid w:val="00F96495"/>
    <w:rsid w:val="00FB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after="80"/>
      <w:jc w:val="both"/>
    </w:pPr>
    <w:rPr>
      <w:sz w:val="1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pPr>
      <w:numPr>
        <w:ilvl w:val="3"/>
      </w:numPr>
      <w:outlineLvl w:val="3"/>
    </w:pPr>
  </w:style>
  <w:style w:type="paragraph" w:styleId="Heading5">
    <w:name w:val="heading 5"/>
    <w:basedOn w:val="ListNumber3"/>
    <w:next w:val="Normal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pPr>
      <w:ind w:left="144" w:hanging="144"/>
    </w:pPr>
  </w:style>
  <w:style w:type="paragraph" w:customStyle="1" w:styleId="Bullet">
    <w:name w:val="Bullet"/>
    <w:basedOn w:val="Normal"/>
    <w:pPr>
      <w:ind w:left="144" w:hanging="144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Heading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pPr>
      <w:ind w:left="1080" w:hanging="360"/>
    </w:pPr>
  </w:style>
  <w:style w:type="paragraph" w:customStyle="1" w:styleId="Captions">
    <w:name w:val="Captions"/>
    <w:basedOn w:val="Normal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pPr>
      <w:numPr>
        <w:numId w:val="2"/>
      </w:numPr>
      <w:jc w:val="left"/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spacing w:after="0"/>
      <w:ind w:firstLine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sid w:val="0062758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C7563"/>
    <w:pPr>
      <w:spacing w:before="100" w:beforeAutospacing="1" w:after="100" w:afterAutospacing="1"/>
      <w:jc w:val="left"/>
    </w:pPr>
    <w:rPr>
      <w:sz w:val="24"/>
      <w:szCs w:val="24"/>
      <w:lang w:val="en-CA" w:eastAsia="en-CA"/>
    </w:rPr>
  </w:style>
  <w:style w:type="paragraph" w:styleId="EndnoteText">
    <w:name w:val="endnote text"/>
    <w:basedOn w:val="Normal"/>
    <w:link w:val="EndnoteTextChar"/>
    <w:rsid w:val="002A5FD0"/>
    <w:rPr>
      <w:sz w:val="20"/>
    </w:rPr>
  </w:style>
  <w:style w:type="character" w:customStyle="1" w:styleId="EndnoteTextChar">
    <w:name w:val="Endnote Text Char"/>
    <w:link w:val="EndnoteText"/>
    <w:rsid w:val="002A5FD0"/>
    <w:rPr>
      <w:lang w:val="en-US" w:eastAsia="en-US"/>
    </w:rPr>
  </w:style>
  <w:style w:type="character" w:styleId="EndnoteReference">
    <w:name w:val="endnote reference"/>
    <w:rsid w:val="002A5FD0"/>
    <w:rPr>
      <w:vertAlign w:val="superscript"/>
    </w:rPr>
  </w:style>
  <w:style w:type="table" w:styleId="TableGrid">
    <w:name w:val="Table Grid"/>
    <w:basedOn w:val="TableNormal"/>
    <w:rsid w:val="00C80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69C3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CA"/>
    </w:rPr>
  </w:style>
  <w:style w:type="character" w:customStyle="1" w:styleId="Heading1Char">
    <w:name w:val="Heading 1 Char"/>
    <w:link w:val="Heading1"/>
    <w:uiPriority w:val="9"/>
    <w:rsid w:val="0072726B"/>
    <w:rPr>
      <w:b/>
      <w:kern w:val="28"/>
      <w:sz w:val="24"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72726B"/>
  </w:style>
  <w:style w:type="paragraph" w:styleId="BalloonText">
    <w:name w:val="Balloon Text"/>
    <w:basedOn w:val="Normal"/>
    <w:link w:val="BalloonTextChar"/>
    <w:rsid w:val="004548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48E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8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And</b:Tag>
    <b:SourceType>ElectronicSource</b:SourceType>
    <b:Guid>{DA2F2BF1-71D6-4F59-B00D-33460E5C3DCE}</b:Guid>
    <b:Title>A Comparison of Event Models for Naive Bayes Text Classi</b:Title>
    <b:City>Pittsburgh</b:City>
    <b:Author>
      <b:Author>
        <b:NameList>
          <b:Person>
            <b:Last>Andrew McCallum</b:Last>
            <b:First>Kamal</b:First>
            <b:Middle>Nigam</b:Middle>
          </b:Person>
        </b:NameList>
      </b:Author>
    </b:Author>
    <b:StateProvince>PA</b:StateProvince>
    <b:RefOrder>2</b:RefOrder>
  </b:Source>
  <b:Source>
    <b:Tag>Ash</b:Tag>
    <b:SourceType>ElectronicSource</b:SourceType>
    <b:Guid>{6CF3724A-B6FF-467F-8889-65A0CD3B9A2E}</b:Guid>
    <b:Author>
      <b:Author>
        <b:NameList>
          <b:Person>
            <b:Last>Ashraf M. Kibriya</b:Last>
            <b:First>Eibe</b:First>
            <b:Middle>Prank, Bernhard Pfahringer, and Geoffrey Holmes</b:Middle>
          </b:Person>
        </b:NameList>
      </b:Author>
    </b:Author>
    <b:Title>Multinomial Naive Bayes for Text Categarization Revised</b:Title>
    <b:City>Hamilton</b:City>
    <b:CountryRegion>New Zealand</b:CountryRegion>
    <b:RefOrder>1</b:RefOrder>
  </b:Source>
</b:Sources>
</file>

<file path=customXml/itemProps1.xml><?xml version="1.0" encoding="utf-8"?>
<ds:datastoreItem xmlns:ds="http://schemas.openxmlformats.org/officeDocument/2006/customXml" ds:itemID="{9FC42281-5602-4307-8F21-17235FF5A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Proceedings Template - WORD</vt:lpstr>
    </vt:vector>
  </TitlesOfParts>
  <Company>ACM</Company>
  <LinksUpToDate>false</LinksUpToDate>
  <CharactersWithSpaces>5086</CharactersWithSpaces>
  <SharedDoc>false</SharedDoc>
  <HLinks>
    <vt:vector size="42" baseType="variant">
      <vt:variant>
        <vt:i4>3473518</vt:i4>
      </vt:variant>
      <vt:variant>
        <vt:i4>21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18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9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6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7929969</vt:i4>
      </vt:variant>
      <vt:variant>
        <vt:i4>0</vt:i4>
      </vt:variant>
      <vt:variant>
        <vt:i4>0</vt:i4>
      </vt:variant>
      <vt:variant>
        <vt:i4>5</vt:i4>
      </vt:variant>
      <vt:variant>
        <vt:lpwstr>http://www.acm.org/class/1998/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Further edited by G. Murray May 23 2012 to remove extra white space between affiliation ph. no and email addys._x000d_
Further edited by G. Murray, Jan. 13th. 2011 - adjusted 'top' space to .75" and ensured text in Introduction 'matched' LaTeX._x000d_
Edited by G. Murray on Aug. 23rd. 2007 for 'ACM Reference Format' / updated reference examples.</dc:description>
  <cp:lastModifiedBy>hamid hooshmandi</cp:lastModifiedBy>
  <cp:revision>32</cp:revision>
  <cp:lastPrinted>2013-08-01T16:47:00Z</cp:lastPrinted>
  <dcterms:created xsi:type="dcterms:W3CDTF">2013-07-29T06:25:00Z</dcterms:created>
  <dcterms:modified xsi:type="dcterms:W3CDTF">2013-08-01T16:49:00Z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