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none" w:color="FFFFFF" w:sz="0"/>
          <w:left w:val="none" w:color="FFFFFF" w:sz="0"/>
          <w:bottom w:val="none" w:color="FFFFFF" w:sz="0"/>
          <w:right w:val="none" w:color="FFFFFF" w:sz="0"/>
          <w:insideH w:val="single" w:color="auto" w:sz="4"/>
          <w:insideV w:val="single" w:color="auto" w:sz="4"/>
        </w:tblBorders>
      </w:tblPr>
      <w:tblGrid>
        <w:gridCol w:w="9639"/>
      </w:tblGrid>
      <w:tr>
        <w:tc>
          <w:tcPr>
            <w:tcW w:type="dxa" w:w="9639"/>
            <w:tcBorders>
              <w:top w:val="none" w:color="FFFFFF" w:sz="0"/>
              <w:left w:val="none" w:color="FFFFFF" w:sz="0"/>
              <w:bottom w:val="none" w:color="FFFFFF" w:sz="0"/>
              <w:right w:val="none" w:color="FFFFFF" w:sz="0"/>
            </w:tcBorders>
            <w:shd w:fill="1B2A4A" w:color="auto" w:val="clear"/>
            <w:tcMar>
              <w:top w:type="dxa" w:w="560"/>
              <w:left w:type="dxa" w:w="560"/>
              <w:bottom w:type="dxa" w:w="400"/>
              <w:right w:type="dxa" w:w="560"/>
            </w:tcMar>
          </w:tcPr>
          <w:p>
            <w:pPr>
              <w:spacing w:after="240"/>
            </w:pPr>
            <w:r>
              <w:rPr>
                <w:b/>
                <w:bCs/>
                <w:color w:val="C8972B"/>
                <w:sz w:val="22"/>
                <w:szCs w:val="22"/>
              </w:rPr>
              <w:t xml:space="preserve">TENDER ANALYSIS REPORT</w:t>
            </w:r>
          </w:p>
          <w:p>
            <w:pPr>
              <w:spacing w:after="200"/>
            </w:pPr>
            <w:r>
              <w:rPr>
                <w:b/>
                <w:bCs/>
                <w:color w:val="FFFFFF"/>
                <w:sz w:val="48"/>
                <w:szCs w:val="48"/>
              </w:rPr>
              <w:t xml:space="preserve">[PROJECT NAME]</w:t>
            </w:r>
          </w:p>
          <w:p>
            <w:r>
              <w:rPr>
                <w:color w:val="D0D5DD"/>
                <w:sz w:val="26"/>
                <w:szCs w:val="26"/>
              </w:rPr>
              <w:t xml:space="preserve">[Package] — Subcontractor Tender Analysis</w:t>
            </w:r>
          </w:p>
        </w:tc>
      </w:tr>
    </w:tbl>
    <w:p>
      <w:pPr>
        <w:spacing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Project</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[Project name]</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Site Address</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[Site address]</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Client / Prepared For</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Meridian Construction &amp; Refurbishment Ltd</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Package</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[e.g. Piling / Groundworks / M&amp;E / Fit-out]</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Report Reference</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MCR-XX-XXX-TA-001</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Date of Analysis</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[INSERT DATE]</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No. of Tenders Received</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[INSERT NUMBER]</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Prepared By</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[NAME / ROLE]</w:t>
            </w:r>
          </w:p>
        </w:tc>
      </w:tr>
      <w:tr>
        <w:tc>
          <w:tcPr>
            <w:tcW w:type="dxa" w:w="3200"/>
            <w:tcBorders>
              <w:top w:val="none" w:color="FFFFFF" w:sz="0"/>
              <w:left w:val="none" w:color="FFFFFF" w:sz="0"/>
              <w:bottom w:val="none" w:color="FFFFFF" w:sz="0"/>
              <w:right w:val="none" w:color="FFFFFF" w:sz="0"/>
            </w:tcBorders>
            <w:shd w:fill="F2F4F7" w:color="auto" w:val="clear"/>
            <w:tcMar>
              <w:top w:type="dxa" w:w="80"/>
              <w:left w:type="dxa" w:w="160"/>
              <w:bottom w:type="dxa" w:w="80"/>
              <w:right w:type="dxa" w:w="120"/>
            </w:tcMar>
            <w:vAlign w:val="center"/>
          </w:tcPr>
          <w:p>
            <w:r>
              <w:rPr>
                <w:b/>
                <w:bCs/>
                <w:color w:val="1B2A4A"/>
                <w:sz w:val="21"/>
                <w:szCs w:val="21"/>
              </w:rPr>
              <w:t xml:space="preserve">Status</w:t>
            </w:r>
          </w:p>
        </w:tc>
        <w:tc>
          <w:tcPr>
            <w:tcW w:type="dxa" w:w="6160"/>
            <w:tcBorders>
              <w:top w:val="none" w:color="FFFFFF" w:sz="0"/>
              <w:left w:val="none" w:color="FFFFFF" w:sz="0"/>
              <w:bottom w:val="single" w:color="D0D5DD" w:sz="2"/>
              <w:right w:val="none" w:color="FFFFFF" w:sz="0"/>
            </w:tcBorders>
            <w:tcMar>
              <w:top w:type="dxa" w:w="80"/>
              <w:left w:type="dxa" w:w="160"/>
              <w:bottom w:type="dxa" w:w="80"/>
              <w:right w:type="dxa" w:w="120"/>
            </w:tcMar>
            <w:vAlign w:val="center"/>
          </w:tcPr>
          <w:p>
            <w:r>
              <w:rPr>
                <w:color w:val="1B2A4A"/>
                <w:sz w:val="21"/>
                <w:szCs w:val="21"/>
              </w:rPr>
              <w:t xml:space="preserve">Draft — for internal approval / due diligence</w:t>
            </w:r>
          </w:p>
        </w:tc>
      </w:tr>
    </w:tbl>
    <w:p>
      <w:pPr>
        <w:spacing w:before="360"/>
        <w:jc w:val="center"/>
      </w:pPr>
      <w:r>
        <w:rPr>
          <w:b/>
          <w:bCs/>
          <w:color w:val="C8972B"/>
          <w:sz w:val="18"/>
          <w:szCs w:val="18"/>
        </w:rPr>
        <w:t xml:space="preserve">STRICTLY PRIVATE &amp; CONFIDENTIAL — FOR INTERNAL APPROVAL / DUE DILIGENCE PURPOSES ONLY</w:t>
      </w:r>
    </w:p>
    <w:p>
      <w:pPr>
        <w:spacing w:before="120"/>
        <w:jc w:val="center"/>
      </w:pPr>
      <w:r>
        <w:rPr>
          <w:i/>
          <w:iCs/>
          <w:sz w:val="18"/>
          <w:szCs w:val="18"/>
        </w:rPr>
        <w:t xml:space="preserve">This document is commercially sensitive and is based solely on the documents provided. Recipients must not copy or distribute without the written consent of Meridian Construction &amp; Refurbishment Ltd.</w:t>
      </w:r>
    </w:p>
    <w:p>
      <w:r>
        <w:br w:type="page"/>
      </w:r>
    </w:p>
    <w:p>
      <w:pPr>
        <w:pStyle w:val="Heading1"/>
        <w:spacing w:after="120"/>
      </w:pPr>
      <w:r>
        <w:rPr>
          <w:b/>
          <w:bCs/>
          <w:color w:val="1B2A4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01</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PACKAGE OVERVIEW</w:t>
            </w:r>
          </w:p>
        </w:tc>
      </w:tr>
    </w:tbl>
    <w:p>
      <w:pPr>
        <w:spacing w:after="120" w:before="60"/>
      </w:pPr>
      <w:r>
        <w:rPr>
          <w:color w:val="1B2A4A"/>
          <w:sz w:val="21"/>
          <w:szCs w:val="21"/>
        </w:rPr>
        <w:t xml:space="preserve">Project: [Project name, address, postcode]</w:t>
      </w:r>
    </w:p>
    <w:p>
      <w:pPr>
        <w:spacing w:after="120" w:before="60"/>
      </w:pPr>
      <w:r>
        <w:rPr>
          <w:sz w:val="21"/>
          <w:szCs w:val="21"/>
        </w:rPr>
        <w:t xml:space="preserve">Client: Meridian Construction &amp; Refurbishment Ltd</w:t>
      </w:r>
    </w:p>
    <w:p>
      <w:pPr>
        <w:pStyle w:val="Heading2"/>
        <w:spacing w:after="80" w:before="240"/>
      </w:pPr>
      <w:r>
        <w:rPr>
          <w:b/>
          <w:bCs/>
          <w:sz w:val="24"/>
          <w:szCs w:val="24"/>
        </w:rPr>
        <w:t xml:space="preserve">1.1  Package Description</w:t>
      </w:r>
    </w:p>
    <w:p>
      <w:pPr>
        <w:spacing w:after="120" w:before="60"/>
      </w:pPr>
      <w:r>
        <w:rPr>
          <w:i/>
          <w:iCs/>
          <w:color w:val="667085"/>
          <w:sz w:val="19"/>
          <w:szCs w:val="19"/>
        </w:rPr>
        <w:t xml:space="preserve">» Describe the works being tendered, how many quotations were received, and the range of methods / systems / configurations proposed. Note any tender that differs materially in method from the majority.</w:t>
      </w:r>
    </w:p>
    <w:p>
      <w:pPr>
        <w:spacing w:after="120" w:before="60"/>
      </w:pPr>
      <w:r>
        <w:rPr>
          <w:color w:val="1B2A4A"/>
          <w:sz w:val="21"/>
          <w:szCs w:val="21"/>
        </w:rPr>
        <w:t xml:space="preserve">[Summarise the package and the field of tenderers here.]</w:t>
      </w:r>
    </w:p>
    <w:p>
      <w:pPr>
        <w:pStyle w:val="Heading2"/>
        <w:spacing w:after="80" w:before="240"/>
      </w:pPr>
      <w:r>
        <w:rPr>
          <w:b/>
          <w:bCs/>
          <w:sz w:val="24"/>
          <w:szCs w:val="24"/>
        </w:rPr>
        <w:t xml:space="preserve">1.2  Information Provided to Tenderers</w:t>
      </w:r>
    </w:p>
    <w:p>
      <w:pPr>
        <w:spacing w:after="120" w:before="60"/>
      </w:pPr>
      <w:r>
        <w:rPr>
          <w:i/>
          <w:iCs/>
          <w:color w:val="667085"/>
          <w:sz w:val="19"/>
          <w:szCs w:val="19"/>
        </w:rPr>
        <w:t xml:space="preserve">» List every drawing, specification, schedule and report issued to tenderers — and, critically, what was NOT issued. Gaps here drive the comparability caveats later.</w:t>
      </w:r>
    </w:p>
    <w:p>
      <w:pPr>
        <w:pStyle w:val="ListParagraph"/>
        <w:numPr>
          <w:ilvl w:val="0"/>
          <w:numId w:val="2"/>
        </w:numPr>
        <w:spacing w:after="20" w:before="20"/>
      </w:pPr>
      <w:r>
        <w:rPr>
          <w:color w:val="1B2A4A"/>
          <w:sz w:val="21"/>
          <w:szCs w:val="21"/>
        </w:rPr>
        <w:t xml:space="preserve">[Drawing / GA reference and revision]</w:t>
      </w:r>
    </w:p>
    <w:p>
      <w:pPr>
        <w:pStyle w:val="ListParagraph"/>
        <w:numPr>
          <w:ilvl w:val="0"/>
          <w:numId w:val="2"/>
        </w:numPr>
        <w:spacing w:after="20" w:before="20"/>
      </w:pPr>
      <w:r>
        <w:rPr>
          <w:color w:val="1B2A4A"/>
          <w:sz w:val="21"/>
          <w:szCs w:val="21"/>
        </w:rPr>
        <w:t xml:space="preserve">[Specification reference — or state 'no specification issued']</w:t>
      </w:r>
    </w:p>
    <w:p>
      <w:pPr>
        <w:pStyle w:val="ListParagraph"/>
        <w:numPr>
          <w:ilvl w:val="0"/>
          <w:numId w:val="2"/>
        </w:numPr>
        <w:spacing w:after="20" w:before="20"/>
      </w:pPr>
      <w:r>
        <w:rPr>
          <w:color w:val="1B2A4A"/>
          <w:sz w:val="21"/>
          <w:szCs w:val="21"/>
        </w:rPr>
        <w:t xml:space="preserve">[Ground investigation / survey report reference and its limits]</w:t>
      </w:r>
    </w:p>
    <w:p>
      <w:pPr>
        <w:pStyle w:val="ListParagraph"/>
        <w:numPr>
          <w:ilvl w:val="0"/>
          <w:numId w:val="2"/>
        </w:numPr>
        <w:spacing w:after="20" w:before="20"/>
      </w:pPr>
      <w:r>
        <w:rPr>
          <w:color w:val="1B2A4A"/>
          <w:sz w:val="21"/>
          <w:szCs w:val="21"/>
        </w:rPr>
        <w:t xml:space="preserve">[Schedule / BOQ provided — or state not provided in electronic format]</w:t>
      </w:r>
    </w:p>
    <w:p>
      <w:pPr>
        <w:pStyle w:val="Heading2"/>
        <w:spacing w:after="80" w:before="240"/>
      </w:pPr>
      <w:r>
        <w:rPr>
          <w:b/>
          <w:bCs/>
          <w:sz w:val="24"/>
          <w:szCs w:val="24"/>
        </w:rPr>
        <w:t xml:space="preserve">1.3  Adequacy of Information for Comparison</w:t>
      </w:r>
    </w:p>
    <w:p>
      <w:pPr>
        <w:spacing w:after="120" w:before="60"/>
      </w:pPr>
      <w:r>
        <w:rPr>
          <w:i/>
          <w:iCs/>
          <w:color w:val="667085"/>
          <w:sz w:val="19"/>
          <w:szCs w:val="19"/>
        </w:rPr>
        <w:t xml:space="preserve">» State plainly whether the information allows a like-for-like comparison. Itemise each material front on which it does not (e.g. incomplete survey, no specification, quantity discrepancies, differing pile/system types, stale or anomalous quote dates).</w:t>
      </w:r>
    </w:p>
    <w:p>
      <w:pPr>
        <w:spacing w:after="120" w:before="60"/>
      </w:pPr>
      <w:r>
        <w:rPr>
          <w:color w:val="1B2A4A"/>
          <w:sz w:val="21"/>
          <w:szCs w:val="21"/>
        </w:rPr>
        <w:t xml:space="preserve">The information provided is [sufficient / insufficient] for a like-for-like comparison on the following fronts:</w:t>
      </w:r>
    </w:p>
    <w:p>
      <w:pPr>
        <w:pStyle w:val="ListParagraph"/>
        <w:numPr>
          <w:ilvl w:val="0"/>
          <w:numId w:val="2"/>
        </w:numPr>
        <w:spacing w:after="20" w:before="20"/>
      </w:pPr>
      <w:r>
        <w:rPr>
          <w:color w:val="1B2A4A"/>
          <w:sz w:val="21"/>
          <w:szCs w:val="21"/>
        </w:rPr>
        <w:t xml:space="preserve">[Material front 1 — e.g. survey data extends only to Xm; contractors have made differing assumptions]</w:t>
      </w:r>
    </w:p>
    <w:p>
      <w:pPr>
        <w:pStyle w:val="ListParagraph"/>
        <w:numPr>
          <w:ilvl w:val="0"/>
          <w:numId w:val="2"/>
        </w:numPr>
        <w:spacing w:after="20" w:before="20"/>
      </w:pPr>
      <w:r>
        <w:rPr>
          <w:color w:val="1B2A4A"/>
          <w:sz w:val="21"/>
          <w:szCs w:val="21"/>
        </w:rPr>
        <w:t xml:space="preserve">[Material front 2 — e.g. no specification issued; each contractor relies on its own interpreted standard]</w:t>
      </w:r>
    </w:p>
    <w:p>
      <w:pPr>
        <w:pStyle w:val="ListParagraph"/>
        <w:numPr>
          <w:ilvl w:val="0"/>
          <w:numId w:val="2"/>
        </w:numPr>
        <w:spacing w:after="20" w:before="20"/>
      </w:pPr>
      <w:r>
        <w:rPr>
          <w:color w:val="1B2A4A"/>
          <w:sz w:val="21"/>
          <w:szCs w:val="21"/>
        </w:rPr>
        <w:t xml:space="preserve">[Material front 3 — e.g. quantities vary across returns, indicating differing drawing interpretation]</w:t>
      </w:r>
    </w:p>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02</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TENDER SUMMARY TABLE</w:t>
            </w:r>
          </w:p>
        </w:tc>
      </w:tr>
    </w:tbl>
    <w:p>
      <w:pPr>
        <w:spacing w:after="120" w:before="60"/>
      </w:pPr>
      <w:r>
        <w:rPr>
          <w:i/>
          <w:iCs/>
          <w:color w:val="667085"/>
          <w:sz w:val="19"/>
          <w:szCs w:val="19"/>
        </w:rPr>
        <w:t xml:space="preserve">» One row per tenderer. All figures exclusive of VAT. Flag budget / remeasurable sums explicitly — they carry greater cost uncertainty than fixed-price submissions.</w:t>
      </w:r>
    </w:p>
    <w:p>
      <w:pPr>
        <w:spacing w:after="80"/>
      </w:pPr>
      <w:r>
        <w:rPr>
          <w:i/>
          <w:iCs/>
          <w:sz w:val="18"/>
          <w:szCs w:val="18"/>
        </w:rPr>
        <w:t xml:space="preserve">Note: All figures are exclusive of VAT. Sums marked 'budget' or 'remeasurable' carry greater cost uncertainty than fixed-price submissions.</w:t>
      </w:r>
    </w:p>
    <w:tbl>
      <w:tblPr>
        <w:tblW w:type="dxa" w:w="9634"/>
        <w:tblBorders>
          <w:top w:val="single" w:color="D0D5DD" w:sz="4"/>
          <w:left w:val="single" w:color="D0D5DD" w:sz="4"/>
          <w:bottom w:val="single" w:color="D0D5DD" w:sz="4"/>
          <w:right w:val="single" w:color="D0D5DD" w:sz="4"/>
          <w:insideH w:val="single" w:color="D0D5DD" w:sz="4"/>
          <w:insideV w:val="single" w:color="D0D5DD" w:sz="4"/>
        </w:tblBorders>
      </w:tblPr>
      <w:tblGrid>
        <w:gridCol w:w="1300"/>
        <w:gridCol w:w="1180"/>
        <w:gridCol w:w="1080"/>
        <w:gridCol w:w="1080"/>
        <w:gridCol w:w="1000"/>
        <w:gridCol w:w="1300"/>
        <w:gridCol w:w="1494"/>
        <w:gridCol w:w="1200"/>
      </w:tblGrid>
      <w:tr>
        <w:trPr>
          <w:tblHeader/>
        </w:trPr>
        <w:tc>
          <w:tcPr>
            <w:tcW w:type="dxa" w:w="1300"/>
            <w:shd w:fill="1B2A4A" w:color="auto" w:val="clear"/>
            <w:tcMar>
              <w:top w:type="dxa" w:w="60"/>
              <w:left w:type="dxa" w:w="80"/>
              <w:bottom w:type="dxa" w:w="60"/>
              <w:right w:type="dxa" w:w="80"/>
            </w:tcMar>
            <w:vAlign w:val="center"/>
          </w:tcPr>
          <w:p>
            <w:r>
              <w:rPr>
                <w:b/>
                <w:bCs/>
                <w:color w:val="FFFFFF"/>
                <w:sz w:val="18"/>
                <w:szCs w:val="18"/>
              </w:rPr>
              <w:t xml:space="preserve">Contractor</w:t>
            </w:r>
          </w:p>
        </w:tc>
        <w:tc>
          <w:tcPr>
            <w:tcW w:type="dxa" w:w="1180"/>
            <w:shd w:fill="1B2A4A" w:color="auto" w:val="clear"/>
            <w:tcMar>
              <w:top w:type="dxa" w:w="60"/>
              <w:left w:type="dxa" w:w="80"/>
              <w:bottom w:type="dxa" w:w="60"/>
              <w:right w:type="dxa" w:w="80"/>
            </w:tcMar>
            <w:vAlign w:val="center"/>
          </w:tcPr>
          <w:p>
            <w:r>
              <w:rPr>
                <w:b/>
                <w:bCs/>
                <w:color w:val="FFFFFF"/>
                <w:sz w:val="18"/>
                <w:szCs w:val="18"/>
              </w:rPr>
              <w:t xml:space="preserve">Quoted Sum (ex VAT)</w:t>
            </w:r>
          </w:p>
        </w:tc>
        <w:tc>
          <w:tcPr>
            <w:tcW w:type="dxa" w:w="1080"/>
            <w:shd w:fill="1B2A4A" w:color="auto" w:val="clear"/>
            <w:tcMar>
              <w:top w:type="dxa" w:w="60"/>
              <w:left w:type="dxa" w:w="80"/>
              <w:bottom w:type="dxa" w:w="60"/>
              <w:right w:type="dxa" w:w="80"/>
            </w:tcMar>
            <w:vAlign w:val="center"/>
          </w:tcPr>
          <w:p>
            <w:r>
              <w:rPr>
                <w:b/>
                <w:bCs/>
                <w:color w:val="FFFFFF"/>
                <w:sz w:val="18"/>
                <w:szCs w:val="18"/>
              </w:rPr>
              <w:t xml:space="preserve">Method / System</w:t>
            </w:r>
          </w:p>
        </w:tc>
        <w:tc>
          <w:tcPr>
            <w:tcW w:type="dxa" w:w="1080"/>
            <w:shd w:fill="1B2A4A" w:color="auto" w:val="clear"/>
            <w:tcMar>
              <w:top w:type="dxa" w:w="60"/>
              <w:left w:type="dxa" w:w="80"/>
              <w:bottom w:type="dxa" w:w="60"/>
              <w:right w:type="dxa" w:w="80"/>
            </w:tcMar>
            <w:vAlign w:val="center"/>
          </w:tcPr>
          <w:p>
            <w:r>
              <w:rPr>
                <w:b/>
                <w:bCs/>
                <w:color w:val="FFFFFF"/>
                <w:sz w:val="18"/>
                <w:szCs w:val="18"/>
              </w:rPr>
              <w:t xml:space="preserve">Key Quantities</w:t>
            </w:r>
          </w:p>
        </w:tc>
        <w:tc>
          <w:tcPr>
            <w:tcW w:type="dxa" w:w="1000"/>
            <w:shd w:fill="1B2A4A" w:color="auto" w:val="clear"/>
            <w:tcMar>
              <w:top w:type="dxa" w:w="60"/>
              <w:left w:type="dxa" w:w="80"/>
              <w:bottom w:type="dxa" w:w="60"/>
              <w:right w:type="dxa" w:w="80"/>
            </w:tcMar>
            <w:vAlign w:val="center"/>
          </w:tcPr>
          <w:p>
            <w:r>
              <w:rPr>
                <w:b/>
                <w:bCs/>
                <w:color w:val="FFFFFF"/>
                <w:sz w:val="18"/>
                <w:szCs w:val="18"/>
              </w:rPr>
              <w:t xml:space="preserve">Programme</w:t>
            </w:r>
          </w:p>
        </w:tc>
        <w:tc>
          <w:tcPr>
            <w:tcW w:type="dxa" w:w="1300"/>
            <w:shd w:fill="1B2A4A" w:color="auto" w:val="clear"/>
            <w:tcMar>
              <w:top w:type="dxa" w:w="60"/>
              <w:left w:type="dxa" w:w="80"/>
              <w:bottom w:type="dxa" w:w="60"/>
              <w:right w:type="dxa" w:w="80"/>
            </w:tcMar>
            <w:vAlign w:val="center"/>
          </w:tcPr>
          <w:p>
            <w:r>
              <w:rPr>
                <w:b/>
                <w:bCs/>
                <w:color w:val="FFFFFF"/>
                <w:sz w:val="18"/>
                <w:szCs w:val="18"/>
              </w:rPr>
              <w:t xml:space="preserve">Key Exclusions</w:t>
            </w:r>
          </w:p>
        </w:tc>
        <w:tc>
          <w:tcPr>
            <w:tcW w:type="dxa" w:w="1494"/>
            <w:shd w:fill="1B2A4A" w:color="auto" w:val="clear"/>
            <w:tcMar>
              <w:top w:type="dxa" w:w="60"/>
              <w:left w:type="dxa" w:w="80"/>
              <w:bottom w:type="dxa" w:w="60"/>
              <w:right w:type="dxa" w:w="80"/>
            </w:tcMar>
            <w:vAlign w:val="center"/>
          </w:tcPr>
          <w:p>
            <w:r>
              <w:rPr>
                <w:b/>
                <w:bCs/>
                <w:color w:val="FFFFFF"/>
                <w:sz w:val="18"/>
                <w:szCs w:val="18"/>
              </w:rPr>
              <w:t xml:space="preserve">Key Qualifications / Assumptions</w:t>
            </w:r>
          </w:p>
        </w:tc>
        <w:tc>
          <w:tcPr>
            <w:tcW w:type="dxa" w:w="1200"/>
            <w:shd w:fill="1B2A4A" w:color="auto" w:val="clear"/>
            <w:tcMar>
              <w:top w:type="dxa" w:w="60"/>
              <w:left w:type="dxa" w:w="80"/>
              <w:bottom w:type="dxa" w:w="60"/>
              <w:right w:type="dxa" w:w="80"/>
            </w:tcMar>
            <w:vAlign w:val="center"/>
          </w:tcPr>
          <w:p>
            <w:r>
              <w:rPr>
                <w:b/>
                <w:bCs/>
                <w:color w:val="FFFFFF"/>
                <w:sz w:val="18"/>
                <w:szCs w:val="18"/>
              </w:rPr>
              <w:t xml:space="preserve">Comparability</w:t>
            </w:r>
          </w:p>
        </w:tc>
      </w:tr>
      <w:tr>
        <w:tc>
          <w:tcPr>
            <w:tcW w:type="dxa" w:w="1300"/>
            <w:tcMar>
              <w:top w:type="dxa" w:w="60"/>
              <w:left w:type="dxa" w:w="80"/>
              <w:bottom w:type="dxa" w:w="60"/>
              <w:right w:type="dxa" w:w="80"/>
            </w:tcMar>
          </w:tcPr>
          <w:p>
            <w:r>
              <w:rPr>
                <w:color w:val="1B2A4A"/>
                <w:sz w:val="18"/>
                <w:szCs w:val="18"/>
              </w:rPr>
              <w:t xml:space="preserve">[Contractor A]</w:t>
            </w:r>
          </w:p>
        </w:tc>
        <w:tc>
          <w:tcPr>
            <w:tcW w:type="dxa" w:w="1180"/>
            <w:tcMar>
              <w:top w:type="dxa" w:w="60"/>
              <w:left w:type="dxa" w:w="80"/>
              <w:bottom w:type="dxa" w:w="60"/>
              <w:right w:type="dxa" w:w="80"/>
            </w:tcMar>
          </w:tcPr>
          <w:p>
            <w:r>
              <w:rPr>
                <w:color w:val="1B2A4A"/>
                <w:sz w:val="18"/>
                <w:szCs w:val="18"/>
              </w:rPr>
              <w:t xml:space="preserve">£[    ]</w:t>
            </w:r>
          </w:p>
        </w:tc>
        <w:tc>
          <w:tcPr>
            <w:tcW w:type="dxa" w:w="1080"/>
            <w:tcMar>
              <w:top w:type="dxa" w:w="60"/>
              <w:left w:type="dxa" w:w="80"/>
              <w:bottom w:type="dxa" w:w="60"/>
              <w:right w:type="dxa" w:w="80"/>
            </w:tcMar>
          </w:tcPr>
          <w:p>
            <w:r>
              <w:rPr>
                <w:color w:val="1B2A4A"/>
                <w:sz w:val="18"/>
                <w:szCs w:val="18"/>
              </w:rPr>
              <w:t xml:space="preserve">[system]</w:t>
            </w:r>
          </w:p>
        </w:tc>
        <w:tc>
          <w:tcPr>
            <w:tcW w:type="dxa" w:w="1080"/>
            <w:tcMar>
              <w:top w:type="dxa" w:w="60"/>
              <w:left w:type="dxa" w:w="80"/>
              <w:bottom w:type="dxa" w:w="60"/>
              <w:right w:type="dxa" w:w="80"/>
            </w:tcMar>
          </w:tcPr>
          <w:p>
            <w:r>
              <w:rPr>
                <w:color w:val="1B2A4A"/>
                <w:sz w:val="18"/>
                <w:szCs w:val="18"/>
              </w:rPr>
              <w:t xml:space="preserve">[qty / metric]</w:t>
            </w:r>
          </w:p>
        </w:tc>
        <w:tc>
          <w:tcPr>
            <w:tcW w:type="dxa" w:w="1000"/>
            <w:tcMar>
              <w:top w:type="dxa" w:w="60"/>
              <w:left w:type="dxa" w:w="80"/>
              <w:bottom w:type="dxa" w:w="60"/>
              <w:right w:type="dxa" w:w="80"/>
            </w:tcMar>
          </w:tcPr>
          <w:p>
            <w:r>
              <w:rPr>
                <w:color w:val="1B2A4A"/>
                <w:sz w:val="18"/>
                <w:szCs w:val="18"/>
              </w:rPr>
              <w:t xml:space="preserve">[weeks]</w:t>
            </w:r>
          </w:p>
        </w:tc>
        <w:tc>
          <w:tcPr>
            <w:tcW w:type="dxa" w:w="1300"/>
            <w:tcMar>
              <w:top w:type="dxa" w:w="60"/>
              <w:left w:type="dxa" w:w="80"/>
              <w:bottom w:type="dxa" w:w="60"/>
              <w:right w:type="dxa" w:w="80"/>
            </w:tcMar>
          </w:tcPr>
          <w:p>
            <w:r>
              <w:rPr>
                <w:color w:val="1B2A4A"/>
                <w:sz w:val="18"/>
                <w:szCs w:val="18"/>
              </w:rPr>
              <w:t xml:space="preserve">[exclusions]</w:t>
            </w:r>
          </w:p>
        </w:tc>
        <w:tc>
          <w:tcPr>
            <w:tcW w:type="dxa" w:w="1494"/>
            <w:tcMar>
              <w:top w:type="dxa" w:w="60"/>
              <w:left w:type="dxa" w:w="80"/>
              <w:bottom w:type="dxa" w:w="60"/>
              <w:right w:type="dxa" w:w="80"/>
            </w:tcMar>
          </w:tcPr>
          <w:p>
            <w:r>
              <w:rPr>
                <w:color w:val="1B2A4A"/>
                <w:sz w:val="18"/>
                <w:szCs w:val="18"/>
              </w:rPr>
              <w:t xml:space="preserve">[qualifications]</w:t>
            </w:r>
          </w:p>
        </w:tc>
        <w:tc>
          <w:tcPr>
            <w:tcW w:type="dxa" w:w="1200"/>
            <w:tcMar>
              <w:top w:type="dxa" w:w="60"/>
              <w:left w:type="dxa" w:w="80"/>
              <w:bottom w:type="dxa" w:w="60"/>
              <w:right w:type="dxa" w:w="80"/>
            </w:tcMar>
          </w:tcPr>
          <w:p>
            <w:r>
              <w:rPr>
                <w:color w:val="1B2A4A"/>
                <w:sz w:val="18"/>
                <w:szCs w:val="18"/>
              </w:rPr>
              <w:t xml:space="preserve">COMPARABLE</w:t>
            </w:r>
          </w:p>
        </w:tc>
      </w:tr>
      <w:tr>
        <w:tc>
          <w:tcPr>
            <w:tcW w:type="dxa" w:w="1300"/>
            <w:shd w:fill="F2F4F7" w:color="auto" w:val="clear"/>
            <w:tcMar>
              <w:top w:type="dxa" w:w="60"/>
              <w:left w:type="dxa" w:w="80"/>
              <w:bottom w:type="dxa" w:w="60"/>
              <w:right w:type="dxa" w:w="80"/>
            </w:tcMar>
          </w:tcPr>
          <w:p>
            <w:r>
              <w:rPr>
                <w:color w:val="1B2A4A"/>
                <w:sz w:val="18"/>
                <w:szCs w:val="18"/>
              </w:rPr>
              <w:t xml:space="preserve">[Contractor B]</w:t>
            </w:r>
          </w:p>
        </w:tc>
        <w:tc>
          <w:tcPr>
            <w:tcW w:type="dxa" w:w="1180"/>
            <w:shd w:fill="F2F4F7" w:color="auto" w:val="clear"/>
            <w:tcMar>
              <w:top w:type="dxa" w:w="60"/>
              <w:left w:type="dxa" w:w="80"/>
              <w:bottom w:type="dxa" w:w="60"/>
              <w:right w:type="dxa" w:w="80"/>
            </w:tcMar>
          </w:tcPr>
          <w:p>
            <w:r>
              <w:rPr>
                <w:color w:val="1B2A4A"/>
                <w:sz w:val="18"/>
                <w:szCs w:val="18"/>
              </w:rPr>
              <w:t xml:space="preserve">£[    ]</w:t>
            </w:r>
          </w:p>
        </w:tc>
        <w:tc>
          <w:tcPr>
            <w:tcW w:type="dxa" w:w="1080"/>
            <w:shd w:fill="F2F4F7" w:color="auto" w:val="clear"/>
            <w:tcMar>
              <w:top w:type="dxa" w:w="60"/>
              <w:left w:type="dxa" w:w="80"/>
              <w:bottom w:type="dxa" w:w="60"/>
              <w:right w:type="dxa" w:w="80"/>
            </w:tcMar>
          </w:tcPr>
          <w:p>
            <w:r>
              <w:rPr>
                <w:color w:val="1B2A4A"/>
                <w:sz w:val="18"/>
                <w:szCs w:val="18"/>
              </w:rPr>
              <w:t xml:space="preserve">[system]</w:t>
            </w:r>
          </w:p>
        </w:tc>
        <w:tc>
          <w:tcPr>
            <w:tcW w:type="dxa" w:w="1080"/>
            <w:shd w:fill="F2F4F7" w:color="auto" w:val="clear"/>
            <w:tcMar>
              <w:top w:type="dxa" w:w="60"/>
              <w:left w:type="dxa" w:w="80"/>
              <w:bottom w:type="dxa" w:w="60"/>
              <w:right w:type="dxa" w:w="80"/>
            </w:tcMar>
          </w:tcPr>
          <w:p>
            <w:r>
              <w:rPr>
                <w:color w:val="1B2A4A"/>
                <w:sz w:val="18"/>
                <w:szCs w:val="18"/>
              </w:rPr>
              <w:t xml:space="preserve">[qty / metric]</w:t>
            </w:r>
          </w:p>
        </w:tc>
        <w:tc>
          <w:tcPr>
            <w:tcW w:type="dxa" w:w="1000"/>
            <w:shd w:fill="F2F4F7" w:color="auto" w:val="clear"/>
            <w:tcMar>
              <w:top w:type="dxa" w:w="60"/>
              <w:left w:type="dxa" w:w="80"/>
              <w:bottom w:type="dxa" w:w="60"/>
              <w:right w:type="dxa" w:w="80"/>
            </w:tcMar>
          </w:tcPr>
          <w:p>
            <w:r>
              <w:rPr>
                <w:color w:val="1B2A4A"/>
                <w:sz w:val="18"/>
                <w:szCs w:val="18"/>
              </w:rPr>
              <w:t xml:space="preserve">[weeks]</w:t>
            </w:r>
          </w:p>
        </w:tc>
        <w:tc>
          <w:tcPr>
            <w:tcW w:type="dxa" w:w="1300"/>
            <w:shd w:fill="F2F4F7" w:color="auto" w:val="clear"/>
            <w:tcMar>
              <w:top w:type="dxa" w:w="60"/>
              <w:left w:type="dxa" w:w="80"/>
              <w:bottom w:type="dxa" w:w="60"/>
              <w:right w:type="dxa" w:w="80"/>
            </w:tcMar>
          </w:tcPr>
          <w:p>
            <w:r>
              <w:rPr>
                <w:color w:val="1B2A4A"/>
                <w:sz w:val="18"/>
                <w:szCs w:val="18"/>
              </w:rPr>
              <w:t xml:space="preserve">[exclusions]</w:t>
            </w:r>
          </w:p>
        </w:tc>
        <w:tc>
          <w:tcPr>
            <w:tcW w:type="dxa" w:w="1494"/>
            <w:shd w:fill="F2F4F7" w:color="auto" w:val="clear"/>
            <w:tcMar>
              <w:top w:type="dxa" w:w="60"/>
              <w:left w:type="dxa" w:w="80"/>
              <w:bottom w:type="dxa" w:w="60"/>
              <w:right w:type="dxa" w:w="80"/>
            </w:tcMar>
          </w:tcPr>
          <w:p>
            <w:r>
              <w:rPr>
                <w:color w:val="1B2A4A"/>
                <w:sz w:val="18"/>
                <w:szCs w:val="18"/>
              </w:rPr>
              <w:t xml:space="preserve">[qualifications]</w:t>
            </w:r>
          </w:p>
        </w:tc>
        <w:tc>
          <w:tcPr>
            <w:tcW w:type="dxa" w:w="1200"/>
            <w:shd w:fill="F2F4F7" w:color="auto" w:val="clear"/>
            <w:tcMar>
              <w:top w:type="dxa" w:w="60"/>
              <w:left w:type="dxa" w:w="80"/>
              <w:bottom w:type="dxa" w:w="60"/>
              <w:right w:type="dxa" w:w="80"/>
            </w:tcMar>
          </w:tcPr>
          <w:p>
            <w:r>
              <w:rPr>
                <w:color w:val="1B2A4A"/>
                <w:sz w:val="18"/>
                <w:szCs w:val="18"/>
              </w:rPr>
              <w:t xml:space="preserve">PARTIAL</w:t>
            </w:r>
          </w:p>
        </w:tc>
      </w:tr>
      <w:tr>
        <w:tc>
          <w:tcPr>
            <w:tcW w:type="dxa" w:w="1300"/>
            <w:tcMar>
              <w:top w:type="dxa" w:w="60"/>
              <w:left w:type="dxa" w:w="80"/>
              <w:bottom w:type="dxa" w:w="60"/>
              <w:right w:type="dxa" w:w="80"/>
            </w:tcMar>
          </w:tcPr>
          <w:p>
            <w:r>
              <w:rPr>
                <w:color w:val="1B2A4A"/>
                <w:sz w:val="18"/>
                <w:szCs w:val="18"/>
              </w:rPr>
              <w:t xml:space="preserve">[Contractor C]</w:t>
            </w:r>
          </w:p>
        </w:tc>
        <w:tc>
          <w:tcPr>
            <w:tcW w:type="dxa" w:w="1180"/>
            <w:tcMar>
              <w:top w:type="dxa" w:w="60"/>
              <w:left w:type="dxa" w:w="80"/>
              <w:bottom w:type="dxa" w:w="60"/>
              <w:right w:type="dxa" w:w="80"/>
            </w:tcMar>
          </w:tcPr>
          <w:p>
            <w:r>
              <w:rPr>
                <w:color w:val="1B2A4A"/>
                <w:sz w:val="18"/>
                <w:szCs w:val="18"/>
              </w:rPr>
              <w:t xml:space="preserve">£[    ]</w:t>
            </w:r>
          </w:p>
        </w:tc>
        <w:tc>
          <w:tcPr>
            <w:tcW w:type="dxa" w:w="1080"/>
            <w:tcMar>
              <w:top w:type="dxa" w:w="60"/>
              <w:left w:type="dxa" w:w="80"/>
              <w:bottom w:type="dxa" w:w="60"/>
              <w:right w:type="dxa" w:w="80"/>
            </w:tcMar>
          </w:tcPr>
          <w:p>
            <w:r>
              <w:rPr>
                <w:color w:val="1B2A4A"/>
                <w:sz w:val="18"/>
                <w:szCs w:val="18"/>
              </w:rPr>
              <w:t xml:space="preserve">[system]</w:t>
            </w:r>
          </w:p>
        </w:tc>
        <w:tc>
          <w:tcPr>
            <w:tcW w:type="dxa" w:w="1080"/>
            <w:tcMar>
              <w:top w:type="dxa" w:w="60"/>
              <w:left w:type="dxa" w:w="80"/>
              <w:bottom w:type="dxa" w:w="60"/>
              <w:right w:type="dxa" w:w="80"/>
            </w:tcMar>
          </w:tcPr>
          <w:p>
            <w:r>
              <w:rPr>
                <w:color w:val="1B2A4A"/>
                <w:sz w:val="18"/>
                <w:szCs w:val="18"/>
              </w:rPr>
              <w:t xml:space="preserve">[qty / metric]</w:t>
            </w:r>
          </w:p>
        </w:tc>
        <w:tc>
          <w:tcPr>
            <w:tcW w:type="dxa" w:w="1000"/>
            <w:tcMar>
              <w:top w:type="dxa" w:w="60"/>
              <w:left w:type="dxa" w:w="80"/>
              <w:bottom w:type="dxa" w:w="60"/>
              <w:right w:type="dxa" w:w="80"/>
            </w:tcMar>
          </w:tcPr>
          <w:p>
            <w:r>
              <w:rPr>
                <w:color w:val="1B2A4A"/>
                <w:sz w:val="18"/>
                <w:szCs w:val="18"/>
              </w:rPr>
              <w:t xml:space="preserve">[weeks]</w:t>
            </w:r>
          </w:p>
        </w:tc>
        <w:tc>
          <w:tcPr>
            <w:tcW w:type="dxa" w:w="1300"/>
            <w:tcMar>
              <w:top w:type="dxa" w:w="60"/>
              <w:left w:type="dxa" w:w="80"/>
              <w:bottom w:type="dxa" w:w="60"/>
              <w:right w:type="dxa" w:w="80"/>
            </w:tcMar>
          </w:tcPr>
          <w:p>
            <w:r>
              <w:rPr>
                <w:color w:val="1B2A4A"/>
                <w:sz w:val="18"/>
                <w:szCs w:val="18"/>
              </w:rPr>
              <w:t xml:space="preserve">[exclusions]</w:t>
            </w:r>
          </w:p>
        </w:tc>
        <w:tc>
          <w:tcPr>
            <w:tcW w:type="dxa" w:w="1494"/>
            <w:tcMar>
              <w:top w:type="dxa" w:w="60"/>
              <w:left w:type="dxa" w:w="80"/>
              <w:bottom w:type="dxa" w:w="60"/>
              <w:right w:type="dxa" w:w="80"/>
            </w:tcMar>
          </w:tcPr>
          <w:p>
            <w:r>
              <w:rPr>
                <w:color w:val="1B2A4A"/>
                <w:sz w:val="18"/>
                <w:szCs w:val="18"/>
              </w:rPr>
              <w:t xml:space="preserve">[qualifications]</w:t>
            </w:r>
          </w:p>
        </w:tc>
        <w:tc>
          <w:tcPr>
            <w:tcW w:type="dxa" w:w="1200"/>
            <w:tcMar>
              <w:top w:type="dxa" w:w="60"/>
              <w:left w:type="dxa" w:w="80"/>
              <w:bottom w:type="dxa" w:w="60"/>
              <w:right w:type="dxa" w:w="80"/>
            </w:tcMar>
          </w:tcPr>
          <w:p>
            <w:r>
              <w:rPr>
                <w:color w:val="1B2A4A"/>
                <w:sz w:val="18"/>
                <w:szCs w:val="18"/>
              </w:rPr>
              <w:t xml:space="preserve">NOT COMPARABLE</w:t>
            </w:r>
          </w:p>
        </w:tc>
      </w:tr>
    </w:tbl>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03</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LIKE-FOR-LIKE COMMERCIAL COMPARISON</w:t>
            </w:r>
          </w:p>
        </w:tc>
      </w:tr>
    </w:tbl>
    <w:p>
      <w:pPr>
        <w:pStyle w:val="Heading2"/>
        <w:spacing w:after="80" w:before="240"/>
      </w:pPr>
      <w:r>
        <w:rPr>
          <w:b/>
          <w:bCs/>
          <w:sz w:val="24"/>
          <w:szCs w:val="24"/>
        </w:rPr>
        <w:t xml:space="preserve">3.1  Filtration of Non-Comparable Tenders</w:t>
      </w:r>
    </w:p>
    <w:p>
      <w:pPr>
        <w:spacing w:after="120" w:before="60"/>
      </w:pPr>
      <w:r>
        <w:rPr>
          <w:i/>
          <w:iCs/>
          <w:color w:val="667085"/>
          <w:sz w:val="19"/>
          <w:szCs w:val="19"/>
        </w:rPr>
        <w:t xml:space="preserve">» Before any pricing comparison, exclude submissions that differ materially in scope or methodology. State the ground for each exclusion (wrong system, inadequate depth/spec, expired offer, composite scope, stale pricing).</w:t>
      </w:r>
    </w:p>
    <w:p>
      <w:pPr>
        <w:pStyle w:val="ListParagraph"/>
        <w:numPr>
          <w:ilvl w:val="0"/>
          <w:numId w:val="2"/>
        </w:numPr>
        <w:spacing w:after="20" w:before="20"/>
      </w:pPr>
      <w:r>
        <w:rPr>
          <w:color w:val="1B2A4A"/>
          <w:sz w:val="21"/>
          <w:szCs w:val="21"/>
        </w:rPr>
        <w:t xml:space="preserve">[Contractor] — [reason for exclusion]</w:t>
      </w:r>
    </w:p>
    <w:p>
      <w:pPr>
        <w:pStyle w:val="ListParagraph"/>
        <w:numPr>
          <w:ilvl w:val="0"/>
          <w:numId w:val="2"/>
        </w:numPr>
        <w:spacing w:after="20" w:before="20"/>
      </w:pPr>
      <w:r>
        <w:rPr>
          <w:color w:val="1B2A4A"/>
          <w:sz w:val="21"/>
          <w:szCs w:val="21"/>
        </w:rPr>
        <w:t xml:space="preserve">[Contractor] — [reason for exclusion]</w:t>
      </w:r>
    </w:p>
    <w:p>
      <w:pPr>
        <w:pStyle w:val="Heading2"/>
        <w:spacing w:after="80" w:before="240"/>
      </w:pPr>
      <w:r>
        <w:rPr>
          <w:b/>
          <w:bCs/>
          <w:sz w:val="24"/>
          <w:szCs w:val="24"/>
        </w:rPr>
        <w:t xml:space="preserve">3.2  Comparable Submissions</w:t>
      </w:r>
    </w:p>
    <w:p>
      <w:pPr>
        <w:spacing w:after="120" w:before="60"/>
      </w:pPr>
      <w:r>
        <w:rPr>
          <w:i/>
          <w:iCs/>
          <w:color w:val="667085"/>
          <w:sz w:val="19"/>
          <w:szCs w:val="19"/>
        </w:rPr>
        <w:t xml:space="preserve">» The tenderers that survive filtration. Keep to the truly like-for-like group so pricing differences reflect commercial position, not scope.</w:t>
      </w:r>
    </w:p>
    <w:tbl>
      <w:tblPr>
        <w:tblW w:type="dxa" w:w="9634"/>
        <w:tblBorders>
          <w:top w:val="single" w:color="D0D5DD" w:sz="4"/>
          <w:left w:val="single" w:color="D0D5DD" w:sz="4"/>
          <w:bottom w:val="single" w:color="D0D5DD" w:sz="4"/>
          <w:right w:val="single" w:color="D0D5DD" w:sz="4"/>
          <w:insideH w:val="single" w:color="D0D5DD" w:sz="4"/>
          <w:insideV w:val="single" w:color="D0D5DD" w:sz="4"/>
        </w:tblBorders>
      </w:tblPr>
      <w:tblGrid>
        <w:gridCol w:w="1500"/>
        <w:gridCol w:w="1200"/>
        <w:gridCol w:w="1300"/>
        <w:gridCol w:w="1200"/>
        <w:gridCol w:w="1300"/>
        <w:gridCol w:w="1200"/>
        <w:gridCol w:w="1934"/>
      </w:tblGrid>
      <w:tr>
        <w:trPr>
          <w:tblHeader/>
        </w:trPr>
        <w:tc>
          <w:tcPr>
            <w:tcW w:type="dxa" w:w="1500"/>
            <w:shd w:fill="1B2A4A" w:color="auto" w:val="clear"/>
            <w:tcMar>
              <w:top w:type="dxa" w:w="60"/>
              <w:left w:type="dxa" w:w="80"/>
              <w:bottom w:type="dxa" w:w="60"/>
              <w:right w:type="dxa" w:w="80"/>
            </w:tcMar>
            <w:vAlign w:val="center"/>
          </w:tcPr>
          <w:p>
            <w:r>
              <w:rPr>
                <w:b/>
                <w:bCs/>
                <w:color w:val="FFFFFF"/>
                <w:sz w:val="18"/>
                <w:szCs w:val="18"/>
              </w:rPr>
              <w:t xml:space="preserve">Contractor</w:t>
            </w:r>
          </w:p>
        </w:tc>
        <w:tc>
          <w:tcPr>
            <w:tcW w:type="dxa" w:w="1200"/>
            <w:shd w:fill="1B2A4A" w:color="auto" w:val="clear"/>
            <w:tcMar>
              <w:top w:type="dxa" w:w="60"/>
              <w:left w:type="dxa" w:w="80"/>
              <w:bottom w:type="dxa" w:w="60"/>
              <w:right w:type="dxa" w:w="80"/>
            </w:tcMar>
            <w:vAlign w:val="center"/>
          </w:tcPr>
          <w:p>
            <w:r>
              <w:rPr>
                <w:b/>
                <w:bCs/>
                <w:color w:val="FFFFFF"/>
                <w:sz w:val="18"/>
                <w:szCs w:val="18"/>
              </w:rPr>
              <w:t xml:space="preserve">Sum (ex VAT)</w:t>
            </w:r>
          </w:p>
        </w:tc>
        <w:tc>
          <w:tcPr>
            <w:tcW w:type="dxa" w:w="1300"/>
            <w:shd w:fill="1B2A4A" w:color="auto" w:val="clear"/>
            <w:tcMar>
              <w:top w:type="dxa" w:w="60"/>
              <w:left w:type="dxa" w:w="80"/>
              <w:bottom w:type="dxa" w:w="60"/>
              <w:right w:type="dxa" w:w="80"/>
            </w:tcMar>
            <w:vAlign w:val="center"/>
          </w:tcPr>
          <w:p>
            <w:r>
              <w:rPr>
                <w:b/>
                <w:bCs/>
                <w:color w:val="FFFFFF"/>
                <w:sz w:val="18"/>
                <w:szCs w:val="18"/>
              </w:rPr>
              <w:t xml:space="preserve">Spec / Config</w:t>
            </w:r>
          </w:p>
        </w:tc>
        <w:tc>
          <w:tcPr>
            <w:tcW w:type="dxa" w:w="1200"/>
            <w:shd w:fill="1B2A4A" w:color="auto" w:val="clear"/>
            <w:tcMar>
              <w:top w:type="dxa" w:w="60"/>
              <w:left w:type="dxa" w:w="80"/>
              <w:bottom w:type="dxa" w:w="60"/>
              <w:right w:type="dxa" w:w="80"/>
            </w:tcMar>
            <w:vAlign w:val="center"/>
          </w:tcPr>
          <w:p>
            <w:r>
              <w:rPr>
                <w:b/>
                <w:bCs/>
                <w:color w:val="FFFFFF"/>
                <w:sz w:val="18"/>
                <w:szCs w:val="18"/>
              </w:rPr>
              <w:t xml:space="preserve">Key Quantity</w:t>
            </w:r>
          </w:p>
        </w:tc>
        <w:tc>
          <w:tcPr>
            <w:tcW w:type="dxa" w:w="1300"/>
            <w:shd w:fill="1B2A4A" w:color="auto" w:val="clear"/>
            <w:tcMar>
              <w:top w:type="dxa" w:w="60"/>
              <w:left w:type="dxa" w:w="80"/>
              <w:bottom w:type="dxa" w:w="60"/>
              <w:right w:type="dxa" w:w="80"/>
            </w:tcMar>
            <w:vAlign w:val="center"/>
          </w:tcPr>
          <w:p>
            <w:r>
              <w:rPr>
                <w:b/>
                <w:bCs/>
                <w:color w:val="FFFFFF"/>
                <w:sz w:val="18"/>
                <w:szCs w:val="18"/>
              </w:rPr>
              <w:t xml:space="preserve">Price Basis</w:t>
            </w:r>
          </w:p>
        </w:tc>
        <w:tc>
          <w:tcPr>
            <w:tcW w:type="dxa" w:w="1200"/>
            <w:shd w:fill="1B2A4A" w:color="auto" w:val="clear"/>
            <w:tcMar>
              <w:top w:type="dxa" w:w="60"/>
              <w:left w:type="dxa" w:w="80"/>
              <w:bottom w:type="dxa" w:w="60"/>
              <w:right w:type="dxa" w:w="80"/>
            </w:tcMar>
            <w:vAlign w:val="center"/>
          </w:tcPr>
          <w:p>
            <w:r>
              <w:rPr>
                <w:b/>
                <w:bCs/>
                <w:color w:val="FFFFFF"/>
                <w:sz w:val="18"/>
                <w:szCs w:val="18"/>
              </w:rPr>
              <w:t xml:space="preserve">Programme</w:t>
            </w:r>
          </w:p>
        </w:tc>
        <w:tc>
          <w:tcPr>
            <w:tcW w:type="dxa" w:w="1934"/>
            <w:shd w:fill="1B2A4A" w:color="auto" w:val="clear"/>
            <w:tcMar>
              <w:top w:type="dxa" w:w="60"/>
              <w:left w:type="dxa" w:w="80"/>
              <w:bottom w:type="dxa" w:w="60"/>
              <w:right w:type="dxa" w:w="80"/>
            </w:tcMar>
            <w:vAlign w:val="center"/>
          </w:tcPr>
          <w:p>
            <w:r>
              <w:rPr>
                <w:b/>
                <w:bCs/>
                <w:color w:val="FFFFFF"/>
                <w:sz w:val="18"/>
                <w:szCs w:val="18"/>
              </w:rPr>
              <w:t xml:space="preserve">Key Note</w:t>
            </w:r>
          </w:p>
        </w:tc>
      </w:tr>
      <w:tr>
        <w:tc>
          <w:tcPr>
            <w:tcW w:type="dxa" w:w="1500"/>
            <w:tcMar>
              <w:top w:type="dxa" w:w="60"/>
              <w:left w:type="dxa" w:w="80"/>
              <w:bottom w:type="dxa" w:w="60"/>
              <w:right w:type="dxa" w:w="80"/>
            </w:tcMar>
          </w:tcPr>
          <w:p>
            <w:r>
              <w:rPr>
                <w:color w:val="1B2A4A"/>
                <w:sz w:val="18"/>
                <w:szCs w:val="18"/>
              </w:rPr>
              <w:t xml:space="preserve">[Contractor A]</w:t>
            </w:r>
          </w:p>
        </w:tc>
        <w:tc>
          <w:tcPr>
            <w:tcW w:type="dxa" w:w="1200"/>
            <w:tcMar>
              <w:top w:type="dxa" w:w="60"/>
              <w:left w:type="dxa" w:w="80"/>
              <w:bottom w:type="dxa" w:w="60"/>
              <w:right w:type="dxa" w:w="80"/>
            </w:tcMar>
          </w:tcPr>
          <w:p>
            <w:r>
              <w:rPr>
                <w:color w:val="1B2A4A"/>
                <w:sz w:val="18"/>
                <w:szCs w:val="18"/>
              </w:rPr>
              <w:t xml:space="preserve">£[    ]</w:t>
            </w:r>
          </w:p>
        </w:tc>
        <w:tc>
          <w:tcPr>
            <w:tcW w:type="dxa" w:w="1300"/>
            <w:tcMar>
              <w:top w:type="dxa" w:w="60"/>
              <w:left w:type="dxa" w:w="80"/>
              <w:bottom w:type="dxa" w:w="60"/>
              <w:right w:type="dxa" w:w="80"/>
            </w:tcMar>
          </w:tcPr>
          <w:p>
            <w:r>
              <w:rPr>
                <w:color w:val="1B2A4A"/>
                <w:sz w:val="18"/>
                <w:szCs w:val="18"/>
              </w:rPr>
              <w:t xml:space="preserve">[config]</w:t>
            </w:r>
          </w:p>
        </w:tc>
        <w:tc>
          <w:tcPr>
            <w:tcW w:type="dxa" w:w="1200"/>
            <w:tcMar>
              <w:top w:type="dxa" w:w="60"/>
              <w:left w:type="dxa" w:w="80"/>
              <w:bottom w:type="dxa" w:w="60"/>
              <w:right w:type="dxa" w:w="80"/>
            </w:tcMar>
          </w:tcPr>
          <w:p>
            <w:r>
              <w:rPr>
                <w:color w:val="1B2A4A"/>
                <w:sz w:val="18"/>
                <w:szCs w:val="18"/>
              </w:rPr>
              <w:t xml:space="preserve">[qty]</w:t>
            </w:r>
          </w:p>
        </w:tc>
        <w:tc>
          <w:tcPr>
            <w:tcW w:type="dxa" w:w="1300"/>
            <w:tcMar>
              <w:top w:type="dxa" w:w="60"/>
              <w:left w:type="dxa" w:w="80"/>
              <w:bottom w:type="dxa" w:w="60"/>
              <w:right w:type="dxa" w:w="80"/>
            </w:tcMar>
          </w:tcPr>
          <w:p>
            <w:r>
              <w:rPr>
                <w:color w:val="1B2A4A"/>
                <w:sz w:val="18"/>
                <w:szCs w:val="18"/>
              </w:rPr>
              <w:t xml:space="preserve">Fixed</w:t>
            </w:r>
          </w:p>
        </w:tc>
        <w:tc>
          <w:tcPr>
            <w:tcW w:type="dxa" w:w="1200"/>
            <w:tcMar>
              <w:top w:type="dxa" w:w="60"/>
              <w:left w:type="dxa" w:w="80"/>
              <w:bottom w:type="dxa" w:w="60"/>
              <w:right w:type="dxa" w:w="80"/>
            </w:tcMar>
          </w:tcPr>
          <w:p>
            <w:r>
              <w:rPr>
                <w:color w:val="1B2A4A"/>
                <w:sz w:val="18"/>
                <w:szCs w:val="18"/>
              </w:rPr>
              <w:t xml:space="preserve">[weeks]</w:t>
            </w:r>
          </w:p>
        </w:tc>
        <w:tc>
          <w:tcPr>
            <w:tcW w:type="dxa" w:w="1934"/>
            <w:tcMar>
              <w:top w:type="dxa" w:w="60"/>
              <w:left w:type="dxa" w:w="80"/>
              <w:bottom w:type="dxa" w:w="60"/>
              <w:right w:type="dxa" w:w="80"/>
            </w:tcMar>
          </w:tcPr>
          <w:p>
            <w:r>
              <w:rPr>
                <w:color w:val="1B2A4A"/>
                <w:sz w:val="18"/>
                <w:szCs w:val="18"/>
              </w:rPr>
              <w:t xml:space="preserve">[note]</w:t>
            </w:r>
          </w:p>
        </w:tc>
      </w:tr>
      <w:tr>
        <w:tc>
          <w:tcPr>
            <w:tcW w:type="dxa" w:w="1500"/>
            <w:shd w:fill="F2F4F7" w:color="auto" w:val="clear"/>
            <w:tcMar>
              <w:top w:type="dxa" w:w="60"/>
              <w:left w:type="dxa" w:w="80"/>
              <w:bottom w:type="dxa" w:w="60"/>
              <w:right w:type="dxa" w:w="80"/>
            </w:tcMar>
          </w:tcPr>
          <w:p>
            <w:r>
              <w:rPr>
                <w:color w:val="1B2A4A"/>
                <w:sz w:val="18"/>
                <w:szCs w:val="18"/>
              </w:rPr>
              <w:t xml:space="preserve">[Contractor B]</w:t>
            </w:r>
          </w:p>
        </w:tc>
        <w:tc>
          <w:tcPr>
            <w:tcW w:type="dxa" w:w="1200"/>
            <w:shd w:fill="F2F4F7" w:color="auto" w:val="clear"/>
            <w:tcMar>
              <w:top w:type="dxa" w:w="60"/>
              <w:left w:type="dxa" w:w="80"/>
              <w:bottom w:type="dxa" w:w="60"/>
              <w:right w:type="dxa" w:w="80"/>
            </w:tcMar>
          </w:tcPr>
          <w:p>
            <w:r>
              <w:rPr>
                <w:color w:val="1B2A4A"/>
                <w:sz w:val="18"/>
                <w:szCs w:val="18"/>
              </w:rPr>
              <w:t xml:space="preserve">£[    ]</w:t>
            </w:r>
          </w:p>
        </w:tc>
        <w:tc>
          <w:tcPr>
            <w:tcW w:type="dxa" w:w="1300"/>
            <w:shd w:fill="F2F4F7" w:color="auto" w:val="clear"/>
            <w:tcMar>
              <w:top w:type="dxa" w:w="60"/>
              <w:left w:type="dxa" w:w="80"/>
              <w:bottom w:type="dxa" w:w="60"/>
              <w:right w:type="dxa" w:w="80"/>
            </w:tcMar>
          </w:tcPr>
          <w:p>
            <w:r>
              <w:rPr>
                <w:color w:val="1B2A4A"/>
                <w:sz w:val="18"/>
                <w:szCs w:val="18"/>
              </w:rPr>
              <w:t xml:space="preserve">[config]</w:t>
            </w:r>
          </w:p>
        </w:tc>
        <w:tc>
          <w:tcPr>
            <w:tcW w:type="dxa" w:w="1200"/>
            <w:shd w:fill="F2F4F7" w:color="auto" w:val="clear"/>
            <w:tcMar>
              <w:top w:type="dxa" w:w="60"/>
              <w:left w:type="dxa" w:w="80"/>
              <w:bottom w:type="dxa" w:w="60"/>
              <w:right w:type="dxa" w:w="80"/>
            </w:tcMar>
          </w:tcPr>
          <w:p>
            <w:r>
              <w:rPr>
                <w:color w:val="1B2A4A"/>
                <w:sz w:val="18"/>
                <w:szCs w:val="18"/>
              </w:rPr>
              <w:t xml:space="preserve">[qty]</w:t>
            </w:r>
          </w:p>
        </w:tc>
        <w:tc>
          <w:tcPr>
            <w:tcW w:type="dxa" w:w="1300"/>
            <w:shd w:fill="F2F4F7" w:color="auto" w:val="clear"/>
            <w:tcMar>
              <w:top w:type="dxa" w:w="60"/>
              <w:left w:type="dxa" w:w="80"/>
              <w:bottom w:type="dxa" w:w="60"/>
              <w:right w:type="dxa" w:w="80"/>
            </w:tcMar>
          </w:tcPr>
          <w:p>
            <w:r>
              <w:rPr>
                <w:color w:val="1B2A4A"/>
                <w:sz w:val="18"/>
                <w:szCs w:val="18"/>
              </w:rPr>
              <w:t xml:space="preserve">Remeasurable</w:t>
            </w:r>
          </w:p>
        </w:tc>
        <w:tc>
          <w:tcPr>
            <w:tcW w:type="dxa" w:w="1200"/>
            <w:shd w:fill="F2F4F7" w:color="auto" w:val="clear"/>
            <w:tcMar>
              <w:top w:type="dxa" w:w="60"/>
              <w:left w:type="dxa" w:w="80"/>
              <w:bottom w:type="dxa" w:w="60"/>
              <w:right w:type="dxa" w:w="80"/>
            </w:tcMar>
          </w:tcPr>
          <w:p>
            <w:r>
              <w:rPr>
                <w:color w:val="1B2A4A"/>
                <w:sz w:val="18"/>
                <w:szCs w:val="18"/>
              </w:rPr>
              <w:t xml:space="preserve">[weeks]</w:t>
            </w:r>
          </w:p>
        </w:tc>
        <w:tc>
          <w:tcPr>
            <w:tcW w:type="dxa" w:w="1934"/>
            <w:shd w:fill="F2F4F7" w:color="auto" w:val="clear"/>
            <w:tcMar>
              <w:top w:type="dxa" w:w="60"/>
              <w:left w:type="dxa" w:w="80"/>
              <w:bottom w:type="dxa" w:w="60"/>
              <w:right w:type="dxa" w:w="80"/>
            </w:tcMar>
          </w:tcPr>
          <w:p>
            <w:r>
              <w:rPr>
                <w:color w:val="1B2A4A"/>
                <w:sz w:val="18"/>
                <w:szCs w:val="18"/>
              </w:rPr>
              <w:t xml:space="preserve">[note]</w:t>
            </w:r>
          </w:p>
        </w:tc>
      </w:tr>
    </w:tbl>
    <w:p>
      <w:pPr>
        <w:pStyle w:val="Heading2"/>
        <w:spacing w:after="80" w:before="240"/>
      </w:pPr>
      <w:r>
        <w:rPr>
          <w:b/>
          <w:bCs/>
          <w:sz w:val="24"/>
          <w:szCs w:val="24"/>
        </w:rPr>
        <w:t xml:space="preserve">3.3  Key Cost Driver Sensitivity</w:t>
      </w:r>
    </w:p>
    <w:p>
      <w:pPr>
        <w:spacing w:after="120" w:before="60"/>
      </w:pPr>
      <w:r>
        <w:rPr>
          <w:i/>
          <w:iCs/>
          <w:color w:val="667085"/>
          <w:sz w:val="19"/>
          <w:szCs w:val="19"/>
        </w:rPr>
        <w:t xml:space="preserve">» Identify the single largest driver of price variance in this package (e.g. assumed depth, quantity, spec grade, prelims) and quantify the cost swing. This exposes which tenderers carry the greatest risk of overrun if assumptions prove optimistic.</w:t>
      </w:r>
    </w:p>
    <w:p>
      <w:pPr>
        <w:spacing w:after="120" w:before="60"/>
      </w:pPr>
      <w:r>
        <w:rPr>
          <w:color w:val="1B2A4A"/>
          <w:sz w:val="21"/>
          <w:szCs w:val="21"/>
        </w:rPr>
        <w:t xml:space="preserve">[State the key cost driver, the range of assumptions across the comparable group, and the £ cost swing per unit of change.]</w:t>
      </w:r>
    </w:p>
    <w:p>
      <w:pPr>
        <w:pStyle w:val="Heading2"/>
        <w:spacing w:after="80" w:before="240"/>
      </w:pPr>
      <w:r>
        <w:rPr>
          <w:b/>
          <w:bCs/>
          <w:sz w:val="24"/>
          <w:szCs w:val="24"/>
        </w:rPr>
        <w:t xml:space="preserve">3.4  Adjustments Required for True Comparability</w:t>
      </w:r>
    </w:p>
    <w:p>
      <w:pPr>
        <w:spacing w:after="120" w:before="60"/>
      </w:pPr>
      <w:r>
        <w:rPr>
          <w:i/>
          <w:iCs/>
          <w:color w:val="667085"/>
          <w:sz w:val="19"/>
          <w:szCs w:val="19"/>
        </w:rPr>
        <w:t xml:space="preserve">» List each item included by some and excluded by others, with an indicative £ range to normalise the comparison. Mark clearly that ranges are indicative and cannot be confirmed from the information available.</w:t>
      </w:r>
    </w:p>
    <w:p>
      <w:pPr>
        <w:pStyle w:val="ListParagraph"/>
        <w:numPr>
          <w:ilvl w:val="0"/>
          <w:numId w:val="2"/>
        </w:numPr>
        <w:spacing w:after="20" w:before="20"/>
      </w:pPr>
      <w:r>
        <w:rPr>
          <w:color w:val="1B2A4A"/>
          <w:sz w:val="21"/>
          <w:szCs w:val="21"/>
        </w:rPr>
        <w:t xml:space="preserve">[Adjustment item — e.g. testing regime — add £[range] where excluded]</w:t>
      </w:r>
    </w:p>
    <w:p>
      <w:pPr>
        <w:pStyle w:val="ListParagraph"/>
        <w:numPr>
          <w:ilvl w:val="0"/>
          <w:numId w:val="2"/>
        </w:numPr>
        <w:spacing w:after="20" w:before="20"/>
      </w:pPr>
      <w:r>
        <w:rPr>
          <w:color w:val="1B2A4A"/>
          <w:sz w:val="21"/>
          <w:szCs w:val="21"/>
        </w:rPr>
        <w:t xml:space="preserve">[Adjustment item — e.g. setting out — add £[range] where excluded]</w:t>
      </w:r>
    </w:p>
    <w:p>
      <w:pPr>
        <w:spacing w:before="80"/>
      </w:pPr>
      <w:r>
        <w:rPr>
          <w:b/>
          <w:bCs/>
          <w:sz w:val="20"/>
          <w:szCs w:val="20"/>
        </w:rPr>
        <w:t xml:space="preserve">Exact adjustment values cannot be confirmed from the information available. The above are indicative ranges only.</w:t>
      </w:r>
    </w:p>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04</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SCOPE GAP REVIEW</w:t>
            </w:r>
          </w:p>
        </w:tc>
      </w:tr>
    </w:tbl>
    <w:p>
      <w:pPr>
        <w:pStyle w:val="Heading2"/>
        <w:spacing w:after="80" w:before="240"/>
      </w:pPr>
      <w:r>
        <w:rPr>
          <w:b/>
          <w:bCs/>
          <w:sz w:val="24"/>
          <w:szCs w:val="24"/>
        </w:rPr>
        <w:t xml:space="preserve">4.1  Items Absent or Unclear Across Multiple Tenders</w:t>
      </w:r>
    </w:p>
    <w:p>
      <w:pPr>
        <w:spacing w:after="120" w:before="60"/>
      </w:pPr>
      <w:r>
        <w:rPr>
          <w:i/>
          <w:iCs/>
          <w:color w:val="667085"/>
          <w:sz w:val="19"/>
          <w:szCs w:val="19"/>
        </w:rPr>
        <w:t xml:space="preserve">» Items that most or all tenderers have excluded, rated only, or left ambiguous — the risks that fall back on the main contractor if not caught now (spoil disposal, obstructions, trimming, warranties, monitoring, additional survey).</w:t>
      </w:r>
    </w:p>
    <w:p>
      <w:pPr>
        <w:pStyle w:val="ListParagraph"/>
        <w:numPr>
          <w:ilvl w:val="0"/>
          <w:numId w:val="2"/>
        </w:numPr>
        <w:spacing w:after="20" w:before="20"/>
      </w:pPr>
      <w:r>
        <w:rPr>
          <w:color w:val="1B2A4A"/>
          <w:sz w:val="21"/>
          <w:szCs w:val="21"/>
        </w:rPr>
        <w:t xml:space="preserve">[Absent / unclear item and its commercial consequence]</w:t>
      </w:r>
    </w:p>
    <w:p>
      <w:pPr>
        <w:pStyle w:val="ListParagraph"/>
        <w:numPr>
          <w:ilvl w:val="0"/>
          <w:numId w:val="2"/>
        </w:numPr>
        <w:spacing w:after="20" w:before="20"/>
      </w:pPr>
      <w:r>
        <w:rPr>
          <w:color w:val="1B2A4A"/>
          <w:sz w:val="21"/>
          <w:szCs w:val="21"/>
        </w:rPr>
        <w:t xml:space="preserve">[Absent / unclear item and its commercial consequence]</w:t>
      </w:r>
    </w:p>
    <w:p>
      <w:pPr>
        <w:pStyle w:val="Heading2"/>
        <w:spacing w:after="80" w:before="240"/>
      </w:pPr>
      <w:r>
        <w:rPr>
          <w:b/>
          <w:bCs/>
          <w:sz w:val="24"/>
          <w:szCs w:val="24"/>
        </w:rPr>
        <w:t xml:space="preserve">4.2  Scope Items Included by Some, Excluded by Others</w:t>
      </w:r>
    </w:p>
    <w:p>
      <w:pPr>
        <w:spacing w:after="120" w:before="60"/>
      </w:pPr>
      <w:r>
        <w:rPr>
          <w:i/>
          <w:iCs/>
          <w:color w:val="667085"/>
          <w:sz w:val="19"/>
          <w:szCs w:val="19"/>
        </w:rPr>
        <w:t xml:space="preserve">» Inclusion matrix. Use Yes / No / Rate only / By others. This is the evidence base for the 3.4 adjustments.</w:t>
      </w:r>
    </w:p>
    <w:tbl>
      <w:tblPr>
        <w:tblW w:type="dxa" w:w="9634"/>
        <w:tblBorders>
          <w:top w:val="single" w:color="D0D5DD" w:sz="4"/>
          <w:left w:val="single" w:color="D0D5DD" w:sz="4"/>
          <w:bottom w:val="single" w:color="D0D5DD" w:sz="4"/>
          <w:right w:val="single" w:color="D0D5DD" w:sz="4"/>
          <w:insideH w:val="single" w:color="D0D5DD" w:sz="4"/>
          <w:insideV w:val="single" w:color="D0D5DD" w:sz="4"/>
        </w:tblBorders>
      </w:tblPr>
      <w:tblGrid>
        <w:gridCol w:w="3234"/>
        <w:gridCol w:w="1600"/>
        <w:gridCol w:w="1600"/>
        <w:gridCol w:w="1600"/>
        <w:gridCol w:w="1600"/>
      </w:tblGrid>
      <w:tr>
        <w:trPr>
          <w:tblHeader/>
        </w:trPr>
        <w:tc>
          <w:tcPr>
            <w:tcW w:type="dxa" w:w="3234"/>
            <w:shd w:fill="1B2A4A" w:color="auto" w:val="clear"/>
            <w:tcMar>
              <w:top w:type="dxa" w:w="60"/>
              <w:left w:type="dxa" w:w="80"/>
              <w:bottom w:type="dxa" w:w="60"/>
              <w:right w:type="dxa" w:w="80"/>
            </w:tcMar>
            <w:vAlign w:val="center"/>
          </w:tcPr>
          <w:p>
            <w:r>
              <w:rPr>
                <w:b/>
                <w:bCs/>
                <w:color w:val="FFFFFF"/>
                <w:sz w:val="18"/>
                <w:szCs w:val="18"/>
              </w:rPr>
              <w:t xml:space="preserve">Item</w:t>
            </w:r>
          </w:p>
        </w:tc>
        <w:tc>
          <w:tcPr>
            <w:tcW w:type="dxa" w:w="1600"/>
            <w:shd w:fill="1B2A4A" w:color="auto" w:val="clear"/>
            <w:tcMar>
              <w:top w:type="dxa" w:w="60"/>
              <w:left w:type="dxa" w:w="80"/>
              <w:bottom w:type="dxa" w:w="60"/>
              <w:right w:type="dxa" w:w="80"/>
            </w:tcMar>
            <w:vAlign w:val="center"/>
          </w:tcPr>
          <w:p>
            <w:r>
              <w:rPr>
                <w:b/>
                <w:bCs/>
                <w:color w:val="FFFFFF"/>
                <w:sz w:val="18"/>
                <w:szCs w:val="18"/>
              </w:rPr>
              <w:t xml:space="preserve">[Contractor A]</w:t>
            </w:r>
          </w:p>
        </w:tc>
        <w:tc>
          <w:tcPr>
            <w:tcW w:type="dxa" w:w="1600"/>
            <w:shd w:fill="1B2A4A" w:color="auto" w:val="clear"/>
            <w:tcMar>
              <w:top w:type="dxa" w:w="60"/>
              <w:left w:type="dxa" w:w="80"/>
              <w:bottom w:type="dxa" w:w="60"/>
              <w:right w:type="dxa" w:w="80"/>
            </w:tcMar>
            <w:vAlign w:val="center"/>
          </w:tcPr>
          <w:p>
            <w:r>
              <w:rPr>
                <w:b/>
                <w:bCs/>
                <w:color w:val="FFFFFF"/>
                <w:sz w:val="18"/>
                <w:szCs w:val="18"/>
              </w:rPr>
              <w:t xml:space="preserve">[Contractor B]</w:t>
            </w:r>
          </w:p>
        </w:tc>
        <w:tc>
          <w:tcPr>
            <w:tcW w:type="dxa" w:w="1600"/>
            <w:shd w:fill="1B2A4A" w:color="auto" w:val="clear"/>
            <w:tcMar>
              <w:top w:type="dxa" w:w="60"/>
              <w:left w:type="dxa" w:w="80"/>
              <w:bottom w:type="dxa" w:w="60"/>
              <w:right w:type="dxa" w:w="80"/>
            </w:tcMar>
            <w:vAlign w:val="center"/>
          </w:tcPr>
          <w:p>
            <w:r>
              <w:rPr>
                <w:b/>
                <w:bCs/>
                <w:color w:val="FFFFFF"/>
                <w:sz w:val="18"/>
                <w:szCs w:val="18"/>
              </w:rPr>
              <w:t xml:space="preserve">[Contractor C]</w:t>
            </w:r>
          </w:p>
        </w:tc>
        <w:tc>
          <w:tcPr>
            <w:tcW w:type="dxa" w:w="1600"/>
            <w:shd w:fill="1B2A4A" w:color="auto" w:val="clear"/>
            <w:tcMar>
              <w:top w:type="dxa" w:w="60"/>
              <w:left w:type="dxa" w:w="80"/>
              <w:bottom w:type="dxa" w:w="60"/>
              <w:right w:type="dxa" w:w="80"/>
            </w:tcMar>
            <w:vAlign w:val="center"/>
          </w:tcPr>
          <w:p>
            <w:r>
              <w:rPr>
                <w:b/>
                <w:bCs/>
                <w:color w:val="FFFFFF"/>
                <w:sz w:val="18"/>
                <w:szCs w:val="18"/>
              </w:rPr>
              <w:t xml:space="preserve">[Contractor D]</w:t>
            </w:r>
          </w:p>
        </w:tc>
      </w:tr>
      <w:tr>
        <w:tc>
          <w:tcPr>
            <w:tcW w:type="dxa" w:w="3234"/>
            <w:tcMar>
              <w:top w:type="dxa" w:w="60"/>
              <w:left w:type="dxa" w:w="80"/>
              <w:bottom w:type="dxa" w:w="60"/>
              <w:right w:type="dxa" w:w="80"/>
            </w:tcMar>
          </w:tcPr>
          <w:p>
            <w:r>
              <w:rPr>
                <w:color w:val="1B2A4A"/>
                <w:sz w:val="18"/>
                <w:szCs w:val="18"/>
              </w:rPr>
              <w:t xml:space="preserve">[Design / calculations]</w:t>
            </w:r>
          </w:p>
        </w:tc>
        <w:tc>
          <w:tcPr>
            <w:tcW w:type="dxa" w:w="1600"/>
            <w:tcMar>
              <w:top w:type="dxa" w:w="60"/>
              <w:left w:type="dxa" w:w="80"/>
              <w:bottom w:type="dxa" w:w="60"/>
              <w:right w:type="dxa" w:w="80"/>
            </w:tcMar>
          </w:tcPr>
          <w:p>
            <w:r>
              <w:rPr>
                <w:color w:val="1B2A4A"/>
                <w:sz w:val="18"/>
                <w:szCs w:val="18"/>
              </w:rPr>
              <w:t xml:space="preserve">Yes</w:t>
            </w:r>
          </w:p>
        </w:tc>
        <w:tc>
          <w:tcPr>
            <w:tcW w:type="dxa" w:w="1600"/>
            <w:tcMar>
              <w:top w:type="dxa" w:w="60"/>
              <w:left w:type="dxa" w:w="80"/>
              <w:bottom w:type="dxa" w:w="60"/>
              <w:right w:type="dxa" w:w="80"/>
            </w:tcMar>
          </w:tcPr>
          <w:p>
            <w:r>
              <w:rPr>
                <w:color w:val="1B2A4A"/>
                <w:sz w:val="18"/>
                <w:szCs w:val="18"/>
              </w:rPr>
              <w:t xml:space="preserve">Yes</w:t>
            </w:r>
          </w:p>
        </w:tc>
        <w:tc>
          <w:tcPr>
            <w:tcW w:type="dxa" w:w="1600"/>
            <w:tcMar>
              <w:top w:type="dxa" w:w="60"/>
              <w:left w:type="dxa" w:w="80"/>
              <w:bottom w:type="dxa" w:w="60"/>
              <w:right w:type="dxa" w:w="80"/>
            </w:tcMar>
          </w:tcPr>
          <w:p>
            <w:r>
              <w:rPr>
                <w:color w:val="1B2A4A"/>
                <w:sz w:val="18"/>
                <w:szCs w:val="18"/>
              </w:rPr>
              <w:t xml:space="preserve">Rate only</w:t>
            </w:r>
          </w:p>
        </w:tc>
        <w:tc>
          <w:tcPr>
            <w:tcW w:type="dxa" w:w="1600"/>
            <w:tcMar>
              <w:top w:type="dxa" w:w="60"/>
              <w:left w:type="dxa" w:w="80"/>
              <w:bottom w:type="dxa" w:w="60"/>
              <w:right w:type="dxa" w:w="80"/>
            </w:tcMar>
          </w:tcPr>
          <w:p>
            <w:r>
              <w:rPr>
                <w:color w:val="1B2A4A"/>
                <w:sz w:val="18"/>
                <w:szCs w:val="18"/>
              </w:rPr>
              <w:t xml:space="preserve">Yes</w:t>
            </w:r>
          </w:p>
        </w:tc>
      </w:tr>
      <w:tr>
        <w:tc>
          <w:tcPr>
            <w:tcW w:type="dxa" w:w="3234"/>
            <w:shd w:fill="F2F4F7" w:color="auto" w:val="clear"/>
            <w:tcMar>
              <w:top w:type="dxa" w:w="60"/>
              <w:left w:type="dxa" w:w="80"/>
              <w:bottom w:type="dxa" w:w="60"/>
              <w:right w:type="dxa" w:w="80"/>
            </w:tcMar>
          </w:tcPr>
          <w:p>
            <w:r>
              <w:rPr>
                <w:color w:val="1B2A4A"/>
                <w:sz w:val="18"/>
                <w:szCs w:val="18"/>
              </w:rPr>
              <w:t xml:space="preserve">[Testing]</w:t>
            </w:r>
          </w:p>
        </w:tc>
        <w:tc>
          <w:tcPr>
            <w:tcW w:type="dxa" w:w="1600"/>
            <w:shd w:fill="F2F4F7" w:color="auto" w:val="clear"/>
            <w:tcMar>
              <w:top w:type="dxa" w:w="60"/>
              <w:left w:type="dxa" w:w="80"/>
              <w:bottom w:type="dxa" w:w="60"/>
              <w:right w:type="dxa" w:w="80"/>
            </w:tcMar>
          </w:tcPr>
          <w:p>
            <w:r>
              <w:rPr>
                <w:color w:val="1B2A4A"/>
                <w:sz w:val="18"/>
                <w:szCs w:val="18"/>
              </w:rPr>
              <w:t xml:space="preserve">Yes</w:t>
            </w:r>
          </w:p>
        </w:tc>
        <w:tc>
          <w:tcPr>
            <w:tcW w:type="dxa" w:w="1600"/>
            <w:shd w:fill="F2F4F7" w:color="auto" w:val="clear"/>
            <w:tcMar>
              <w:top w:type="dxa" w:w="60"/>
              <w:left w:type="dxa" w:w="80"/>
              <w:bottom w:type="dxa" w:w="60"/>
              <w:right w:type="dxa" w:w="80"/>
            </w:tcMar>
          </w:tcPr>
          <w:p>
            <w:r>
              <w:rPr>
                <w:color w:val="1B2A4A"/>
                <w:sz w:val="18"/>
                <w:szCs w:val="18"/>
              </w:rPr>
              <w:t xml:space="preserve">Rate only</w:t>
            </w:r>
          </w:p>
        </w:tc>
        <w:tc>
          <w:tcPr>
            <w:tcW w:type="dxa" w:w="1600"/>
            <w:shd w:fill="F2F4F7" w:color="auto" w:val="clear"/>
            <w:tcMar>
              <w:top w:type="dxa" w:w="60"/>
              <w:left w:type="dxa" w:w="80"/>
              <w:bottom w:type="dxa" w:w="60"/>
              <w:right w:type="dxa" w:w="80"/>
            </w:tcMar>
          </w:tcPr>
          <w:p>
            <w:r>
              <w:rPr>
                <w:color w:val="1B2A4A"/>
                <w:sz w:val="18"/>
                <w:szCs w:val="18"/>
              </w:rPr>
              <w:t xml:space="preserve">No</w:t>
            </w:r>
          </w:p>
        </w:tc>
        <w:tc>
          <w:tcPr>
            <w:tcW w:type="dxa" w:w="1600"/>
            <w:shd w:fill="F2F4F7" w:color="auto" w:val="clear"/>
            <w:tcMar>
              <w:top w:type="dxa" w:w="60"/>
              <w:left w:type="dxa" w:w="80"/>
              <w:bottom w:type="dxa" w:w="60"/>
              <w:right w:type="dxa" w:w="80"/>
            </w:tcMar>
          </w:tcPr>
          <w:p>
            <w:r>
              <w:rPr>
                <w:color w:val="1B2A4A"/>
                <w:sz w:val="18"/>
                <w:szCs w:val="18"/>
              </w:rPr>
              <w:t xml:space="preserve">Yes</w:t>
            </w:r>
          </w:p>
        </w:tc>
      </w:tr>
      <w:tr>
        <w:tc>
          <w:tcPr>
            <w:tcW w:type="dxa" w:w="3234"/>
            <w:tcMar>
              <w:top w:type="dxa" w:w="60"/>
              <w:left w:type="dxa" w:w="80"/>
              <w:bottom w:type="dxa" w:w="60"/>
              <w:right w:type="dxa" w:w="80"/>
            </w:tcMar>
          </w:tcPr>
          <w:p>
            <w:r>
              <w:rPr>
                <w:color w:val="1B2A4A"/>
                <w:sz w:val="18"/>
                <w:szCs w:val="18"/>
              </w:rPr>
              <w:t xml:space="preserve">[Setting out]</w:t>
            </w:r>
          </w:p>
        </w:tc>
        <w:tc>
          <w:tcPr>
            <w:tcW w:type="dxa" w:w="1600"/>
            <w:tcMar>
              <w:top w:type="dxa" w:w="60"/>
              <w:left w:type="dxa" w:w="80"/>
              <w:bottom w:type="dxa" w:w="60"/>
              <w:right w:type="dxa" w:w="80"/>
            </w:tcMar>
          </w:tcPr>
          <w:p>
            <w:r>
              <w:rPr>
                <w:color w:val="1B2A4A"/>
                <w:sz w:val="18"/>
                <w:szCs w:val="18"/>
              </w:rPr>
              <w:t xml:space="preserve">By others</w:t>
            </w:r>
          </w:p>
        </w:tc>
        <w:tc>
          <w:tcPr>
            <w:tcW w:type="dxa" w:w="1600"/>
            <w:tcMar>
              <w:top w:type="dxa" w:w="60"/>
              <w:left w:type="dxa" w:w="80"/>
              <w:bottom w:type="dxa" w:w="60"/>
              <w:right w:type="dxa" w:w="80"/>
            </w:tcMar>
          </w:tcPr>
          <w:p>
            <w:r>
              <w:rPr>
                <w:color w:val="1B2A4A"/>
                <w:sz w:val="18"/>
                <w:szCs w:val="18"/>
              </w:rPr>
              <w:t xml:space="preserve">By others</w:t>
            </w:r>
          </w:p>
        </w:tc>
        <w:tc>
          <w:tcPr>
            <w:tcW w:type="dxa" w:w="1600"/>
            <w:tcMar>
              <w:top w:type="dxa" w:w="60"/>
              <w:left w:type="dxa" w:w="80"/>
              <w:bottom w:type="dxa" w:w="60"/>
              <w:right w:type="dxa" w:w="80"/>
            </w:tcMar>
          </w:tcPr>
          <w:p>
            <w:r>
              <w:rPr>
                <w:color w:val="1B2A4A"/>
                <w:sz w:val="18"/>
                <w:szCs w:val="18"/>
              </w:rPr>
              <w:t xml:space="preserve">By others</w:t>
            </w:r>
          </w:p>
        </w:tc>
        <w:tc>
          <w:tcPr>
            <w:tcW w:type="dxa" w:w="1600"/>
            <w:tcMar>
              <w:top w:type="dxa" w:w="60"/>
              <w:left w:type="dxa" w:w="80"/>
              <w:bottom w:type="dxa" w:w="60"/>
              <w:right w:type="dxa" w:w="80"/>
            </w:tcMar>
          </w:tcPr>
          <w:p>
            <w:r>
              <w:rPr>
                <w:color w:val="1B2A4A"/>
                <w:sz w:val="18"/>
                <w:szCs w:val="18"/>
              </w:rPr>
              <w:t xml:space="preserve">By others</w:t>
            </w:r>
          </w:p>
        </w:tc>
      </w:tr>
      <w:tr>
        <w:tc>
          <w:tcPr>
            <w:tcW w:type="dxa" w:w="3234"/>
            <w:shd w:fill="F2F4F7" w:color="auto" w:val="clear"/>
            <w:tcMar>
              <w:top w:type="dxa" w:w="60"/>
              <w:left w:type="dxa" w:w="80"/>
              <w:bottom w:type="dxa" w:w="60"/>
              <w:right w:type="dxa" w:w="80"/>
            </w:tcMar>
          </w:tcPr>
          <w:p>
            <w:r>
              <w:rPr>
                <w:color w:val="1B2A4A"/>
                <w:sz w:val="18"/>
                <w:szCs w:val="18"/>
              </w:rPr>
              <w:t xml:space="preserve">[Collateral warranty]</w:t>
            </w:r>
          </w:p>
        </w:tc>
        <w:tc>
          <w:tcPr>
            <w:tcW w:type="dxa" w:w="1600"/>
            <w:shd w:fill="F2F4F7" w:color="auto" w:val="clear"/>
            <w:tcMar>
              <w:top w:type="dxa" w:w="60"/>
              <w:left w:type="dxa" w:w="80"/>
              <w:bottom w:type="dxa" w:w="60"/>
              <w:right w:type="dxa" w:w="80"/>
            </w:tcMar>
          </w:tcPr>
          <w:p>
            <w:r>
              <w:rPr>
                <w:color w:val="1B2A4A"/>
                <w:sz w:val="18"/>
                <w:szCs w:val="18"/>
              </w:rPr>
              <w:t xml:space="preserve">Yes</w:t>
            </w:r>
          </w:p>
        </w:tc>
        <w:tc>
          <w:tcPr>
            <w:tcW w:type="dxa" w:w="1600"/>
            <w:shd w:fill="F2F4F7" w:color="auto" w:val="clear"/>
            <w:tcMar>
              <w:top w:type="dxa" w:w="60"/>
              <w:left w:type="dxa" w:w="80"/>
              <w:bottom w:type="dxa" w:w="60"/>
              <w:right w:type="dxa" w:w="80"/>
            </w:tcMar>
          </w:tcPr>
          <w:p>
            <w:r>
              <w:rPr>
                <w:color w:val="1B2A4A"/>
                <w:sz w:val="18"/>
                <w:szCs w:val="18"/>
              </w:rPr>
              <w:t xml:space="preserve">Not stated</w:t>
            </w:r>
          </w:p>
        </w:tc>
        <w:tc>
          <w:tcPr>
            <w:tcW w:type="dxa" w:w="1600"/>
            <w:shd w:fill="F2F4F7" w:color="auto" w:val="clear"/>
            <w:tcMar>
              <w:top w:type="dxa" w:w="60"/>
              <w:left w:type="dxa" w:w="80"/>
              <w:bottom w:type="dxa" w:w="60"/>
              <w:right w:type="dxa" w:w="80"/>
            </w:tcMar>
          </w:tcPr>
          <w:p>
            <w:r>
              <w:rPr>
                <w:color w:val="1B2A4A"/>
                <w:sz w:val="18"/>
                <w:szCs w:val="18"/>
              </w:rPr>
              <w:t xml:space="preserve">Yes</w:t>
            </w:r>
          </w:p>
        </w:tc>
        <w:tc>
          <w:tcPr>
            <w:tcW w:type="dxa" w:w="1600"/>
            <w:shd w:fill="F2F4F7" w:color="auto" w:val="clear"/>
            <w:tcMar>
              <w:top w:type="dxa" w:w="60"/>
              <w:left w:type="dxa" w:w="80"/>
              <w:bottom w:type="dxa" w:w="60"/>
              <w:right w:type="dxa" w:w="80"/>
            </w:tcMar>
          </w:tcPr>
          <w:p>
            <w:r>
              <w:rPr>
                <w:color w:val="1B2A4A"/>
                <w:sz w:val="18"/>
                <w:szCs w:val="18"/>
              </w:rPr>
              <w:t xml:space="preserve">Not stated</w:t>
            </w:r>
          </w:p>
        </w:tc>
      </w:tr>
    </w:tbl>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05</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RISK REVIEW</w:t>
            </w:r>
          </w:p>
        </w:tc>
      </w:tr>
    </w:tbl>
    <w:p>
      <w:pPr>
        <w:spacing w:after="120" w:before="60"/>
      </w:pPr>
      <w:r>
        <w:rPr>
          <w:i/>
          <w:iCs/>
          <w:color w:val="667085"/>
          <w:sz w:val="19"/>
          <w:szCs w:val="19"/>
        </w:rPr>
        <w:t xml:space="preserve">» One block per comparable tenderer, plus brief commentary on the non-comparable ones. Under each, address Commercial, Delivery, Scope ambiguity and Price risk. Lead with the exposure, not the strengths.</w:t>
      </w:r>
    </w:p>
    <w:p>
      <w:pPr>
        <w:spacing w:after="40" w:before="120"/>
      </w:pPr>
      <w:r>
        <w:rPr>
          <w:b/>
          <w:bCs/>
          <w:sz w:val="22"/>
          <w:szCs w:val="22"/>
        </w:rPr>
        <w:t xml:space="preserve">[Contractor A]</w:t>
      </w:r>
    </w:p>
    <w:p>
      <w:pPr>
        <w:pStyle w:val="ListParagraph"/>
        <w:numPr>
          <w:ilvl w:val="0"/>
          <w:numId w:val="2"/>
        </w:numPr>
        <w:spacing w:after="20" w:before="20"/>
      </w:pPr>
      <w:r>
        <w:rPr>
          <w:color w:val="1B2A4A"/>
          <w:sz w:val="21"/>
          <w:szCs w:val="21"/>
        </w:rPr>
        <w:t xml:space="preserve">Commercial: [payment terms, retention, LADs, validity, price volatility clauses]</w:t>
      </w:r>
    </w:p>
    <w:p>
      <w:pPr>
        <w:pStyle w:val="ListParagraph"/>
        <w:numPr>
          <w:ilvl w:val="0"/>
          <w:numId w:val="2"/>
        </w:numPr>
        <w:spacing w:after="20" w:before="20"/>
      </w:pPr>
      <w:r>
        <w:rPr>
          <w:color w:val="1B2A4A"/>
          <w:sz w:val="21"/>
          <w:szCs w:val="21"/>
        </w:rPr>
        <w:t xml:space="preserve">Delivery: [programme, lead-in, achievability]</w:t>
      </w:r>
    </w:p>
    <w:p>
      <w:pPr>
        <w:pStyle w:val="ListParagraph"/>
        <w:numPr>
          <w:ilvl w:val="0"/>
          <w:numId w:val="2"/>
        </w:numPr>
        <w:spacing w:after="20" w:before="20"/>
      </w:pPr>
      <w:r>
        <w:rPr>
          <w:color w:val="1B2A4A"/>
          <w:sz w:val="21"/>
          <w:szCs w:val="21"/>
        </w:rPr>
        <w:t xml:space="preserve">Scope ambiguity: [conscious design choices, unpriced items, ambiguous inclusions]</w:t>
      </w:r>
    </w:p>
    <w:p>
      <w:pPr>
        <w:pStyle w:val="ListParagraph"/>
        <w:numPr>
          <w:ilvl w:val="0"/>
          <w:numId w:val="2"/>
        </w:numPr>
        <w:spacing w:after="20" w:before="20"/>
      </w:pPr>
      <w:r>
        <w:rPr>
          <w:color w:val="1B2A4A"/>
          <w:sz w:val="21"/>
          <w:szCs w:val="21"/>
        </w:rPr>
        <w:t xml:space="preserve">Price risk: [remeasure exposure, depth/quantity risk, material escalation]</w:t>
      </w:r>
    </w:p>
    <w:p>
      <w:pPr>
        <w:spacing w:after="40" w:before="120"/>
      </w:pPr>
      <w:r>
        <w:rPr>
          <w:b/>
          <w:bCs/>
          <w:sz w:val="22"/>
          <w:szCs w:val="22"/>
        </w:rPr>
        <w:t xml:space="preserve">[Contractor B]</w:t>
      </w:r>
    </w:p>
    <w:p>
      <w:pPr>
        <w:pStyle w:val="ListParagraph"/>
        <w:numPr>
          <w:ilvl w:val="0"/>
          <w:numId w:val="2"/>
        </w:numPr>
        <w:spacing w:after="20" w:before="20"/>
      </w:pPr>
      <w:r>
        <w:rPr>
          <w:color w:val="1B2A4A"/>
          <w:sz w:val="21"/>
          <w:szCs w:val="21"/>
        </w:rPr>
        <w:t xml:space="preserve">Commercial: [ … ]</w:t>
      </w:r>
    </w:p>
    <w:p>
      <w:pPr>
        <w:pStyle w:val="ListParagraph"/>
        <w:numPr>
          <w:ilvl w:val="0"/>
          <w:numId w:val="2"/>
        </w:numPr>
        <w:spacing w:after="20" w:before="20"/>
      </w:pPr>
      <w:r>
        <w:rPr>
          <w:color w:val="1B2A4A"/>
          <w:sz w:val="21"/>
          <w:szCs w:val="21"/>
        </w:rPr>
        <w:t xml:space="preserve">Delivery: [ … ]</w:t>
      </w:r>
    </w:p>
    <w:p>
      <w:pPr>
        <w:pStyle w:val="ListParagraph"/>
        <w:numPr>
          <w:ilvl w:val="0"/>
          <w:numId w:val="2"/>
        </w:numPr>
        <w:spacing w:after="20" w:before="20"/>
      </w:pPr>
      <w:r>
        <w:rPr>
          <w:color w:val="1B2A4A"/>
          <w:sz w:val="21"/>
          <w:szCs w:val="21"/>
        </w:rPr>
        <w:t xml:space="preserve">Scope ambiguity: [ … ]</w:t>
      </w:r>
    </w:p>
    <w:p>
      <w:pPr>
        <w:pStyle w:val="ListParagraph"/>
        <w:numPr>
          <w:ilvl w:val="0"/>
          <w:numId w:val="2"/>
        </w:numPr>
        <w:spacing w:after="20" w:before="20"/>
      </w:pPr>
      <w:r>
        <w:rPr>
          <w:color w:val="1B2A4A"/>
          <w:sz w:val="21"/>
          <w:szCs w:val="21"/>
        </w:rPr>
        <w:t xml:space="preserve">Price risk: [ … ]</w:t>
      </w:r>
    </w:p>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06</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TENDER QUALITY REVIEW</w:t>
            </w:r>
          </w:p>
        </w:tc>
      </w:tr>
    </w:tbl>
    <w:p>
      <w:pPr>
        <w:spacing w:after="120" w:before="60"/>
      </w:pPr>
      <w:r>
        <w:rPr>
          <w:i/>
          <w:iCs/>
          <w:color w:val="667085"/>
          <w:sz w:val="19"/>
          <w:szCs w:val="19"/>
        </w:rPr>
        <w:t xml:space="preserve">» Rate the quality / completeness of each submission (★ scale). Quality of the tender document is a proxy for how the contractor will administer the sub-contract.</w:t>
      </w:r>
    </w:p>
    <w:tbl>
      <w:tblPr>
        <w:tblW w:type="dxa" w:w="9634"/>
        <w:tblBorders>
          <w:top w:val="single" w:color="D0D5DD" w:sz="4"/>
          <w:left w:val="single" w:color="D0D5DD" w:sz="4"/>
          <w:bottom w:val="single" w:color="D0D5DD" w:sz="4"/>
          <w:right w:val="single" w:color="D0D5DD" w:sz="4"/>
          <w:insideH w:val="single" w:color="D0D5DD" w:sz="4"/>
          <w:insideV w:val="single" w:color="D0D5DD" w:sz="4"/>
        </w:tblBorders>
      </w:tblPr>
      <w:tblGrid>
        <w:gridCol w:w="2200"/>
        <w:gridCol w:w="1600"/>
        <w:gridCol w:w="5834"/>
      </w:tblGrid>
      <w:tr>
        <w:trPr>
          <w:tblHeader/>
        </w:trPr>
        <w:tc>
          <w:tcPr>
            <w:tcW w:type="dxa" w:w="2200"/>
            <w:shd w:fill="1B2A4A" w:color="auto" w:val="clear"/>
            <w:tcMar>
              <w:top w:type="dxa" w:w="60"/>
              <w:left w:type="dxa" w:w="80"/>
              <w:bottom w:type="dxa" w:w="60"/>
              <w:right w:type="dxa" w:w="80"/>
            </w:tcMar>
            <w:vAlign w:val="center"/>
          </w:tcPr>
          <w:p>
            <w:r>
              <w:rPr>
                <w:b/>
                <w:bCs/>
                <w:color w:val="FFFFFF"/>
                <w:sz w:val="18"/>
                <w:szCs w:val="18"/>
              </w:rPr>
              <w:t xml:space="preserve">Contractor</w:t>
            </w:r>
          </w:p>
        </w:tc>
        <w:tc>
          <w:tcPr>
            <w:tcW w:type="dxa" w:w="1600"/>
            <w:shd w:fill="1B2A4A" w:color="auto" w:val="clear"/>
            <w:tcMar>
              <w:top w:type="dxa" w:w="60"/>
              <w:left w:type="dxa" w:w="80"/>
              <w:bottom w:type="dxa" w:w="60"/>
              <w:right w:type="dxa" w:w="80"/>
            </w:tcMar>
            <w:vAlign w:val="center"/>
          </w:tcPr>
          <w:p>
            <w:r>
              <w:rPr>
                <w:b/>
                <w:bCs/>
                <w:color w:val="FFFFFF"/>
                <w:sz w:val="18"/>
                <w:szCs w:val="18"/>
              </w:rPr>
              <w:t xml:space="preserve">Quality Rating</w:t>
            </w:r>
          </w:p>
        </w:tc>
        <w:tc>
          <w:tcPr>
            <w:tcW w:type="dxa" w:w="5834"/>
            <w:shd w:fill="1B2A4A" w:color="auto" w:val="clear"/>
            <w:tcMar>
              <w:top w:type="dxa" w:w="60"/>
              <w:left w:type="dxa" w:w="80"/>
              <w:bottom w:type="dxa" w:w="60"/>
              <w:right w:type="dxa" w:w="80"/>
            </w:tcMar>
            <w:vAlign w:val="center"/>
          </w:tcPr>
          <w:p>
            <w:r>
              <w:rPr>
                <w:b/>
                <w:bCs/>
                <w:color w:val="FFFFFF"/>
                <w:sz w:val="18"/>
                <w:szCs w:val="18"/>
              </w:rPr>
              <w:t xml:space="preserve">Commentary</w:t>
            </w:r>
          </w:p>
        </w:tc>
      </w:tr>
      <w:tr>
        <w:tc>
          <w:tcPr>
            <w:tcW w:type="dxa" w:w="2200"/>
            <w:tcMar>
              <w:top w:type="dxa" w:w="60"/>
              <w:left w:type="dxa" w:w="80"/>
              <w:bottom w:type="dxa" w:w="60"/>
              <w:right w:type="dxa" w:w="80"/>
            </w:tcMar>
          </w:tcPr>
          <w:p>
            <w:r>
              <w:rPr>
                <w:color w:val="1B2A4A"/>
                <w:sz w:val="18"/>
                <w:szCs w:val="18"/>
              </w:rPr>
              <w:t xml:space="preserve">[Contractor A]</w:t>
            </w:r>
          </w:p>
        </w:tc>
        <w:tc>
          <w:tcPr>
            <w:tcW w:type="dxa" w:w="1600"/>
            <w:tcMar>
              <w:top w:type="dxa" w:w="60"/>
              <w:left w:type="dxa" w:w="80"/>
              <w:bottom w:type="dxa" w:w="60"/>
              <w:right w:type="dxa" w:w="80"/>
            </w:tcMar>
          </w:tcPr>
          <w:p>
            <w:r>
              <w:rPr>
                <w:color w:val="1B2A4A"/>
                <w:sz w:val="18"/>
                <w:szCs w:val="18"/>
              </w:rPr>
              <w:t xml:space="preserve">★★★★★</w:t>
            </w:r>
          </w:p>
        </w:tc>
        <w:tc>
          <w:tcPr>
            <w:tcW w:type="dxa" w:w="5834"/>
            <w:tcMar>
              <w:top w:type="dxa" w:w="60"/>
              <w:left w:type="dxa" w:w="80"/>
              <w:bottom w:type="dxa" w:w="60"/>
              <w:right w:type="dxa" w:w="80"/>
            </w:tcMar>
          </w:tcPr>
          <w:p>
            <w:r>
              <w:rPr>
                <w:color w:val="1B2A4A"/>
                <w:sz w:val="18"/>
                <w:szCs w:val="18"/>
              </w:rPr>
              <w:t xml:space="preserve">[what makes it strong / any gaps]</w:t>
            </w:r>
          </w:p>
        </w:tc>
      </w:tr>
      <w:tr>
        <w:tc>
          <w:tcPr>
            <w:tcW w:type="dxa" w:w="2200"/>
            <w:shd w:fill="F2F4F7" w:color="auto" w:val="clear"/>
            <w:tcMar>
              <w:top w:type="dxa" w:w="60"/>
              <w:left w:type="dxa" w:w="80"/>
              <w:bottom w:type="dxa" w:w="60"/>
              <w:right w:type="dxa" w:w="80"/>
            </w:tcMar>
          </w:tcPr>
          <w:p>
            <w:r>
              <w:rPr>
                <w:color w:val="1B2A4A"/>
                <w:sz w:val="18"/>
                <w:szCs w:val="18"/>
              </w:rPr>
              <w:t xml:space="preserve">[Contractor B]</w:t>
            </w:r>
          </w:p>
        </w:tc>
        <w:tc>
          <w:tcPr>
            <w:tcW w:type="dxa" w:w="1600"/>
            <w:shd w:fill="F2F4F7" w:color="auto" w:val="clear"/>
            <w:tcMar>
              <w:top w:type="dxa" w:w="60"/>
              <w:left w:type="dxa" w:w="80"/>
              <w:bottom w:type="dxa" w:w="60"/>
              <w:right w:type="dxa" w:w="80"/>
            </w:tcMar>
          </w:tcPr>
          <w:p>
            <w:r>
              <w:rPr>
                <w:color w:val="1B2A4A"/>
                <w:sz w:val="18"/>
                <w:szCs w:val="18"/>
              </w:rPr>
              <w:t xml:space="preserve">★★★☆☆</w:t>
            </w:r>
          </w:p>
        </w:tc>
        <w:tc>
          <w:tcPr>
            <w:tcW w:type="dxa" w:w="5834"/>
            <w:shd w:fill="F2F4F7" w:color="auto" w:val="clear"/>
            <w:tcMar>
              <w:top w:type="dxa" w:w="60"/>
              <w:left w:type="dxa" w:w="80"/>
              <w:bottom w:type="dxa" w:w="60"/>
              <w:right w:type="dxa" w:w="80"/>
            </w:tcMar>
          </w:tcPr>
          <w:p>
            <w:r>
              <w:rPr>
                <w:color w:val="1B2A4A"/>
                <w:sz w:val="18"/>
                <w:szCs w:val="18"/>
              </w:rPr>
              <w:t xml:space="preserve">[what makes it strong / any gaps]</w:t>
            </w:r>
          </w:p>
        </w:tc>
      </w:tr>
      <w:tr>
        <w:tc>
          <w:tcPr>
            <w:tcW w:type="dxa" w:w="2200"/>
            <w:tcMar>
              <w:top w:type="dxa" w:w="60"/>
              <w:left w:type="dxa" w:w="80"/>
              <w:bottom w:type="dxa" w:w="60"/>
              <w:right w:type="dxa" w:w="80"/>
            </w:tcMar>
          </w:tcPr>
          <w:p>
            <w:r>
              <w:rPr>
                <w:color w:val="1B2A4A"/>
                <w:sz w:val="18"/>
                <w:szCs w:val="18"/>
              </w:rPr>
              <w:t xml:space="preserve">[Contractor C]</w:t>
            </w:r>
          </w:p>
        </w:tc>
        <w:tc>
          <w:tcPr>
            <w:tcW w:type="dxa" w:w="1600"/>
            <w:tcMar>
              <w:top w:type="dxa" w:w="60"/>
              <w:left w:type="dxa" w:w="80"/>
              <w:bottom w:type="dxa" w:w="60"/>
              <w:right w:type="dxa" w:w="80"/>
            </w:tcMar>
          </w:tcPr>
          <w:p>
            <w:r>
              <w:rPr>
                <w:color w:val="1B2A4A"/>
                <w:sz w:val="18"/>
                <w:szCs w:val="18"/>
              </w:rPr>
              <w:t xml:space="preserve">★★☆☆☆</w:t>
            </w:r>
          </w:p>
        </w:tc>
        <w:tc>
          <w:tcPr>
            <w:tcW w:type="dxa" w:w="5834"/>
            <w:tcMar>
              <w:top w:type="dxa" w:w="60"/>
              <w:left w:type="dxa" w:w="80"/>
              <w:bottom w:type="dxa" w:w="60"/>
              <w:right w:type="dxa" w:w="80"/>
            </w:tcMar>
          </w:tcPr>
          <w:p>
            <w:r>
              <w:rPr>
                <w:color w:val="1B2A4A"/>
                <w:sz w:val="18"/>
                <w:szCs w:val="18"/>
              </w:rPr>
              <w:t xml:space="preserve">[what makes it strong / any gaps]</w:t>
            </w:r>
          </w:p>
        </w:tc>
      </w:tr>
    </w:tbl>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07</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BUDGET / COST CHECK</w:t>
            </w:r>
          </w:p>
        </w:tc>
      </w:tr>
    </w:tbl>
    <w:p>
      <w:pPr>
        <w:spacing w:after="120" w:before="60"/>
      </w:pPr>
      <w:r>
        <w:rPr>
          <w:i/>
          <w:iCs/>
          <w:color w:val="667085"/>
          <w:sz w:val="19"/>
          <w:szCs w:val="19"/>
        </w:rPr>
        <w:t xml:space="preserve">» Benchmark the comparable sums against the cost plan. If no budget was provided, say so and present the comparable range instead. State the spread (£ and %) and what drives it, then give the pre-order recommendation.</w:t>
      </w:r>
    </w:p>
    <w:p>
      <w:pPr>
        <w:spacing w:after="120" w:before="60"/>
      </w:pPr>
      <w:r>
        <w:rPr>
          <w:color w:val="1B2A4A"/>
          <w:sz w:val="21"/>
          <w:szCs w:val="21"/>
        </w:rPr>
        <w:t xml:space="preserve">[State whether a cost plan / budget was provided. If not, present the comparable range below.]</w:t>
      </w:r>
    </w:p>
    <w:tbl>
      <w:tblPr>
        <w:tblW w:type="dxa" w:w="9034"/>
        <w:tblBorders>
          <w:top w:val="single" w:color="D0D5DD" w:sz="4"/>
          <w:left w:val="single" w:color="D0D5DD" w:sz="4"/>
          <w:bottom w:val="single" w:color="D0D5DD" w:sz="4"/>
          <w:right w:val="single" w:color="D0D5DD" w:sz="4"/>
          <w:insideH w:val="single" w:color="D0D5DD" w:sz="4"/>
          <w:insideV w:val="single" w:color="D0D5DD" w:sz="4"/>
        </w:tblBorders>
      </w:tblPr>
      <w:tblGrid>
        <w:gridCol w:w="1900"/>
        <w:gridCol w:w="1400"/>
        <w:gridCol w:w="1600"/>
        <w:gridCol w:w="1600"/>
        <w:gridCol w:w="2534"/>
      </w:tblGrid>
      <w:tr>
        <w:trPr>
          <w:tblHeader/>
        </w:trPr>
        <w:tc>
          <w:tcPr>
            <w:tcW w:type="dxa" w:w="1900"/>
            <w:shd w:fill="1B2A4A" w:color="auto" w:val="clear"/>
            <w:tcMar>
              <w:top w:type="dxa" w:w="60"/>
              <w:left w:type="dxa" w:w="80"/>
              <w:bottom w:type="dxa" w:w="60"/>
              <w:right w:type="dxa" w:w="80"/>
            </w:tcMar>
            <w:vAlign w:val="center"/>
          </w:tcPr>
          <w:p>
            <w:r>
              <w:rPr>
                <w:b/>
                <w:bCs/>
                <w:color w:val="FFFFFF"/>
                <w:sz w:val="18"/>
                <w:szCs w:val="18"/>
              </w:rPr>
              <w:t xml:space="preserve">Contractor</w:t>
            </w:r>
          </w:p>
        </w:tc>
        <w:tc>
          <w:tcPr>
            <w:tcW w:type="dxa" w:w="1400"/>
            <w:shd w:fill="1B2A4A" w:color="auto" w:val="clear"/>
            <w:tcMar>
              <w:top w:type="dxa" w:w="60"/>
              <w:left w:type="dxa" w:w="80"/>
              <w:bottom w:type="dxa" w:w="60"/>
              <w:right w:type="dxa" w:w="80"/>
            </w:tcMar>
            <w:vAlign w:val="center"/>
          </w:tcPr>
          <w:p>
            <w:r>
              <w:rPr>
                <w:b/>
                <w:bCs/>
                <w:color w:val="FFFFFF"/>
                <w:sz w:val="18"/>
                <w:szCs w:val="18"/>
              </w:rPr>
              <w:t xml:space="preserve">Sum (ex VAT)</w:t>
            </w:r>
          </w:p>
        </w:tc>
        <w:tc>
          <w:tcPr>
            <w:tcW w:type="dxa" w:w="1600"/>
            <w:shd w:fill="1B2A4A" w:color="auto" w:val="clear"/>
            <w:tcMar>
              <w:top w:type="dxa" w:w="60"/>
              <w:left w:type="dxa" w:w="80"/>
              <w:bottom w:type="dxa" w:w="60"/>
              <w:right w:type="dxa" w:w="80"/>
            </w:tcMar>
            <w:vAlign w:val="center"/>
          </w:tcPr>
          <w:p>
            <w:r>
              <w:rPr>
                <w:b/>
                <w:bCs/>
                <w:color w:val="FFFFFF"/>
                <w:sz w:val="18"/>
                <w:szCs w:val="18"/>
              </w:rPr>
              <w:t xml:space="preserve">Config</w:t>
            </w:r>
          </w:p>
        </w:tc>
        <w:tc>
          <w:tcPr>
            <w:tcW w:type="dxa" w:w="1600"/>
            <w:shd w:fill="1B2A4A" w:color="auto" w:val="clear"/>
            <w:tcMar>
              <w:top w:type="dxa" w:w="60"/>
              <w:left w:type="dxa" w:w="80"/>
              <w:bottom w:type="dxa" w:w="60"/>
              <w:right w:type="dxa" w:w="80"/>
            </w:tcMar>
            <w:vAlign w:val="center"/>
          </w:tcPr>
          <w:p>
            <w:r>
              <w:rPr>
                <w:b/>
                <w:bCs/>
                <w:color w:val="FFFFFF"/>
                <w:sz w:val="18"/>
                <w:szCs w:val="18"/>
              </w:rPr>
              <w:t xml:space="preserve">Price Basis</w:t>
            </w:r>
          </w:p>
        </w:tc>
        <w:tc>
          <w:tcPr>
            <w:tcW w:type="dxa" w:w="2534"/>
            <w:shd w:fill="1B2A4A" w:color="auto" w:val="clear"/>
            <w:tcMar>
              <w:top w:type="dxa" w:w="60"/>
              <w:left w:type="dxa" w:w="80"/>
              <w:bottom w:type="dxa" w:w="60"/>
              <w:right w:type="dxa" w:w="80"/>
            </w:tcMar>
            <w:vAlign w:val="center"/>
          </w:tcPr>
          <w:p>
            <w:r>
              <w:rPr>
                <w:b/>
                <w:bCs/>
                <w:color w:val="FFFFFF"/>
                <w:sz w:val="18"/>
                <w:szCs w:val="18"/>
              </w:rPr>
              <w:t xml:space="preserve">Notes</w:t>
            </w:r>
          </w:p>
        </w:tc>
      </w:tr>
      <w:tr>
        <w:tc>
          <w:tcPr>
            <w:tcW w:type="dxa" w:w="1900"/>
            <w:tcMar>
              <w:top w:type="dxa" w:w="60"/>
              <w:left w:type="dxa" w:w="80"/>
              <w:bottom w:type="dxa" w:w="60"/>
              <w:right w:type="dxa" w:w="80"/>
            </w:tcMar>
          </w:tcPr>
          <w:p>
            <w:r>
              <w:rPr>
                <w:color w:val="1B2A4A"/>
                <w:sz w:val="18"/>
                <w:szCs w:val="18"/>
              </w:rPr>
              <w:t xml:space="preserve">[Lowest]</w:t>
            </w:r>
          </w:p>
        </w:tc>
        <w:tc>
          <w:tcPr>
            <w:tcW w:type="dxa" w:w="1400"/>
            <w:tcMar>
              <w:top w:type="dxa" w:w="60"/>
              <w:left w:type="dxa" w:w="80"/>
              <w:bottom w:type="dxa" w:w="60"/>
              <w:right w:type="dxa" w:w="80"/>
            </w:tcMar>
          </w:tcPr>
          <w:p>
            <w:r>
              <w:rPr>
                <w:color w:val="1B2A4A"/>
                <w:sz w:val="18"/>
                <w:szCs w:val="18"/>
              </w:rPr>
              <w:t xml:space="preserve">£[    ]</w:t>
            </w:r>
          </w:p>
        </w:tc>
        <w:tc>
          <w:tcPr>
            <w:tcW w:type="dxa" w:w="1600"/>
            <w:tcMar>
              <w:top w:type="dxa" w:w="60"/>
              <w:left w:type="dxa" w:w="80"/>
              <w:bottom w:type="dxa" w:w="60"/>
              <w:right w:type="dxa" w:w="80"/>
            </w:tcMar>
          </w:tcPr>
          <w:p>
            <w:r>
              <w:rPr>
                <w:color w:val="1B2A4A"/>
                <w:sz w:val="18"/>
                <w:szCs w:val="18"/>
              </w:rPr>
              <w:t xml:space="preserve">[config]</w:t>
            </w:r>
          </w:p>
        </w:tc>
        <w:tc>
          <w:tcPr>
            <w:tcW w:type="dxa" w:w="1600"/>
            <w:tcMar>
              <w:top w:type="dxa" w:w="60"/>
              <w:left w:type="dxa" w:w="80"/>
              <w:bottom w:type="dxa" w:w="60"/>
              <w:right w:type="dxa" w:w="80"/>
            </w:tcMar>
          </w:tcPr>
          <w:p>
            <w:r>
              <w:rPr>
                <w:color w:val="1B2A4A"/>
                <w:sz w:val="18"/>
                <w:szCs w:val="18"/>
              </w:rPr>
              <w:t xml:space="preserve">[basis]</w:t>
            </w:r>
          </w:p>
        </w:tc>
        <w:tc>
          <w:tcPr>
            <w:tcW w:type="dxa" w:w="2534"/>
            <w:tcMar>
              <w:top w:type="dxa" w:w="60"/>
              <w:left w:type="dxa" w:w="80"/>
              <w:bottom w:type="dxa" w:w="60"/>
              <w:right w:type="dxa" w:w="80"/>
            </w:tcMar>
          </w:tcPr>
          <w:p>
            <w:r>
              <w:rPr>
                <w:color w:val="1B2A4A"/>
                <w:sz w:val="18"/>
                <w:szCs w:val="18"/>
              </w:rPr>
              <w:t xml:space="preserve">[note]</w:t>
            </w:r>
          </w:p>
        </w:tc>
      </w:tr>
      <w:tr>
        <w:tc>
          <w:tcPr>
            <w:tcW w:type="dxa" w:w="1900"/>
            <w:shd w:fill="F2F4F7" w:color="auto" w:val="clear"/>
            <w:tcMar>
              <w:top w:type="dxa" w:w="60"/>
              <w:left w:type="dxa" w:w="80"/>
              <w:bottom w:type="dxa" w:w="60"/>
              <w:right w:type="dxa" w:w="80"/>
            </w:tcMar>
          </w:tcPr>
          <w:p>
            <w:r>
              <w:rPr>
                <w:color w:val="1B2A4A"/>
                <w:sz w:val="18"/>
                <w:szCs w:val="18"/>
              </w:rPr>
              <w:t xml:space="preserve">[Highest]</w:t>
            </w:r>
          </w:p>
        </w:tc>
        <w:tc>
          <w:tcPr>
            <w:tcW w:type="dxa" w:w="1400"/>
            <w:shd w:fill="F2F4F7" w:color="auto" w:val="clear"/>
            <w:tcMar>
              <w:top w:type="dxa" w:w="60"/>
              <w:left w:type="dxa" w:w="80"/>
              <w:bottom w:type="dxa" w:w="60"/>
              <w:right w:type="dxa" w:w="80"/>
            </w:tcMar>
          </w:tcPr>
          <w:p>
            <w:r>
              <w:rPr>
                <w:color w:val="1B2A4A"/>
                <w:sz w:val="18"/>
                <w:szCs w:val="18"/>
              </w:rPr>
              <w:t xml:space="preserve">£[    ]</w:t>
            </w:r>
          </w:p>
        </w:tc>
        <w:tc>
          <w:tcPr>
            <w:tcW w:type="dxa" w:w="1600"/>
            <w:shd w:fill="F2F4F7" w:color="auto" w:val="clear"/>
            <w:tcMar>
              <w:top w:type="dxa" w:w="60"/>
              <w:left w:type="dxa" w:w="80"/>
              <w:bottom w:type="dxa" w:w="60"/>
              <w:right w:type="dxa" w:w="80"/>
            </w:tcMar>
          </w:tcPr>
          <w:p>
            <w:r>
              <w:rPr>
                <w:color w:val="1B2A4A"/>
                <w:sz w:val="18"/>
                <w:szCs w:val="18"/>
              </w:rPr>
              <w:t xml:space="preserve">[config]</w:t>
            </w:r>
          </w:p>
        </w:tc>
        <w:tc>
          <w:tcPr>
            <w:tcW w:type="dxa" w:w="1600"/>
            <w:shd w:fill="F2F4F7" w:color="auto" w:val="clear"/>
            <w:tcMar>
              <w:top w:type="dxa" w:w="60"/>
              <w:left w:type="dxa" w:w="80"/>
              <w:bottom w:type="dxa" w:w="60"/>
              <w:right w:type="dxa" w:w="80"/>
            </w:tcMar>
          </w:tcPr>
          <w:p>
            <w:r>
              <w:rPr>
                <w:color w:val="1B2A4A"/>
                <w:sz w:val="18"/>
                <w:szCs w:val="18"/>
              </w:rPr>
              <w:t xml:space="preserve">[basis]</w:t>
            </w:r>
          </w:p>
        </w:tc>
        <w:tc>
          <w:tcPr>
            <w:tcW w:type="dxa" w:w="2534"/>
            <w:shd w:fill="F2F4F7" w:color="auto" w:val="clear"/>
            <w:tcMar>
              <w:top w:type="dxa" w:w="60"/>
              <w:left w:type="dxa" w:w="80"/>
              <w:bottom w:type="dxa" w:w="60"/>
              <w:right w:type="dxa" w:w="80"/>
            </w:tcMar>
          </w:tcPr>
          <w:p>
            <w:r>
              <w:rPr>
                <w:color w:val="1B2A4A"/>
                <w:sz w:val="18"/>
                <w:szCs w:val="18"/>
              </w:rPr>
              <w:t xml:space="preserve">[note]</w:t>
            </w:r>
          </w:p>
        </w:tc>
      </w:tr>
    </w:tbl>
    <w:p>
      <w:pPr>
        <w:spacing w:before="120"/>
      </w:pPr>
      <w:r>
        <w:rPr>
          <w:color w:val="1B2A4A"/>
          <w:sz w:val="21"/>
          <w:szCs w:val="21"/>
        </w:rPr>
        <w:t xml:space="preserve">The spread between the lowest comparable submission (£[    ]) and the highest (£[    ]) is £[    ] — a [  ]% variance, driven predominantly by [drivers].</w:t>
      </w:r>
    </w:p>
    <w:p>
      <w:pPr>
        <w:spacing w:before="120"/>
      </w:pPr>
      <w:r>
        <w:rPr>
          <w:b/>
          <w:bCs/>
          <w:sz w:val="21"/>
          <w:szCs w:val="21"/>
        </w:rPr>
        <w:t xml:space="preserve">Recommendation: [pre-order action, e.g. commission additional survey / confirm specification / fix quantities before order].</w:t>
      </w:r>
    </w:p>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08</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RECOMMENDATION</w:t>
            </w:r>
          </w:p>
        </w:tc>
      </w:tr>
    </w:tbl>
    <w:p>
      <w:pPr>
        <w:spacing w:after="120" w:before="60"/>
      </w:pPr>
      <w:r>
        <w:rPr>
          <w:i/>
          <w:iCs/>
          <w:color w:val="667085"/>
          <w:sz w:val="19"/>
          <w:szCs w:val="19"/>
        </w:rPr>
        <w:t xml:space="preserve">» If a firm recommendation cannot yet be made, say why, then give conditional recommendations. Be explicit about the clarifications each preferred tenderer must resolve before award.</w:t>
      </w:r>
    </w:p>
    <w:p>
      <w:pPr>
        <w:spacing w:after="120" w:before="60"/>
      </w:pPr>
      <w:r>
        <w:rPr>
          <w:color w:val="1B2A4A"/>
          <w:sz w:val="21"/>
          <w:szCs w:val="21"/>
        </w:rPr>
        <w:t xml:space="preserve">A firm and unconditional recommendation [can / cannot] be made at this stage due to:</w:t>
      </w:r>
    </w:p>
    <w:p>
      <w:pPr>
        <w:pStyle w:val="ListParagraph"/>
        <w:numPr>
          <w:ilvl w:val="0"/>
          <w:numId w:val="2"/>
        </w:numPr>
        <w:spacing w:after="20" w:before="20"/>
      </w:pPr>
      <w:r>
        <w:rPr>
          <w:color w:val="1B2A4A"/>
          <w:sz w:val="21"/>
          <w:szCs w:val="21"/>
        </w:rPr>
        <w:t xml:space="preserve">[Outstanding item preventing an unconditional recommendation]</w:t>
      </w:r>
    </w:p>
    <w:p>
      <w:pPr>
        <w:pStyle w:val="ListParagraph"/>
        <w:numPr>
          <w:ilvl w:val="0"/>
          <w:numId w:val="2"/>
        </w:numPr>
        <w:spacing w:after="20" w:before="20"/>
      </w:pPr>
      <w:r>
        <w:rPr>
          <w:color w:val="1B2A4A"/>
          <w:sz w:val="21"/>
          <w:szCs w:val="21"/>
        </w:rPr>
        <w:t xml:space="preserve">[Outstanding item preventing an unconditional recommendation]</w:t>
      </w:r>
    </w:p>
    <w:p>
      <w:pPr>
        <w:pStyle w:val="Heading2"/>
        <w:spacing w:after="80" w:before="240"/>
      </w:pPr>
      <w:r>
        <w:rPr>
          <w:b/>
          <w:bCs/>
          <w:sz w:val="24"/>
          <w:szCs w:val="24"/>
        </w:rPr>
        <w:t xml:space="preserve">8.1  Preferred Tenderers (subject to clarification)</w:t>
      </w:r>
    </w:p>
    <w:p>
      <w:pPr>
        <w:spacing w:after="40" w:before="120"/>
      </w:pPr>
      <w:r>
        <w:rPr>
          <w:b/>
          <w:bCs/>
          <w:sz w:val="22"/>
          <w:szCs w:val="22"/>
        </w:rPr>
        <w:t xml:space="preserve">[Preferred tenderer]</w:t>
      </w:r>
    </w:p>
    <w:p>
      <w:pPr>
        <w:pStyle w:val="ListParagraph"/>
        <w:numPr>
          <w:ilvl w:val="0"/>
          <w:numId w:val="2"/>
        </w:numPr>
        <w:spacing w:after="20" w:before="20"/>
      </w:pPr>
      <w:r>
        <w:rPr>
          <w:color w:val="1B2A4A"/>
          <w:sz w:val="21"/>
          <w:szCs w:val="21"/>
        </w:rPr>
        <w:t xml:space="preserve">[Reason it is preferred]</w:t>
      </w:r>
    </w:p>
    <w:p>
      <w:pPr>
        <w:pStyle w:val="ListParagraph"/>
        <w:numPr>
          <w:ilvl w:val="0"/>
          <w:numId w:val="2"/>
        </w:numPr>
        <w:spacing w:after="20" w:before="20"/>
      </w:pPr>
      <w:r>
        <w:rPr>
          <w:color w:val="1B2A4A"/>
          <w:sz w:val="21"/>
          <w:szCs w:val="21"/>
        </w:rPr>
        <w:t xml:space="preserve">Key clarification required: [what must be resolved before award]</w:t>
      </w:r>
    </w:p>
    <w:p>
      <w:pPr>
        <w:pStyle w:val="Heading2"/>
        <w:spacing w:after="80" w:before="240"/>
      </w:pPr>
      <w:r>
        <w:rPr>
          <w:b/>
          <w:bCs/>
          <w:sz w:val="24"/>
          <w:szCs w:val="24"/>
        </w:rPr>
        <w:t xml:space="preserve">8.2  Not Recommended</w:t>
      </w:r>
    </w:p>
    <w:p>
      <w:pPr>
        <w:pStyle w:val="ListParagraph"/>
        <w:numPr>
          <w:ilvl w:val="0"/>
          <w:numId w:val="2"/>
        </w:numPr>
        <w:spacing w:after="20" w:before="20"/>
      </w:pPr>
      <w:r>
        <w:rPr>
          <w:color w:val="1B2A4A"/>
          <w:sz w:val="21"/>
          <w:szCs w:val="21"/>
        </w:rPr>
        <w:t xml:space="preserve">[Contractor(s)] — [reason]</w:t>
      </w:r>
    </w:p>
    <w:p>
      <w:pPr>
        <w:spacing w:before="240"/>
      </w:pP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00"/>
        <w:gridCol w:w="8834"/>
      </w:tblGrid>
      <w:tr>
        <w:tc>
          <w:tcPr>
            <w:tcW w:type="dxa" w:w="800"/>
            <w:shd w:fill="1B2A4A" w:color="auto" w:val="clear"/>
            <w:tcMar>
              <w:top w:type="dxa" w:w="120"/>
              <w:left w:type="dxa" w:w="160"/>
              <w:bottom w:type="dxa" w:w="120"/>
              <w:right w:type="dxa" w:w="120"/>
            </w:tcMar>
            <w:vAlign w:val="center"/>
          </w:tcPr>
          <w:p>
            <w:pPr>
              <w:jc w:val="center"/>
            </w:pPr>
            <w:r>
              <w:rPr>
                <w:b/>
                <w:bCs/>
                <w:color w:val="C8972B"/>
                <w:sz w:val="28"/>
                <w:szCs w:val="28"/>
              </w:rPr>
              <w:t xml:space="preserve">09</w:t>
            </w:r>
          </w:p>
        </w:tc>
        <w:tc>
          <w:tcPr>
            <w:tcW w:type="dxa" w:w="8834"/>
            <w:shd w:fill="F2F4F7" w:color="auto" w:val="clear"/>
            <w:tcMar>
              <w:top w:type="dxa" w:w="120"/>
              <w:left w:type="dxa" w:w="200"/>
              <w:bottom w:type="dxa" w:w="120"/>
              <w:right w:type="dxa" w:w="160"/>
            </w:tcMar>
            <w:vAlign w:val="center"/>
          </w:tcPr>
          <w:p>
            <w:pPr>
              <w:pStyle w:val="Heading1"/>
              <w:spacing w:after="0" w:before="0"/>
            </w:pPr>
            <w:r>
              <w:rPr>
                <w:b/>
                <w:bCs/>
                <w:sz w:val="28"/>
                <w:szCs w:val="28"/>
              </w:rPr>
              <w:t xml:space="preserve">KEY RED FLAGS</w:t>
            </w:r>
          </w:p>
        </w:tc>
      </w:tr>
    </w:tbl>
    <w:p>
      <w:pPr>
        <w:spacing w:after="120" w:before="60"/>
      </w:pPr>
      <w:r>
        <w:rPr>
          <w:i/>
          <w:iCs/>
          <w:color w:val="667085"/>
          <w:sz w:val="19"/>
          <w:szCs w:val="19"/>
        </w:rPr>
        <w:t xml:space="preserve">» The one-page risk register the reviewer / lender reads first. RAG-rate each flag, state the detail, and give a specific recommended action. Everything material from Sections 3–8 should surface here.</w:t>
      </w:r>
    </w:p>
    <w:p>
      <w:pPr>
        <w:spacing w:after="100"/>
      </w:pPr>
      <w:r>
        <w:rPr>
          <w:b/>
          <w:bCs/>
          <w:sz w:val="19"/>
          <w:szCs w:val="19"/>
        </w:rPr>
        <w:t xml:space="preserve">RAG legend:  </w:t>
      </w:r>
      <w:r>
        <w:rPr>
          <w:sz w:val="19"/>
          <w:szCs w:val="19"/>
        </w:rPr>
        <w:t xml:space="preserve">🔴 Critical — resolve before award    </w:t>
      </w:r>
      <w:r>
        <w:rPr>
          <w:sz w:val="19"/>
          <w:szCs w:val="19"/>
        </w:rPr>
        <w:t xml:space="preserve">🟠 Significant — resolve at sub-contract    </w:t>
      </w:r>
      <w:r>
        <w:rPr>
          <w:sz w:val="19"/>
          <w:szCs w:val="19"/>
        </w:rPr>
        <w:t xml:space="preserve">🟡 Monitor — clarify / record</w:t>
      </w:r>
    </w:p>
    <w:tbl>
      <w:tblPr>
        <w:tblW w:type="dxa" w:w="9434"/>
        <w:tblBorders>
          <w:top w:val="single" w:color="D0D5DD" w:sz="4"/>
          <w:left w:val="single" w:color="D0D5DD" w:sz="4"/>
          <w:bottom w:val="single" w:color="D0D5DD" w:sz="4"/>
          <w:right w:val="single" w:color="D0D5DD" w:sz="4"/>
          <w:insideH w:val="single" w:color="D0D5DD" w:sz="4"/>
          <w:insideV w:val="single" w:color="D0D5DD" w:sz="4"/>
        </w:tblBorders>
      </w:tblPr>
      <w:tblGrid>
        <w:gridCol w:w="800"/>
        <w:gridCol w:w="2200"/>
        <w:gridCol w:w="3717"/>
        <w:gridCol w:w="2717"/>
      </w:tblGrid>
      <w:tr>
        <w:trPr>
          <w:tblHeader/>
        </w:trPr>
        <w:tc>
          <w:tcPr>
            <w:tcW w:type="dxa" w:w="800"/>
            <w:shd w:fill="1B2A4A" w:color="auto" w:val="clear"/>
            <w:tcMar>
              <w:top w:type="dxa" w:w="60"/>
              <w:left w:type="dxa" w:w="80"/>
              <w:bottom w:type="dxa" w:w="60"/>
              <w:right w:type="dxa" w:w="80"/>
            </w:tcMar>
            <w:vAlign w:val="center"/>
          </w:tcPr>
          <w:p>
            <w:r>
              <w:rPr>
                <w:b/>
                <w:bCs/>
                <w:color w:val="FFFFFF"/>
                <w:sz w:val="18"/>
                <w:szCs w:val="18"/>
              </w:rPr>
              <w:t xml:space="preserve">RAG</w:t>
            </w:r>
          </w:p>
        </w:tc>
        <w:tc>
          <w:tcPr>
            <w:tcW w:type="dxa" w:w="2200"/>
            <w:shd w:fill="1B2A4A" w:color="auto" w:val="clear"/>
            <w:tcMar>
              <w:top w:type="dxa" w:w="60"/>
              <w:left w:type="dxa" w:w="80"/>
              <w:bottom w:type="dxa" w:w="60"/>
              <w:right w:type="dxa" w:w="80"/>
            </w:tcMar>
            <w:vAlign w:val="center"/>
          </w:tcPr>
          <w:p>
            <w:r>
              <w:rPr>
                <w:b/>
                <w:bCs/>
                <w:color w:val="FFFFFF"/>
                <w:sz w:val="18"/>
                <w:szCs w:val="18"/>
              </w:rPr>
              <w:t xml:space="preserve">Red Flag</w:t>
            </w:r>
          </w:p>
        </w:tc>
        <w:tc>
          <w:tcPr>
            <w:tcW w:type="dxa" w:w="3717"/>
            <w:shd w:fill="1B2A4A" w:color="auto" w:val="clear"/>
            <w:tcMar>
              <w:top w:type="dxa" w:w="60"/>
              <w:left w:type="dxa" w:w="80"/>
              <w:bottom w:type="dxa" w:w="60"/>
              <w:right w:type="dxa" w:w="80"/>
            </w:tcMar>
            <w:vAlign w:val="center"/>
          </w:tcPr>
          <w:p>
            <w:r>
              <w:rPr>
                <w:b/>
                <w:bCs/>
                <w:color w:val="FFFFFF"/>
                <w:sz w:val="18"/>
                <w:szCs w:val="18"/>
              </w:rPr>
              <w:t xml:space="preserve">Detail</w:t>
            </w:r>
          </w:p>
        </w:tc>
        <w:tc>
          <w:tcPr>
            <w:tcW w:type="dxa" w:w="2717"/>
            <w:shd w:fill="1B2A4A" w:color="auto" w:val="clear"/>
            <w:tcMar>
              <w:top w:type="dxa" w:w="60"/>
              <w:left w:type="dxa" w:w="80"/>
              <w:bottom w:type="dxa" w:w="60"/>
              <w:right w:type="dxa" w:w="80"/>
            </w:tcMar>
            <w:vAlign w:val="center"/>
          </w:tcPr>
          <w:p>
            <w:r>
              <w:rPr>
                <w:b/>
                <w:bCs/>
                <w:color w:val="FFFFFF"/>
                <w:sz w:val="18"/>
                <w:szCs w:val="18"/>
              </w:rPr>
              <w:t xml:space="preserve">Recommended Action</w:t>
            </w:r>
          </w:p>
        </w:tc>
      </w:tr>
      <w:tr>
        <w:tc>
          <w:tcPr>
            <w:tcW w:type="dxa" w:w="800"/>
            <w:tcMar>
              <w:top w:type="dxa" w:w="60"/>
              <w:left w:type="dxa" w:w="80"/>
              <w:bottom w:type="dxa" w:w="60"/>
              <w:right w:type="dxa" w:w="80"/>
            </w:tcMar>
          </w:tcPr>
          <w:p>
            <w:r>
              <w:rPr>
                <w:color w:val="1B2A4A"/>
                <w:sz w:val="18"/>
                <w:szCs w:val="18"/>
              </w:rPr>
              <w:t xml:space="preserve">🔴</w:t>
            </w:r>
          </w:p>
        </w:tc>
        <w:tc>
          <w:tcPr>
            <w:tcW w:type="dxa" w:w="2200"/>
            <w:tcMar>
              <w:top w:type="dxa" w:w="60"/>
              <w:left w:type="dxa" w:w="80"/>
              <w:bottom w:type="dxa" w:w="60"/>
              <w:right w:type="dxa" w:w="80"/>
            </w:tcMar>
          </w:tcPr>
          <w:p>
            <w:r>
              <w:rPr>
                <w:color w:val="1B2A4A"/>
                <w:sz w:val="18"/>
                <w:szCs w:val="18"/>
              </w:rPr>
              <w:t xml:space="preserve">[Flag]</w:t>
            </w:r>
          </w:p>
        </w:tc>
        <w:tc>
          <w:tcPr>
            <w:tcW w:type="dxa" w:w="3717"/>
            <w:tcMar>
              <w:top w:type="dxa" w:w="60"/>
              <w:left w:type="dxa" w:w="80"/>
              <w:bottom w:type="dxa" w:w="60"/>
              <w:right w:type="dxa" w:w="80"/>
            </w:tcMar>
          </w:tcPr>
          <w:p>
            <w:r>
              <w:rPr>
                <w:color w:val="1B2A4A"/>
                <w:sz w:val="18"/>
                <w:szCs w:val="18"/>
              </w:rPr>
              <w:t xml:space="preserve">[Why it matters commercially]</w:t>
            </w:r>
          </w:p>
        </w:tc>
        <w:tc>
          <w:tcPr>
            <w:tcW w:type="dxa" w:w="2717"/>
            <w:tcMar>
              <w:top w:type="dxa" w:w="60"/>
              <w:left w:type="dxa" w:w="80"/>
              <w:bottom w:type="dxa" w:w="60"/>
              <w:right w:type="dxa" w:w="80"/>
            </w:tcMar>
          </w:tcPr>
          <w:p>
            <w:r>
              <w:rPr>
                <w:color w:val="1B2A4A"/>
                <w:sz w:val="18"/>
                <w:szCs w:val="18"/>
              </w:rPr>
              <w:t xml:space="preserve">[Specific action + owner]</w:t>
            </w:r>
          </w:p>
        </w:tc>
      </w:tr>
      <w:tr>
        <w:tc>
          <w:tcPr>
            <w:tcW w:type="dxa" w:w="800"/>
            <w:shd w:fill="F2F4F7" w:color="auto" w:val="clear"/>
            <w:tcMar>
              <w:top w:type="dxa" w:w="60"/>
              <w:left w:type="dxa" w:w="80"/>
              <w:bottom w:type="dxa" w:w="60"/>
              <w:right w:type="dxa" w:w="80"/>
            </w:tcMar>
          </w:tcPr>
          <w:p>
            <w:r>
              <w:rPr>
                <w:color w:val="1B2A4A"/>
                <w:sz w:val="18"/>
                <w:szCs w:val="18"/>
              </w:rPr>
              <w:t xml:space="preserve">🟠</w:t>
            </w:r>
          </w:p>
        </w:tc>
        <w:tc>
          <w:tcPr>
            <w:tcW w:type="dxa" w:w="2200"/>
            <w:shd w:fill="F2F4F7" w:color="auto" w:val="clear"/>
            <w:tcMar>
              <w:top w:type="dxa" w:w="60"/>
              <w:left w:type="dxa" w:w="80"/>
              <w:bottom w:type="dxa" w:w="60"/>
              <w:right w:type="dxa" w:w="80"/>
            </w:tcMar>
          </w:tcPr>
          <w:p>
            <w:r>
              <w:rPr>
                <w:color w:val="1B2A4A"/>
                <w:sz w:val="18"/>
                <w:szCs w:val="18"/>
              </w:rPr>
              <w:t xml:space="preserve">[Flag]</w:t>
            </w:r>
          </w:p>
        </w:tc>
        <w:tc>
          <w:tcPr>
            <w:tcW w:type="dxa" w:w="3717"/>
            <w:shd w:fill="F2F4F7" w:color="auto" w:val="clear"/>
            <w:tcMar>
              <w:top w:type="dxa" w:w="60"/>
              <w:left w:type="dxa" w:w="80"/>
              <w:bottom w:type="dxa" w:w="60"/>
              <w:right w:type="dxa" w:w="80"/>
            </w:tcMar>
          </w:tcPr>
          <w:p>
            <w:r>
              <w:rPr>
                <w:color w:val="1B2A4A"/>
                <w:sz w:val="18"/>
                <w:szCs w:val="18"/>
              </w:rPr>
              <w:t xml:space="preserve">[Why it matters commercially]</w:t>
            </w:r>
          </w:p>
        </w:tc>
        <w:tc>
          <w:tcPr>
            <w:tcW w:type="dxa" w:w="2717"/>
            <w:shd w:fill="F2F4F7" w:color="auto" w:val="clear"/>
            <w:tcMar>
              <w:top w:type="dxa" w:w="60"/>
              <w:left w:type="dxa" w:w="80"/>
              <w:bottom w:type="dxa" w:w="60"/>
              <w:right w:type="dxa" w:w="80"/>
            </w:tcMar>
          </w:tcPr>
          <w:p>
            <w:r>
              <w:rPr>
                <w:color w:val="1B2A4A"/>
                <w:sz w:val="18"/>
                <w:szCs w:val="18"/>
              </w:rPr>
              <w:t xml:space="preserve">[Specific action + owner]</w:t>
            </w:r>
          </w:p>
        </w:tc>
      </w:tr>
      <w:tr>
        <w:tc>
          <w:tcPr>
            <w:tcW w:type="dxa" w:w="800"/>
            <w:tcMar>
              <w:top w:type="dxa" w:w="60"/>
              <w:left w:type="dxa" w:w="80"/>
              <w:bottom w:type="dxa" w:w="60"/>
              <w:right w:type="dxa" w:w="80"/>
            </w:tcMar>
          </w:tcPr>
          <w:p>
            <w:r>
              <w:rPr>
                <w:color w:val="1B2A4A"/>
                <w:sz w:val="18"/>
                <w:szCs w:val="18"/>
              </w:rPr>
              <w:t xml:space="preserve">🟡</w:t>
            </w:r>
          </w:p>
        </w:tc>
        <w:tc>
          <w:tcPr>
            <w:tcW w:type="dxa" w:w="2200"/>
            <w:tcMar>
              <w:top w:type="dxa" w:w="60"/>
              <w:left w:type="dxa" w:w="80"/>
              <w:bottom w:type="dxa" w:w="60"/>
              <w:right w:type="dxa" w:w="80"/>
            </w:tcMar>
          </w:tcPr>
          <w:p>
            <w:r>
              <w:rPr>
                <w:color w:val="1B2A4A"/>
                <w:sz w:val="18"/>
                <w:szCs w:val="18"/>
              </w:rPr>
              <w:t xml:space="preserve">[Flag]</w:t>
            </w:r>
          </w:p>
        </w:tc>
        <w:tc>
          <w:tcPr>
            <w:tcW w:type="dxa" w:w="3717"/>
            <w:tcMar>
              <w:top w:type="dxa" w:w="60"/>
              <w:left w:type="dxa" w:w="80"/>
              <w:bottom w:type="dxa" w:w="60"/>
              <w:right w:type="dxa" w:w="80"/>
            </w:tcMar>
          </w:tcPr>
          <w:p>
            <w:r>
              <w:rPr>
                <w:color w:val="1B2A4A"/>
                <w:sz w:val="18"/>
                <w:szCs w:val="18"/>
              </w:rPr>
              <w:t xml:space="preserve">[Why it matters commercially]</w:t>
            </w:r>
          </w:p>
        </w:tc>
        <w:tc>
          <w:tcPr>
            <w:tcW w:type="dxa" w:w="2717"/>
            <w:tcMar>
              <w:top w:type="dxa" w:w="60"/>
              <w:left w:type="dxa" w:w="80"/>
              <w:bottom w:type="dxa" w:w="60"/>
              <w:right w:type="dxa" w:w="80"/>
            </w:tcMar>
          </w:tcPr>
          <w:p>
            <w:r>
              <w:rPr>
                <w:color w:val="1B2A4A"/>
                <w:sz w:val="18"/>
                <w:szCs w:val="18"/>
              </w:rPr>
              <w:t xml:space="preserve">[Specific action + owner]</w:t>
            </w:r>
          </w:p>
        </w:tc>
      </w:tr>
    </w:tbl>
    <w:p>
      <w:pPr>
        <w:spacing w:before="300"/>
      </w:pPr>
      <w:r>
        <w:rPr>
          <w:i/>
          <w:iCs/>
          <w:sz w:val="19"/>
          <w:szCs w:val="19"/>
        </w:rPr>
        <w:t xml:space="preserve">End of Tender Analysis — [Project], [Package]</w:t>
      </w:r>
    </w:p>
    <w:p>
      <w:r>
        <w:rPr>
          <w:i/>
          <w:iCs/>
          <w:sz w:val="19"/>
          <w:szCs w:val="19"/>
        </w:rPr>
        <w:t xml:space="preserve">Prepared for internal approval and due diligence purposes only. Based solely on documents provided. Date of analysis: [INSERT DATE].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tabs>
        <w:tab w:val="right" w:pos="9026"/>
      </w:tabs>
    </w:pPr>
    <w:r>
      <w:rPr>
        <w:color w:val="667085"/>
        <w:sz w:val="16"/>
        <w:szCs w:val="16"/>
      </w:rPr>
      <w:t xml:space="preserve">Meridian Construction &amp; Refurbishment Ltd</w:t>
    </w:r>
    <w:r>
      <w:rPr>
        <w:sz w:val="16"/>
        <w:szCs w:val="16"/>
      </w:rPr>
      <w:t xml:space="preserve">	</w:t>
    </w:r>
    <w:r>
      <w:rPr>
        <w:color w:val="667085"/>
        <w:sz w:val="16"/>
        <w:szCs w:val="16"/>
      </w:rPr>
      <w:t xml:space="preserve">Page </w:t>
    </w:r>
    <w:r>
      <w:rPr>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4"/>
      <w:tblBorders>
        <w:top w:val="none" w:color="FFFFFF" w:sz="0"/>
        <w:left w:val="none" w:color="FFFFFF" w:sz="0"/>
        <w:bottom w:val="none" w:color="FFFFFF" w:sz="0"/>
        <w:right w:val="none" w:color="FFFFFF" w:sz="0"/>
        <w:insideH w:val="single" w:color="auto" w:sz="4"/>
        <w:insideV w:val="single" w:color="auto" w:sz="4"/>
      </w:tblBorders>
    </w:tblPr>
    <w:tblGrid>
      <w:gridCol w:w="6400"/>
      <w:gridCol w:w="3234"/>
    </w:tblGrid>
    <w:tr>
      <w:tc>
        <w:tcPr>
          <w:tcW w:type="dxa" w:w="6400"/>
          <w:tcBorders>
            <w:top w:val="none" w:color="FFFFFF" w:sz="0"/>
            <w:left w:val="none" w:color="FFFFFF" w:sz="0"/>
            <w:bottom w:val="none" w:color="FFFFFF" w:sz="0"/>
            <w:right w:val="none" w:color="FFFFFF" w:sz="0"/>
          </w:tcBorders>
          <w:shd w:fill="1B2A4A" w:color="auto" w:val="clear"/>
          <w:tcMar>
            <w:top w:type="dxa" w:w="60"/>
            <w:left w:type="dxa" w:w="160"/>
            <w:bottom w:type="dxa" w:w="60"/>
            <w:right w:type="dxa" w:w="100"/>
          </w:tcMar>
        </w:tcPr>
        <w:p>
          <w:r>
            <w:rPr>
              <w:b/>
              <w:bCs/>
              <w:color w:val="FFFFFF"/>
              <w:sz w:val="18"/>
              <w:szCs w:val="18"/>
            </w:rPr>
            <w:t xml:space="preserve">[PROJECT] — TENDER ANALYSIS</w:t>
          </w:r>
        </w:p>
      </w:tc>
      <w:tc>
        <w:tcPr>
          <w:tcW w:type="dxa" w:w="3234"/>
          <w:tcBorders>
            <w:top w:val="none" w:color="FFFFFF" w:sz="0"/>
            <w:left w:val="none" w:color="FFFFFF" w:sz="0"/>
            <w:bottom w:val="none" w:color="FFFFFF" w:sz="0"/>
            <w:right w:val="none" w:color="FFFFFF" w:sz="0"/>
          </w:tcBorders>
          <w:shd w:fill="1B2A4A" w:color="auto" w:val="clear"/>
          <w:tcMar>
            <w:top w:type="dxa" w:w="60"/>
            <w:left w:type="dxa" w:w="100"/>
            <w:bottom w:type="dxa" w:w="60"/>
            <w:right w:type="dxa" w:w="160"/>
          </w:tcMar>
        </w:tcPr>
        <w:p>
          <w:pPr>
            <w:jc w:val="right"/>
          </w:pPr>
          <w:r>
            <w:rPr>
              <w:b/>
              <w:bCs/>
              <w:color w:val="C8972B"/>
              <w:sz w:val="18"/>
              <w:szCs w:val="18"/>
            </w:rPr>
            <w:t xml:space="preserve">MCR-XX-XXX-TA-001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removePersonalInformation/>
  <w:removeDateAndTime/>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before="240"/>
    </w:pPr>
    <w:rPr>
      <w:rFonts w:ascii="Arial" w:cs="Arial" w:eastAsia="Arial" w:hAnsi="Arial"/>
      <w:b/>
      <w:bCs/>
      <w:color w:val="000000"/>
      <w:sz w:val="28"/>
      <w:szCs w:val="28"/>
    </w:rPr>
  </w:style>
  <w:style w:type="paragraph" w:styleId="Heading2">
    <w:name w:val="Heading 2"/>
    <w:basedOn w:val="Normal"/>
    <w:next w:val="Normal"/>
    <w:qFormat/>
    <w:pPr>
      <w:spacing w:after="80" w:before="240"/>
    </w:pPr>
    <w:rPr>
      <w:rFonts w:ascii="Arial" w:cs="Arial" w:eastAsia="Arial" w:hAnsi="Arial"/>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21"/>
      <w:szCs w:val="21"/>
    </w:rPr>
  </w:style>
</w:styles>
</file>

<file path=word/_rels/comments.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standalone='yes'?>
<Relationships xmlns="http://schemas.openxmlformats.org/package/2006/relationships"/>
</file>

<file path=word/_rels/fontTable.xml.rels><?xml version='1.0' encoding='UTF-8' standalone='yes'?>
<Relationships xmlns="http://schemas.openxmlformats.org/package/2006/relationships"/>
</file>

<file path=word/_rels/footer1.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Analysis Report — Template</dc:title>
  <dc:creator>Joan Raza</dc:creator>
  <cp:lastModifiedBy>Joan Raza</cp:lastModifiedBy>
  <cp:revision>1</cp:revision>
  <dcterms:created xsi:type="dcterms:W3CDTF">2026-08-19T15:12:51Z</dcterms:created>
  <dcterms:modified xsi:type="dcterms:W3CDTF">2026-08-19T15:12:51Z</dcterms:modified>
  <dc:description/>
  <cp:keywords/>
  <cp:category/>
</cp:coreProperties>
</file>