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i w:val="false"/>
          <w:iCs w:val="false"/>
          <w:color w:val="2E5077"/>
          <w:sz w:val="20"/>
          <w:szCs w:val="20"/>
        </w:rPr>
        <w:t xml:space="preserve">MERIDIAN CONSTRUCTION &amp; REFURBISHMENT LTD</w:t>
      </w:r>
    </w:p>
    <w:p>
      <w:pPr>
        <w:pBdr>
          <w:bottom w:val="single" w:color="1F3A5F" w:sz="18"/>
        </w:pBdr>
        <w:spacing w:after="40"/>
      </w:pPr>
      <w:r>
        <w:rPr>
          <w:rFonts w:ascii="Calibri" w:cs="Calibri" w:eastAsia="Calibri" w:hAnsi="Calibri"/>
          <w:b/>
          <w:bCs/>
          <w:i w:val="false"/>
          <w:iCs w:val="false"/>
          <w:color w:val="1F3A5F"/>
          <w:sz w:val="40"/>
          <w:szCs w:val="40"/>
        </w:rPr>
        <w:t xml:space="preserve">PRE-CONSTRUCTION COMMERCIAL PACK</w:t>
      </w:r>
    </w:p>
    <w:p>
      <w:pPr>
        <w:spacing w:after="200"/>
      </w:pPr>
      <w:r>
        <w:rPr>
          <w:rFonts w:ascii="Calibri" w:cs="Calibri" w:eastAsia="Calibri" w:hAnsi="Calibri"/>
          <w:b w:val="false"/>
          <w:bCs w:val="false"/>
          <w:i/>
          <w:iCs/>
          <w:color w:val="555555"/>
          <w:sz w:val="19"/>
          <w:szCs w:val="19"/>
        </w:rPr>
        <w:t xml:space="preserve">Document Register &amp; Requirements Schedule  ·  Commercial Department Deliverables at Project Commencement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Project</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 Insert project name ]</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Contract</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JCT Design &amp; Build [ year ]</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Document reference</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[PROJECT]–CM–PCP–001</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Revision</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P01</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Date</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 Insert date ]</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Prepared by</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Commercial Department</w:t>
            </w:r>
          </w:p>
        </w:tc>
      </w:tr>
      <w:tr>
        <w:tc>
          <w:tcPr>
            <w:tcW w:type="dxa" w:w="2600"/>
            <w:shd w:fill="1F3A5F" w:color="auto" w:val="clear"/>
            <w:tcMar>
              <w:top w:type="dxa" w:w="50"/>
              <w:left w:type="dxa" w:w="100"/>
              <w:bottom w:type="dxa" w:w="50"/>
              <w:right w:type="dxa" w:w="100"/>
            </w:tcMar>
          </w:tcPr>
          <w:p>
            <w:pPr>
              <w:spacing w:after="0" w:before="0" w:line="240"/>
              <w:jc w:val="left"/>
            </w:pPr>
            <w:r>
              <w:rPr>
                <w:rFonts w:ascii="Calibri" w:cs="Calibri" w:eastAsia="Calibri" w:hAnsi="Calibri"/>
                <w:b/>
                <w:bCs/>
                <w:i w:val="false"/>
                <w:iCs w:val="false"/>
                <w:color w:val="FFFFFF"/>
                <w:sz w:val="18"/>
                <w:szCs w:val="18"/>
              </w:rPr>
              <w:t xml:space="preserve">Approved by</w:t>
            </w:r>
          </w:p>
        </w:tc>
        <w:tc>
          <w:tcPr>
            <w:tcW w:type="dxa" w:w="7146"/>
            <w:tcMar>
              <w:top w:type="dxa" w:w="50"/>
              <w:left w:type="dxa" w:w="100"/>
              <w:bottom w:type="dxa" w:w="50"/>
              <w:right w:type="dxa" w:w="100"/>
            </w:tcMar>
          </w:tcPr>
          <w:p>
            <w:pPr>
              <w:spacing w:after="0" w:before="0" w:line="240"/>
              <w:jc w:val="left"/>
            </w:pPr>
            <w:r>
              <w:rPr>
                <w:rFonts w:ascii="Calibri" w:cs="Calibri" w:eastAsia="Calibri" w:hAnsi="Calibri"/>
                <w:b w:val="false"/>
                <w:bCs w:val="false"/>
                <w:i w:val="false"/>
                <w:iCs w:val="false"/>
                <w:color w:val="222222"/>
                <w:sz w:val="18"/>
                <w:szCs w:val="18"/>
              </w:rPr>
              <w:t xml:space="preserve">[ Commercial Manager ]</w:t>
            </w:r>
          </w:p>
        </w:tc>
      </w:tr>
    </w:tbl>
    <w:p>
      <w:pPr>
        <w:spacing w:after="200"/>
      </w:pPr>
      <w:r>
        <w:rPr>
          <w:rFonts w:ascii="Calibri" w:cs="Calibri" w:eastAsia="Calibri" w:hAnsi="Calibri"/>
          <w:b w:val="false"/>
          <w:bCs w:val="false"/>
          <w:i w:val="false"/>
          <w:iCs w:val="false"/>
          <w:color w:val="222222"/>
          <w:sz w:val="18"/>
          <w:szCs w:val="18"/>
        </w:rPr>
        <w:t xml:space="preserve"/>
      </w:r>
    </w:p>
    <w:p>
      <w:pPr>
        <w:spacing w:after="60"/>
      </w:pPr>
      <w:r>
        <w:rPr>
          <w:rFonts w:ascii="Calibri" w:cs="Calibri" w:eastAsia="Calibri" w:hAnsi="Calibri"/>
          <w:b/>
          <w:bCs/>
          <w:i w:val="false"/>
          <w:iCs w:val="false"/>
          <w:color w:val="1F3A5F"/>
          <w:sz w:val="24"/>
          <w:szCs w:val="24"/>
        </w:rPr>
        <w:t xml:space="preserve">1.  Purpose</w:t>
      </w:r>
    </w:p>
    <w:p>
      <w:pPr>
        <w:spacing w:after="120" w:before="0" w:line="260"/>
        <w:jc w:val="left"/>
      </w:pPr>
      <w:r>
        <w:rPr>
          <w:rFonts w:ascii="Calibri" w:cs="Calibri" w:eastAsia="Calibri" w:hAnsi="Calibri"/>
          <w:b w:val="false"/>
          <w:bCs w:val="false"/>
          <w:i w:val="false"/>
          <w:iCs w:val="false"/>
          <w:color w:val="222222"/>
          <w:sz w:val="19"/>
          <w:szCs w:val="19"/>
        </w:rPr>
        <w:t xml:space="preserve">This register defines the commercial documents the Commercial Department must establish, issue or hold at contract award, before and during mobilisation. Together they form the commercial baseline of the project: the basis on which every cost, valuation, variation and claim is subsequently controlled and defended. A document that is missing, incomplete or unread at commencement is a commercial exposure carried for the life of the job.</w:t>
      </w:r>
    </w:p>
    <w:p>
      <w:pPr>
        <w:spacing w:after="60" w:before="80"/>
      </w:pPr>
      <w:r>
        <w:rPr>
          <w:rFonts w:ascii="Calibri" w:cs="Calibri" w:eastAsia="Calibri" w:hAnsi="Calibri"/>
          <w:b/>
          <w:bCs/>
          <w:i w:val="false"/>
          <w:iCs w:val="false"/>
          <w:color w:val="1F3A5F"/>
          <w:sz w:val="24"/>
          <w:szCs w:val="24"/>
        </w:rPr>
        <w:t xml:space="preserve">2.  Reference convention</w:t>
      </w:r>
    </w:p>
    <w:p>
      <w:pPr>
        <w:spacing w:after="40" w:before="0" w:line="260"/>
        <w:jc w:val="left"/>
      </w:pPr>
      <w:r>
        <w:rPr>
          <w:rFonts w:ascii="Calibri" w:cs="Calibri" w:eastAsia="Calibri" w:hAnsi="Calibri"/>
          <w:b w:val="false"/>
          <w:bCs w:val="false"/>
          <w:i w:val="false"/>
          <w:iCs w:val="false"/>
          <w:color w:val="222222"/>
          <w:sz w:val="19"/>
          <w:szCs w:val="19"/>
        </w:rPr>
        <w:t xml:space="preserve">Every document carries a unique reference:  </w:t>
      </w:r>
      <w:r>
        <w:rPr>
          <w:rFonts w:ascii="Calibri" w:cs="Calibri" w:eastAsia="Calibri" w:hAnsi="Calibri"/>
          <w:b/>
          <w:bCs/>
          <w:i w:val="false"/>
          <w:iCs w:val="false"/>
          <w:color w:val="1F3A5F"/>
          <w:sz w:val="19"/>
          <w:szCs w:val="19"/>
        </w:rPr>
        <w:t xml:space="preserve">[PROJECT]–CM–[X]–[NN]</w:t>
      </w:r>
    </w:p>
    <w:p>
      <w:pPr>
        <w:spacing w:after="40" w:before="0" w:line="260"/>
        <w:jc w:val="left"/>
      </w:pPr>
      <w:r>
        <w:rPr>
          <w:rFonts w:ascii="Calibri" w:cs="Calibri" w:eastAsia="Calibri" w:hAnsi="Calibri"/>
          <w:b/>
          <w:bCs/>
          <w:i w:val="false"/>
          <w:iCs w:val="false"/>
          <w:color w:val="222222"/>
          <w:sz w:val="18"/>
          <w:szCs w:val="18"/>
        </w:rPr>
        <w:t xml:space="preserve">[PROJECT]</w:t>
      </w:r>
      <w:r>
        <w:rPr>
          <w:rFonts w:ascii="Calibri" w:cs="Calibri" w:eastAsia="Calibri" w:hAnsi="Calibri"/>
          <w:b w:val="false"/>
          <w:bCs w:val="false"/>
          <w:i w:val="false"/>
          <w:iCs w:val="false"/>
          <w:color w:val="222222"/>
          <w:sz w:val="18"/>
          <w:szCs w:val="18"/>
        </w:rPr>
        <w:t xml:space="preserve"> project code   ·   </w:t>
      </w:r>
      <w:r>
        <w:rPr>
          <w:rFonts w:ascii="Calibri" w:cs="Calibri" w:eastAsia="Calibri" w:hAnsi="Calibri"/>
          <w:b/>
          <w:bCs/>
          <w:i w:val="false"/>
          <w:iCs w:val="false"/>
          <w:color w:val="222222"/>
          <w:sz w:val="18"/>
          <w:szCs w:val="18"/>
        </w:rPr>
        <w:t xml:space="preserve">CM</w:t>
      </w:r>
      <w:r>
        <w:rPr>
          <w:rFonts w:ascii="Calibri" w:cs="Calibri" w:eastAsia="Calibri" w:hAnsi="Calibri"/>
          <w:b w:val="false"/>
          <w:bCs w:val="false"/>
          <w:i w:val="false"/>
          <w:iCs w:val="false"/>
          <w:color w:val="222222"/>
          <w:sz w:val="18"/>
          <w:szCs w:val="18"/>
        </w:rPr>
        <w:t xml:space="preserve"> Commercial   ·   </w:t>
      </w:r>
      <w:r>
        <w:rPr>
          <w:rFonts w:ascii="Calibri" w:cs="Calibri" w:eastAsia="Calibri" w:hAnsi="Calibri"/>
          <w:b/>
          <w:bCs/>
          <w:i w:val="false"/>
          <w:iCs w:val="false"/>
          <w:color w:val="222222"/>
          <w:sz w:val="18"/>
          <w:szCs w:val="18"/>
        </w:rPr>
        <w:t xml:space="preserve">[X]</w:t>
      </w:r>
      <w:r>
        <w:rPr>
          <w:rFonts w:ascii="Calibri" w:cs="Calibri" w:eastAsia="Calibri" w:hAnsi="Calibri"/>
          <w:b w:val="false"/>
          <w:bCs w:val="false"/>
          <w:i w:val="false"/>
          <w:iCs w:val="false"/>
          <w:color w:val="222222"/>
          <w:sz w:val="18"/>
          <w:szCs w:val="18"/>
        </w:rPr>
        <w:t xml:space="preserve"> category A–H   ·   </w:t>
      </w:r>
      <w:r>
        <w:rPr>
          <w:rFonts w:ascii="Calibri" w:cs="Calibri" w:eastAsia="Calibri" w:hAnsi="Calibri"/>
          <w:b/>
          <w:bCs/>
          <w:i w:val="false"/>
          <w:iCs w:val="false"/>
          <w:color w:val="222222"/>
          <w:sz w:val="18"/>
          <w:szCs w:val="18"/>
        </w:rPr>
        <w:t xml:space="preserve">[NN]</w:t>
      </w:r>
      <w:r>
        <w:rPr>
          <w:rFonts w:ascii="Calibri" w:cs="Calibri" w:eastAsia="Calibri" w:hAnsi="Calibri"/>
          <w:b w:val="false"/>
          <w:bCs w:val="false"/>
          <w:i w:val="false"/>
          <w:iCs w:val="false"/>
          <w:color w:val="222222"/>
          <w:sz w:val="18"/>
          <w:szCs w:val="18"/>
        </w:rPr>
        <w:t xml:space="preserve"> sequential number</w:t>
      </w:r>
    </w:p>
    <w:p>
      <w:pPr>
        <w:spacing w:after="60" w:before="0" w:line="260"/>
        <w:jc w:val="left"/>
      </w:pPr>
      <w:r>
        <w:rPr>
          <w:rFonts w:ascii="Calibri" w:cs="Calibri" w:eastAsia="Calibri" w:hAnsi="Calibri"/>
          <w:b w:val="false"/>
          <w:bCs w:val="false"/>
          <w:i w:val="false"/>
          <w:iCs w:val="false"/>
          <w:color w:val="222222"/>
          <w:sz w:val="18"/>
          <w:szCs w:val="18"/>
        </w:rPr>
        <w:t xml:space="preserve">Example:  </w:t>
      </w:r>
      <w:r>
        <w:rPr>
          <w:rFonts w:ascii="Calibri" w:cs="Calibri" w:eastAsia="Calibri" w:hAnsi="Calibri"/>
          <w:b/>
          <w:bCs/>
          <w:i w:val="false"/>
          <w:iCs w:val="false"/>
          <w:color w:val="1F3A5F"/>
          <w:sz w:val="18"/>
          <w:szCs w:val="18"/>
        </w:rPr>
        <w:t xml:space="preserve">RGC–CM–A–02</w:t>
      </w:r>
      <w:r>
        <w:rPr>
          <w:rFonts w:ascii="Calibri" w:cs="Calibri" w:eastAsia="Calibri" w:hAnsi="Calibri"/>
          <w:b w:val="false"/>
          <w:bCs w:val="false"/>
          <w:i w:val="false"/>
          <w:iCs w:val="false"/>
          <w:color w:val="222222"/>
          <w:sz w:val="18"/>
          <w:szCs w:val="18"/>
        </w:rPr>
        <w:t xml:space="preserve">  =  project RGC, Commercial, Tender &amp; Bid Baseline (Section A), document 02 — the priced tender submission.</w:t>
      </w:r>
    </w:p>
    <w:p>
      <w:pPr>
        <w:spacing w:after="40" w:before="0" w:line="260"/>
        <w:jc w:val="left"/>
      </w:pPr>
      <w:r>
        <w:rPr>
          <w:rFonts w:ascii="Calibri" w:cs="Calibri" w:eastAsia="Calibri" w:hAnsi="Calibri"/>
          <w:b w:val="false"/>
          <w:bCs w:val="false"/>
          <w:i/>
          <w:iCs/>
          <w:color w:val="222222"/>
          <w:sz w:val="18"/>
          <w:szCs w:val="18"/>
        </w:rPr>
        <w:t xml:space="preserve">Owner key:  </w:t>
      </w:r>
      <w:r>
        <w:rPr>
          <w:rFonts w:ascii="Calibri" w:cs="Calibri" w:eastAsia="Calibri" w:hAnsi="Calibri"/>
          <w:b/>
          <w:bCs/>
          <w:i w:val="false"/>
          <w:iCs w:val="false"/>
          <w:color w:val="222222"/>
          <w:sz w:val="18"/>
          <w:szCs w:val="18"/>
        </w:rPr>
        <w:t xml:space="preserve">CM</w:t>
      </w:r>
      <w:r>
        <w:rPr>
          <w:rFonts w:ascii="Calibri" w:cs="Calibri" w:eastAsia="Calibri" w:hAnsi="Calibri"/>
          <w:b w:val="false"/>
          <w:bCs w:val="false"/>
          <w:i w:val="false"/>
          <w:iCs w:val="false"/>
          <w:color w:val="222222"/>
          <w:sz w:val="18"/>
          <w:szCs w:val="18"/>
        </w:rPr>
        <w:t xml:space="preserve"> Commercial Manager  ·  </w:t>
      </w:r>
      <w:r>
        <w:rPr>
          <w:rFonts w:ascii="Calibri" w:cs="Calibri" w:eastAsia="Calibri" w:hAnsi="Calibri"/>
          <w:b/>
          <w:bCs/>
          <w:i w:val="false"/>
          <w:iCs w:val="false"/>
          <w:color w:val="222222"/>
          <w:sz w:val="18"/>
          <w:szCs w:val="18"/>
        </w:rPr>
        <w:t xml:space="preserve">QS</w:t>
      </w:r>
      <w:r>
        <w:rPr>
          <w:rFonts w:ascii="Calibri" w:cs="Calibri" w:eastAsia="Calibri" w:hAnsi="Calibri"/>
          <w:b w:val="false"/>
          <w:bCs w:val="false"/>
          <w:i w:val="false"/>
          <w:iCs w:val="false"/>
          <w:color w:val="222222"/>
          <w:sz w:val="18"/>
          <w:szCs w:val="18"/>
        </w:rPr>
        <w:t xml:space="preserve"> Quantity Surveyor  ·  </w:t>
      </w:r>
      <w:r>
        <w:rPr>
          <w:rFonts w:ascii="Calibri" w:cs="Calibri" w:eastAsia="Calibri" w:hAnsi="Calibri"/>
          <w:b w:val="false"/>
          <w:bCs w:val="false"/>
          <w:i w:val="false"/>
          <w:iCs w:val="false"/>
          <w:color w:val="222222"/>
          <w:sz w:val="18"/>
          <w:szCs w:val="18"/>
        </w:rPr>
        <w:t xml:space="preserve">Estimating  ·  Procurement.</w:t>
      </w:r>
    </w:p>
    <w:p>
      <w:pPr>
        <w:spacing w:after="160" w:before="0" w:line="260"/>
        <w:jc w:val="left"/>
      </w:pPr>
      <w:r>
        <w:rPr>
          <w:rFonts w:ascii="Calibri" w:cs="Calibri" w:eastAsia="Calibri" w:hAnsi="Calibri"/>
          <w:b w:val="false"/>
          <w:bCs w:val="false"/>
          <w:i/>
          <w:iCs/>
          <w:color w:val="222222"/>
          <w:sz w:val="18"/>
          <w:szCs w:val="18"/>
        </w:rPr>
        <w:t xml:space="preserve">Priority key:  </w:t>
      </w:r>
      <w:r>
        <w:rPr>
          <w:rFonts w:ascii="Calibri" w:cs="Calibri" w:eastAsia="Calibri" w:hAnsi="Calibri"/>
          <w:b/>
          <w:bCs/>
          <w:i w:val="false"/>
          <w:iCs w:val="false"/>
          <w:color w:val="222222"/>
          <w:sz w:val="18"/>
          <w:szCs w:val="18"/>
        </w:rPr>
        <w:t xml:space="preserve">Critical</w:t>
      </w:r>
      <w:r>
        <w:rPr>
          <w:rFonts w:ascii="Calibri" w:cs="Calibri" w:eastAsia="Calibri" w:hAnsi="Calibri"/>
          <w:b w:val="false"/>
          <w:bCs w:val="false"/>
          <w:i w:val="false"/>
          <w:iCs w:val="false"/>
          <w:color w:val="222222"/>
          <w:sz w:val="18"/>
          <w:szCs w:val="18"/>
        </w:rPr>
        <w:t xml:space="preserve"> contractual/financial exposure if absent  ·  </w:t>
      </w:r>
      <w:r>
        <w:rPr>
          <w:rFonts w:ascii="Calibri" w:cs="Calibri" w:eastAsia="Calibri" w:hAnsi="Calibri"/>
          <w:b/>
          <w:bCs/>
          <w:i w:val="false"/>
          <w:iCs w:val="false"/>
          <w:color w:val="222222"/>
          <w:sz w:val="18"/>
          <w:szCs w:val="18"/>
        </w:rPr>
        <w:t xml:space="preserve">High</w:t>
      </w:r>
      <w:r>
        <w:rPr>
          <w:rFonts w:ascii="Calibri" w:cs="Calibri" w:eastAsia="Calibri" w:hAnsi="Calibri"/>
          <w:b w:val="false"/>
          <w:bCs w:val="false"/>
          <w:i w:val="false"/>
          <w:iCs w:val="false"/>
          <w:color w:val="222222"/>
          <w:sz w:val="18"/>
          <w:szCs w:val="18"/>
        </w:rPr>
        <w:t xml:space="preserve"> required for control  ·  </w:t>
      </w:r>
      <w:r>
        <w:rPr>
          <w:rFonts w:ascii="Calibri" w:cs="Calibri" w:eastAsia="Calibri" w:hAnsi="Calibri"/>
          <w:b/>
          <w:bCs/>
          <w:i w:val="false"/>
          <w:iCs w:val="false"/>
          <w:color w:val="222222"/>
          <w:sz w:val="18"/>
          <w:szCs w:val="18"/>
        </w:rPr>
        <w:t xml:space="preserve">Standard</w:t>
      </w:r>
      <w:r>
        <w:rPr>
          <w:rFonts w:ascii="Calibri" w:cs="Calibri" w:eastAsia="Calibri" w:hAnsi="Calibri"/>
          <w:b w:val="false"/>
          <w:bCs w:val="false"/>
          <w:i w:val="false"/>
          <w:iCs w:val="false"/>
          <w:color w:val="222222"/>
          <w:sz w:val="18"/>
          <w:szCs w:val="18"/>
        </w:rPr>
        <w:t xml:space="preserve"> good practice / governance.</w:t>
      </w:r>
    </w:p>
    <w:p>
      <w:r>
        <w:br w:type="page"/>
      </w:r>
    </w:p>
    <w:p>
      <w:pPr>
        <w:spacing w:after="120"/>
      </w:pPr>
      <w:r>
        <w:rPr>
          <w:rFonts w:ascii="Calibri" w:cs="Calibri" w:eastAsia="Calibri" w:hAnsi="Calibri"/>
          <w:b/>
          <w:bCs/>
          <w:i w:val="false"/>
          <w:iCs w:val="false"/>
          <w:color w:val="1F3A5F"/>
          <w:sz w:val="24"/>
          <w:szCs w:val="24"/>
        </w:rPr>
        <w:t xml:space="preserve">3.  Document register</w:t>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A   </w:t>
            </w:r>
            <w:r>
              <w:rPr>
                <w:rFonts w:ascii="Calibri" w:cs="Calibri" w:eastAsia="Calibri" w:hAnsi="Calibri"/>
                <w:b/>
                <w:bCs/>
                <w:i w:val="false"/>
                <w:iCs w:val="false"/>
                <w:color w:val="FFFFFF"/>
                <w:sz w:val="20"/>
                <w:szCs w:val="20"/>
              </w:rPr>
              <w:t xml:space="preserve">Tender &amp; Bid Baseline</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Client ITT / Tender Documents (as issued)</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What we priced to — the tender scope baseline. Every later "was that included?" argument is settled against this, not against memory.</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Estimating</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Priced Tender Submission (full build-up, as submitted)</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complete priced bid, carried in in full. The source of truth for every rate, allowance and inclusion — what we can and cannot stand behind at final account starts here.</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Estimating</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Tender Qualifications &amp; Assumptions Schedule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Our primary defence at final account — defines what we did and did not price. Worthless unless it survived into the contract (see A-06).</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Tender Clarifications &amp; Addenda Log</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scope-freeze record — mid-tender queries, client responses and bulletins. Proves the basis we priced to changed, and when.</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Estimating</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Tender Baseline Programme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baseline every extension-of-time claim is measured against. Lose it and every delay argument starts on the back foot.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A-06</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Contract-vs-Tender Reconciliation</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What changed between what we bid and what we signed — and, critically, which qualifications and assumptions actually survived into the executed contract.</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A-07</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Tender Adjudication / Settlement Summary</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internal sign-off of the final bid — qualifications, assumptions and risk/opportunity allowances carried into the number. The formal record of the position we committed to.</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Estimating</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B   </w:t>
            </w:r>
            <w:r>
              <w:rPr>
                <w:rFonts w:ascii="Calibri" w:cs="Calibri" w:eastAsia="Calibri" w:hAnsi="Calibri"/>
                <w:b/>
                <w:bCs/>
                <w:i w:val="false"/>
                <w:iCs w:val="false"/>
                <w:color w:val="FFFFFF"/>
                <w:sz w:val="20"/>
                <w:szCs w:val="20"/>
              </w:rPr>
              <w:t xml:space="preserve">Contract &amp; Appointment</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Executed Main Contract (JCT D&amp;B Articles of Agreement)</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signed deal — defines our rights, obligations and the Contract Sum. Nothing downstream is defensible without it.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Contract Particulars &amp; Schedule of Amendments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Where the bespoke risk lives. The amendments override the standard form — every amended clause read, understood and flagged before commencement.</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Employer's Requirements (ER)</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obligations imposed on us. The basis for scope, performance and testing our own proposals against.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Contractor's Proposals (CP)</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What we have offered. Divergences between ER and CP are a live risk — identify and close them on paper now, not on site.</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Contract Sum Analysis (CSA)</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build-up of the lump sum. The basis for valuing variations and interim payments.</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B-06</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Insurance Schedule &amp; Evidence (JCT Option A/B/C, PI, Works, PL)</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Confirms correct option selected and cover in place. No evidenced cover = uninsured exposure from day one.</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B-07</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Performance Bond / Parent Company Guarantee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Security given to the Employer. Confirm wording, value and expiry are as agreed — not open-ended.</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B-08</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Collateral Warranties &amp; Third-Party Rights Schedule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Duties owed to funders, purchasers and tenants. Uncontrolled warranties extend our liability well beyond the Employer.</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B-09</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Schedule / Priority of Contract Documents</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Establishes order of precedence where documents conflict — stops the other side cherry-picking the version that suits them.</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C   </w:t>
            </w:r>
            <w:r>
              <w:rPr>
                <w:rFonts w:ascii="Calibri" w:cs="Calibri" w:eastAsia="Calibri" w:hAnsi="Calibri"/>
                <w:b/>
                <w:bCs/>
                <w:i w:val="false"/>
                <w:iCs w:val="false"/>
                <w:color w:val="FFFFFF"/>
                <w:sz w:val="20"/>
                <w:szCs w:val="20"/>
              </w:rPr>
              <w:t xml:space="preserve">Cost, Budget &amp; Cashflow</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Contract Sum Breakdown / Elemental Cost Plan</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Budget by element and trade — the baseline every incurred cost is measured against.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Opening Cost/Value Reconciliation (CVR)</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baseline margin position. Sets the number we are protecting for the life of the job.</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Preliminaries Budget</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Time-related and fixed prelims. Overspend here quietly erodes margin if it is not tracked from week one.</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Cashflow Forecast (S-Curve)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Projected income against expenditure. Flags funding gaps and negative cashflow before they bite.</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Commercial Risk &amp; Opportunity Register</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Quantified risk allowances and opportunities. Drives disciplined contingency drawdown rather than silent erosion.</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C-06</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Margin / Fee Statement</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Declared profit and where it sits in the numbers. The figure the business is holding the team to.</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D   </w:t>
            </w:r>
            <w:r>
              <w:rPr>
                <w:rFonts w:ascii="Calibri" w:cs="Calibri" w:eastAsia="Calibri" w:hAnsi="Calibri"/>
                <w:b/>
                <w:bCs/>
                <w:i w:val="false"/>
                <w:iCs w:val="false"/>
                <w:color w:val="FFFFFF"/>
                <w:sz w:val="20"/>
                <w:szCs w:val="20"/>
              </w:rPr>
              <w:t xml:space="preserve">Procurement &amp; Supply Chain</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Procurement Schedule / Package Strategy</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How the job is bought — package split and route to market.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Subcontract Package Matrix</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Scope allocation across packages. Gaps and overlaps here become variations and disputes later.</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Tender Event Schedule (TES)</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Dates to buy each package against need-on-site. Late procurement drives programme risk and rushed, weak orders.</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Package Enquiry / ITT Documents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scope, drawings and terms we issue to bidders. Weak or incomplete enquiries produce non-comparable returns and priced-in gaps.</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Subcontractor Tender Analysis Report (TAR) — per package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levelled comparison of returns and the recommendation to award. Justifies the spend and records the scope, exclusions and commercial basis of each order.</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D-06</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Pre-Let / Pre-Award Meeting Records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final scope, price and programme agreed with the subcontractor before order. Closes the gap between quote and order.</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D-07</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Buying Gains / Losses Tracker</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Procurement outcome against budget, package by package. Where margin is won or lost.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D-08</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Approved Supply Chain &amp; PQQ Records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Vetted, solvent, competent subcontractors. Placing orders with unvetted firms is an avoidable risk to programme and quality.</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Procurement</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E   </w:t>
            </w:r>
            <w:r>
              <w:rPr>
                <w:rFonts w:ascii="Calibri" w:cs="Calibri" w:eastAsia="Calibri" w:hAnsi="Calibri"/>
                <w:b/>
                <w:bCs/>
                <w:i w:val="false"/>
                <w:iCs w:val="false"/>
                <w:color w:val="FFFFFF"/>
                <w:sz w:val="20"/>
                <w:szCs w:val="20"/>
              </w:rPr>
              <w:t xml:space="preserve">Subcontract Administration</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E-01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Subcontract Order Template (bespoke / standard sub-form)</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form of subcontract. Must flow the main-contract obligations down back-to-back — any obligation we don't pass on, we carry.</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E-02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Downstream Payment &amp; Retention Schedule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Payment terms and retention. Must comply with the Construction Act and align with our upstream cash position.</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E-03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Offsite Materials / Vesting Procedure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Protects title to materials paid for but not yet on site. No vesting certificate = paying for goods we don't own.</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E-04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Subcontractor Insurance &amp; Warranty Requirements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Flow-down of insurance and collateral warranty obligations to the supply chain.</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F   </w:t>
            </w:r>
            <w:r>
              <w:rPr>
                <w:rFonts w:ascii="Calibri" w:cs="Calibri" w:eastAsia="Calibri" w:hAnsi="Calibri"/>
                <w:b/>
                <w:bCs/>
                <w:i w:val="false"/>
                <w:iCs w:val="false"/>
                <w:color w:val="FFFFFF"/>
                <w:sz w:val="20"/>
                <w:szCs w:val="20"/>
              </w:rPr>
              <w:t xml:space="preserve">Change, Valuation &amp; Payment Control</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Payment Schedule (Application, Due &amp; Final Dates, Notice deadlines)</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Every payment date under the contract and the Act on one sheet. Miss a date and we lose leverage or money — non-negotiable.</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Payment Notice &amp; Pay Less Notice Templates</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Statutory-compliant notices. Wrong form or wrong timing forfeits the right to withhold — a straight cash loss.</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Change / Variation Register &amp; Procedure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Captures every instruction and its cost and time effect. No contemporaneous register = lost entitlement.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Loss &amp; Expense / Extension of Time Procedure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Discipline for notifying and substantiating delay and disruption. Late or unsupported claims get rejected.</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Dayworks &amp; Contemporary Records Procedure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evidence trail. Contemporary records win claims; records reconstructed after the event lose them.</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F-06</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Provisional Sums &amp; PC Sums Schedule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How defined/undefined provisional sums are expended and adjusted. A common source of leakage if left untracked.</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F-07</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Contra-Charge Procedure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Recovery of cost from the supply chain for their defaults. Must be substantiated and notified correctly to stick.</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QS</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G   </w:t>
            </w:r>
            <w:r>
              <w:rPr>
                <w:rFonts w:ascii="Calibri" w:cs="Calibri" w:eastAsia="Calibri" w:hAnsi="Calibri"/>
                <w:b/>
                <w:bCs/>
                <w:i w:val="false"/>
                <w:iCs w:val="false"/>
                <w:color w:val="FFFFFF"/>
                <w:sz w:val="20"/>
                <w:szCs w:val="20"/>
              </w:rPr>
              <w:t xml:space="preserve">Risk &amp; Commercial Governance</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G-01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Commercial Risk Register (Project)</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Top-level commercial exposure and mitigation. The document that keeps senior management's eyes open.</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G-02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Delegated Authority / Commercial Sign-Off Matrix</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Who can commit the business, and to what value. Prevents unauthorised orders and variations.</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G-03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Commercial Responsibility Matrix (RACI)</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Who does what across the commercial team. Removes ambiguity when something is missed.</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G-04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Notices &amp; Key Dates Schedule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Every contractual notice provision and deadline in one place — sectional completion, EOT, LADs, payment. The single most-missed document.</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6D6D6"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bCs/>
                <w:i w:val="false"/>
                <w:iCs w:val="false"/>
                <w:color w:val="222222"/>
                <w:sz w:val="18"/>
                <w:szCs w:val="18"/>
              </w:rPr>
              <w:t xml:space="preserve">Critical</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G-05</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Liquidated &amp; Ascertained Damages (LADs) Summary</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Our exposure if we finish late — rate, cap and trigger. Keeps the programme honest.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bl>
    <w:p>
      <w:pPr>
        <w:spacing w:after="160"/>
      </w:pPr>
      <w:r>
        <w:rPr>
          <w:rFonts w:ascii="Calibri" w:cs="Calibri" w:eastAsia="Calibri" w:hAnsi="Calibri"/>
          <w:b w:val="false"/>
          <w:bCs w:val="false"/>
          <w:i w:val="false"/>
          <w:iCs w:val="false"/>
          <w:color w:val="222222"/>
          <w:sz w:val="18"/>
          <w:szCs w:val="18"/>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shd w:fill="2E5077" w:color="auto" w:val="clear"/>
            <w:tcMar>
              <w:top w:type="dxa" w:w="70"/>
              <w:left w:type="dxa" w:w="120"/>
              <w:bottom w:type="dxa" w:w="70"/>
              <w:right w:type="dxa" w:w="120"/>
            </w:tcMar>
          </w:tcPr>
          <w:p>
            <w:pPr>
              <w:spacing w:after="0" w:before="0" w:line="240"/>
              <w:jc w:val="left"/>
            </w:pPr>
            <w:r>
              <w:rPr>
                <w:rFonts w:ascii="Calibri" w:cs="Calibri" w:eastAsia="Calibri" w:hAnsi="Calibri"/>
                <w:b/>
                <w:bCs/>
                <w:i w:val="false"/>
                <w:iCs w:val="false"/>
                <w:color w:val="9DB8D6"/>
                <w:sz w:val="20"/>
                <w:szCs w:val="20"/>
              </w:rPr>
              <w:t xml:space="preserve">SECTION H   </w:t>
            </w:r>
            <w:r>
              <w:rPr>
                <w:rFonts w:ascii="Calibri" w:cs="Calibri" w:eastAsia="Calibri" w:hAnsi="Calibri"/>
                <w:b/>
                <w:bCs/>
                <w:i w:val="false"/>
                <w:iCs w:val="false"/>
                <w:color w:val="FFFFFF"/>
                <w:sz w:val="20"/>
                <w:szCs w:val="20"/>
              </w:rPr>
              <w:t xml:space="preserve">Reporting &amp; Handover</w:t>
            </w:r>
          </w:p>
        </w:tc>
      </w:tr>
    </w:tbl>
    <w:p>
      <w:pPr>
        <w:spacing w:after="40"/>
      </w:pPr>
      <w:r>
        <w:rPr>
          <w:rFonts w:ascii="Calibri" w:cs="Calibri" w:eastAsia="Calibri" w:hAnsi="Calibri"/>
          <w:b w:val="false"/>
          <w:bCs w:val="false"/>
          <w:i w:val="false"/>
          <w:iCs w:val="false"/>
          <w:color w:val="222222"/>
          <w:sz w:val="18"/>
          <w:szCs w:val="18"/>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2450"/>
        <w:gridCol w:w="3976"/>
        <w:gridCol w:w="1300"/>
        <w:gridCol w:w="1200"/>
      </w:tblGrid>
      <w:tr>
        <w:trPr>
          <w:tblHeader/>
        </w:trPr>
        <w:tc>
          <w:tcPr>
            <w:tcW w:type="dxa" w:w="82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Ref</w:t>
            </w:r>
          </w:p>
        </w:tc>
        <w:tc>
          <w:tcPr>
            <w:tcW w:type="dxa" w:w="245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Document</w:t>
            </w:r>
          </w:p>
        </w:tc>
        <w:tc>
          <w:tcPr>
            <w:tcW w:type="dxa" w:w="3976"/>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Purpose / Commercial rationale</w:t>
            </w:r>
          </w:p>
        </w:tc>
        <w:tc>
          <w:tcPr>
            <w:tcW w:type="dxa" w:w="13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Owner</w:t>
            </w:r>
          </w:p>
        </w:tc>
        <w:tc>
          <w:tcPr>
            <w:tcW w:type="dxa" w:w="1200"/>
            <w:shd w:fill="1F3A5F"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FFFFFF"/>
                <w:sz w:val="18"/>
                <w:szCs w:val="18"/>
              </w:rPr>
              <w:t xml:space="preserve">Priority</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H-01</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CVR Reporting Calendar &amp; Template</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The monthly cost/value reporting cycle and format.</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H-02</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Monthly Commercial Report Template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Standardised reporting to PM and board on cost, value, risk and forecast final account.</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r>
        <w:trPr>
          <w:cantSplit/>
        </w:trPr>
        <w:tc>
          <w:tcPr>
            <w:tcW w:type="dxa" w:w="820"/>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H-03</w:t>
            </w:r>
          </w:p>
        </w:tc>
        <w:tc>
          <w:tcPr>
            <w:tcW w:type="dxa" w:w="2450"/>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Estimating-to-Delivery Handover Record</w:t>
            </w:r>
          </w:p>
        </w:tc>
        <w:tc>
          <w:tcPr>
            <w:tcW w:type="dxa" w:w="3976"/>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Formal handover of tender assumptions, qualifications and risk. Skip it and the site team spends money the tender never allowed.</w:t>
            </w:r>
          </w:p>
        </w:tc>
        <w:tc>
          <w:tcPr>
            <w:tcW w:type="dxa" w:w="1300"/>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Estimating</w:t>
            </w:r>
          </w:p>
        </w:tc>
        <w:tc>
          <w:tcPr>
            <w:tcW w:type="dxa" w:w="1200"/>
            <w:shd w:fill="FBECCB"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High</w:t>
            </w:r>
          </w:p>
        </w:tc>
      </w:tr>
      <w:tr>
        <w:trPr>
          <w:cantSplit/>
        </w:trPr>
        <w:tc>
          <w:tcPr>
            <w:tcW w:type="dxa" w:w="820"/>
            <w:shd w:fill="F4F6F8" w:color="auto" w:val="clear"/>
            <w:tcMar>
              <w:top w:type="dxa" w:w="60"/>
              <w:left w:type="dxa" w:w="90"/>
              <w:bottom w:type="dxa" w:w="60"/>
              <w:right w:type="dxa" w:w="90"/>
            </w:tcMar>
            <w:vAlign w:val="center"/>
          </w:tcPr>
          <w:p>
            <w:pPr>
              <w:spacing w:after="0" w:before="0" w:line="240"/>
              <w:jc w:val="left"/>
            </w:pPr>
            <w:r>
              <w:rPr>
                <w:rFonts w:ascii="Calibri" w:cs="Calibri" w:eastAsia="Calibri" w:hAnsi="Calibri"/>
                <w:b/>
                <w:bCs/>
                <w:i w:val="false"/>
                <w:iCs w:val="false"/>
                <w:color w:val="1F3A5F"/>
                <w:sz w:val="18"/>
                <w:szCs w:val="18"/>
              </w:rPr>
              <w:t xml:space="preserve">H-04</w:t>
            </w:r>
          </w:p>
        </w:tc>
        <w:tc>
          <w:tcPr>
            <w:tcW w:type="dxa" w:w="2450"/>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bCs/>
                <w:i w:val="false"/>
                <w:iCs w:val="false"/>
                <w:color w:val="222222"/>
                <w:sz w:val="18"/>
                <w:szCs w:val="18"/>
              </w:rPr>
              <w:t xml:space="preserve">Final Account Strategy Note</w:t>
            </w:r>
          </w:p>
        </w:tc>
        <w:tc>
          <w:tcPr>
            <w:tcW w:type="dxa" w:w="3976"/>
            <w:shd w:fill="F4F6F8" w:color="auto" w:val="clear"/>
            <w:tcMar>
              <w:top w:type="dxa" w:w="60"/>
              <w:left w:type="dxa" w:w="90"/>
              <w:bottom w:type="dxa" w:w="60"/>
              <w:right w:type="dxa" w:w="90"/>
            </w:tcMar>
            <w:vAlign w:val="center"/>
          </w:tcPr>
          <w:p>
            <w:pPr>
              <w:spacing w:after="0" w:before="0" w:line="230"/>
              <w:jc w:val="left"/>
            </w:pPr>
            <w:r>
              <w:rPr>
                <w:rFonts w:ascii="Calibri" w:cs="Calibri" w:eastAsia="Calibri" w:hAnsi="Calibri"/>
                <w:b w:val="false"/>
                <w:bCs w:val="false"/>
                <w:i w:val="false"/>
                <w:iCs w:val="false"/>
                <w:color w:val="222222"/>
                <w:sz w:val="18"/>
                <w:szCs w:val="18"/>
              </w:rPr>
              <w:t xml:space="preserve">Endgame positioning set from day one — how we intend to close the account and protect the number.</w:t>
            </w:r>
          </w:p>
        </w:tc>
        <w:tc>
          <w:tcPr>
            <w:tcW w:type="dxa" w:w="1300"/>
            <w:shd w:fill="F4F6F8"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CM</w:t>
            </w:r>
          </w:p>
        </w:tc>
        <w:tc>
          <w:tcPr>
            <w:tcW w:type="dxa" w:w="1200"/>
            <w:shd w:fill="ECEFF3" w:color="auto" w:val="clear"/>
            <w:tcMar>
              <w:top w:type="dxa" w:w="60"/>
              <w:left w:type="dxa" w:w="90"/>
              <w:bottom w:type="dxa" w:w="60"/>
              <w:right w:type="dxa" w:w="90"/>
            </w:tcMar>
            <w:vAlign w:val="center"/>
          </w:tcPr>
          <w:p>
            <w:pPr>
              <w:spacing w:after="0" w:before="0" w:line="240"/>
              <w:jc w:val="center"/>
            </w:pPr>
            <w:r>
              <w:rPr>
                <w:rFonts w:ascii="Calibri" w:cs="Calibri" w:eastAsia="Calibri" w:hAnsi="Calibri"/>
                <w:b w:val="false"/>
                <w:bCs w:val="false"/>
                <w:i w:val="false"/>
                <w:iCs w:val="false"/>
                <w:color w:val="222222"/>
                <w:sz w:val="18"/>
                <w:szCs w:val="18"/>
              </w:rPr>
              <w:t xml:space="preserve">Standard</w:t>
            </w:r>
          </w:p>
        </w:tc>
      </w:tr>
    </w:tbl>
    <w:p>
      <w:pPr>
        <w:spacing w:after="160"/>
      </w:pPr>
      <w:r>
        <w:rPr>
          <w:rFonts w:ascii="Calibri" w:cs="Calibri" w:eastAsia="Calibri" w:hAnsi="Calibri"/>
          <w:b w:val="false"/>
          <w:bCs w:val="false"/>
          <w:i w:val="false"/>
          <w:iCs w:val="false"/>
          <w:color w:val="222222"/>
          <w:sz w:val="18"/>
          <w:szCs w:val="18"/>
        </w:rPr>
        <w:t xml:space="preserve"/>
      </w:r>
    </w:p>
    <w:p>
      <w:r>
        <w:br w:type="page"/>
      </w:r>
    </w:p>
    <w:p>
      <w:pPr>
        <w:spacing w:after="40"/>
      </w:pPr>
      <w:r>
        <w:rPr>
          <w:rFonts w:ascii="Calibri" w:cs="Calibri" w:eastAsia="Calibri" w:hAnsi="Calibri"/>
          <w:b/>
          <w:bCs/>
          <w:i w:val="false"/>
          <w:iCs w:val="false"/>
          <w:color w:val="1F3A5F"/>
          <w:sz w:val="24"/>
          <w:szCs w:val="24"/>
        </w:rPr>
        <w:t xml:space="preserve">4.  Commercial Manager's note — the non-negotiables</w:t>
      </w:r>
    </w:p>
    <w:p>
      <w:pPr>
        <w:spacing w:after="140" w:before="0" w:line="260"/>
        <w:jc w:val="left"/>
      </w:pPr>
      <w:r>
        <w:rPr>
          <w:rFonts w:ascii="Calibri" w:cs="Calibri" w:eastAsia="Calibri" w:hAnsi="Calibri"/>
          <w:b w:val="false"/>
          <w:bCs w:val="false"/>
          <w:i w:val="false"/>
          <w:iCs w:val="false"/>
          <w:color w:val="222222"/>
          <w:sz w:val="19"/>
          <w:szCs w:val="19"/>
        </w:rPr>
        <w:t xml:space="preserve">Everything in the register earns its place. But the following cannot be missing, incomplete or unread when we start on site. Each one is where a job gets lost — not on the merits, but on paperwork we should have controlled from day one:</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Tender qualifications, and proof they survived (A-03 + A-06) — </w:t>
      </w:r>
      <w:r>
        <w:rPr>
          <w:rFonts w:ascii="Calibri" w:cs="Calibri" w:eastAsia="Calibri" w:hAnsi="Calibri"/>
          <w:b w:val="false"/>
          <w:bCs w:val="false"/>
          <w:i w:val="false"/>
          <w:iCs w:val="false"/>
          <w:color w:val="222222"/>
          <w:sz w:val="18"/>
          <w:szCs w:val="18"/>
        </w:rPr>
        <w:t xml:space="preserve">the qualifications schedule is our primary final-account defence — but a qualification only protects us if it made it into the executed contract. The reconciliation proves which ones did. Priced but not in the contract is worth nothing.</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Tender baseline programme (A-05) — </w:t>
      </w:r>
      <w:r>
        <w:rPr>
          <w:rFonts w:ascii="Calibri" w:cs="Calibri" w:eastAsia="Calibri" w:hAnsi="Calibri"/>
          <w:b w:val="false"/>
          <w:bCs w:val="false"/>
          <w:i w:val="false"/>
          <w:iCs w:val="false"/>
          <w:color w:val="222222"/>
          <w:sz w:val="18"/>
          <w:szCs w:val="18"/>
        </w:rPr>
        <w:t xml:space="preserve">the baseline every extension-of-time claim is measured against. Without it, every delay argument starts on the back foot.</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Schedule of Amendments (B-02) — </w:t>
      </w:r>
      <w:r>
        <w:rPr>
          <w:rFonts w:ascii="Calibri" w:cs="Calibri" w:eastAsia="Calibri" w:hAnsi="Calibri"/>
          <w:b w:val="false"/>
          <w:bCs w:val="false"/>
          <w:i w:val="false"/>
          <w:iCs w:val="false"/>
          <w:color w:val="222222"/>
          <w:sz w:val="18"/>
          <w:szCs w:val="18"/>
        </w:rPr>
        <w:t xml:space="preserve">the standard JCT form is not the contract; the amendments are. Mobilise without reading them and we do not know what we have signed up to.</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ER vs CP divergences (B-03 / B-04) — </w:t>
      </w:r>
      <w:r>
        <w:rPr>
          <w:rFonts w:ascii="Calibri" w:cs="Calibri" w:eastAsia="Calibri" w:hAnsi="Calibri"/>
          <w:b w:val="false"/>
          <w:bCs w:val="false"/>
          <w:i w:val="false"/>
          <w:iCs w:val="false"/>
          <w:color w:val="222222"/>
          <w:sz w:val="18"/>
          <w:szCs w:val="18"/>
        </w:rPr>
        <w:t xml:space="preserve">any gap between what the Employer required and what we proposed is a dispute waiting to happen. Reconcile it on paper now.</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Insurance evidence (B-06) — </w:t>
      </w:r>
      <w:r>
        <w:rPr>
          <w:rFonts w:ascii="Calibri" w:cs="Calibri" w:eastAsia="Calibri" w:hAnsi="Calibri"/>
          <w:b w:val="false"/>
          <w:bCs w:val="false"/>
          <w:i w:val="false"/>
          <w:iCs w:val="false"/>
          <w:color w:val="222222"/>
          <w:sz w:val="18"/>
          <w:szCs w:val="18"/>
        </w:rPr>
        <w:t xml:space="preserve">confirm the correct JCT insurance option and see the certificates — not a broker's promise. Uninsured from day one is indefensible.</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Payment dates &amp; statutory notices (F-01 / F-02) — </w:t>
      </w:r>
      <w:r>
        <w:rPr>
          <w:rFonts w:ascii="Calibri" w:cs="Calibri" w:eastAsia="Calibri" w:hAnsi="Calibri"/>
          <w:b w:val="false"/>
          <w:bCs w:val="false"/>
          <w:i w:val="false"/>
          <w:iCs w:val="false"/>
          <w:color w:val="222222"/>
          <w:sz w:val="18"/>
          <w:szCs w:val="18"/>
        </w:rPr>
        <w:t xml:space="preserve">miss a Pay Less deadline and we pay the application in full, whatever the work is actually worth. This is the cheapest money the business will ever lose.</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Variation register from day one (F-03) — </w:t>
      </w:r>
      <w:r>
        <w:rPr>
          <w:rFonts w:ascii="Calibri" w:cs="Calibri" w:eastAsia="Calibri" w:hAnsi="Calibri"/>
          <w:b w:val="false"/>
          <w:bCs w:val="false"/>
          <w:i w:val="false"/>
          <w:iCs w:val="false"/>
          <w:color w:val="222222"/>
          <w:sz w:val="18"/>
          <w:szCs w:val="18"/>
        </w:rPr>
        <w:t xml:space="preserve">if change is not recorded contemporaneously as it is instructed, we will not recover it at final account. The other side will say it was never raised.</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Notices &amp; Key Dates schedule (G-04) — </w:t>
      </w:r>
      <w:r>
        <w:rPr>
          <w:rFonts w:ascii="Calibri" w:cs="Calibri" w:eastAsia="Calibri" w:hAnsi="Calibri"/>
          <w:b w:val="false"/>
          <w:bCs w:val="false"/>
          <w:i w:val="false"/>
          <w:iCs w:val="false"/>
          <w:color w:val="222222"/>
          <w:sz w:val="18"/>
          <w:szCs w:val="18"/>
        </w:rPr>
        <w:t xml:space="preserve">most claims are lost on notice, not on entitlement. Every contractual deadline belongs on one sheet, owned by one person.</w:t>
      </w:r>
    </w:p>
    <w:p>
      <w:pPr>
        <w:spacing w:after="90" w:line="250"/>
      </w:pPr>
      <w:r>
        <w:rPr>
          <w:rFonts w:ascii="Calibri" w:cs="Calibri" w:eastAsia="Calibri" w:hAnsi="Calibri"/>
          <w:b/>
          <w:bCs/>
          <w:i w:val="false"/>
          <w:iCs w:val="false"/>
          <w:color w:val="1F3A5F"/>
          <w:sz w:val="18"/>
          <w:szCs w:val="18"/>
        </w:rPr>
        <w:t xml:space="preserve">■  </w:t>
      </w:r>
      <w:r>
        <w:rPr>
          <w:rFonts w:ascii="Calibri" w:cs="Calibri" w:eastAsia="Calibri" w:hAnsi="Calibri"/>
          <w:b/>
          <w:bCs/>
          <w:i w:val="false"/>
          <w:iCs w:val="false"/>
          <w:color w:val="222222"/>
          <w:sz w:val="18"/>
          <w:szCs w:val="18"/>
        </w:rPr>
        <w:t xml:space="preserve">Back-to-back subcontract orders (E-01) — </w:t>
      </w:r>
      <w:r>
        <w:rPr>
          <w:rFonts w:ascii="Calibri" w:cs="Calibri" w:eastAsia="Calibri" w:hAnsi="Calibri"/>
          <w:b w:val="false"/>
          <w:bCs w:val="false"/>
          <w:i w:val="false"/>
          <w:iCs w:val="false"/>
          <w:color w:val="222222"/>
          <w:sz w:val="18"/>
          <w:szCs w:val="18"/>
        </w:rPr>
        <w:t xml:space="preserve">any main-contract obligation we fail to flow down to the supply chain, we carry ourselves. That is margin given away for nothing.</w:t>
      </w:r>
    </w:p>
    <w:p>
      <w:pPr>
        <w:spacing w:after="60" w:before="160"/>
      </w:pPr>
      <w:r>
        <w:rPr>
          <w:rFonts w:ascii="Calibri" w:cs="Calibri" w:eastAsia="Calibri" w:hAnsi="Calibri"/>
          <w:b/>
          <w:bCs/>
          <w:i w:val="false"/>
          <w:iCs w:val="false"/>
          <w:color w:val="1F3A5F"/>
          <w:sz w:val="19"/>
          <w:szCs w:val="19"/>
        </w:rPr>
        <w:t xml:space="preserve">Bottom line:  </w:t>
      </w:r>
      <w:r>
        <w:rPr>
          <w:rFonts w:ascii="Calibri" w:cs="Calibri" w:eastAsia="Calibri" w:hAnsi="Calibri"/>
          <w:b w:val="false"/>
          <w:bCs w:val="false"/>
          <w:i w:val="false"/>
          <w:iCs w:val="false"/>
          <w:color w:val="222222"/>
          <w:sz w:val="19"/>
          <w:szCs w:val="19"/>
        </w:rPr>
        <w:t xml:space="preserve">this pack is not administration. It is the commercial control framework that determines whether we defend our margin or hand it over. It should be complete and signed off before the first subcontractor is on site.</w:t>
      </w:r>
    </w:p>
    <w:p>
      <w:pPr>
        <w:pBdr>
          <w:top w:val="single" w:color="AAB4C0" w:sz="8"/>
        </w:pBdr>
        <w:spacing w:before="300"/>
      </w:pPr>
      <w:r>
        <w:rPr>
          <w:rFonts w:ascii="Calibri" w:cs="Calibri" w:eastAsia="Calibri" w:hAnsi="Calibri"/>
          <w:b w:val="false"/>
          <w:bCs w:val="false"/>
          <w:i w:val="false"/>
          <w:iCs w:val="false"/>
          <w:color w:val="666666"/>
          <w:sz w:val="17"/>
          <w:szCs w:val="17"/>
        </w:rPr>
        <w:t xml:space="preserve">Prepared by Commercial Department</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removeDateAndTim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Meridian Construction &amp; Refurbishment Ltd</Company>
  <Manager>Meridian Construction &amp; Refurbishment Ltd</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Pre-Construction Commercial Pack - Document Register</dc:title>
  <dc:creator>Joan Raza</dc:creator>
  <cp:lastModifiedBy>Joan Raza</cp:lastModifiedBy>
  <cp:revision>1</cp:revision>
  <dcterms:created xsi:type="dcterms:W3CDTF">2026-08-27T12:10:43Z</dcterms:created>
  <dcterms:modified xsi:type="dcterms:W3CDTF">2026-08-27T12:10:43Z</dcterms:modified>
  <dc:description/>
  <cp:keywords/>
  <cp:category/>
</cp:coreProperties>
</file>