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F2A9" w14:textId="49DC480C" w:rsidR="00F552F1" w:rsidRDefault="00F552F1" w:rsidP="000177B3">
      <w:pPr>
        <w:pStyle w:val="Title"/>
        <w:spacing w:after="120"/>
      </w:pPr>
      <w:r>
        <w:t xml:space="preserve">The linear relationship between canopy structure and maximum light use efficiency across </w:t>
      </w:r>
      <w:proofErr w:type="gramStart"/>
      <w:r>
        <w:t>biomes</w:t>
      </w:r>
      <w:proofErr w:type="gramEnd"/>
      <w:r>
        <w:t xml:space="preserve"> </w:t>
      </w:r>
    </w:p>
    <w:p w14:paraId="4BE96FC9" w14:textId="77777777" w:rsidR="00F552F1" w:rsidRDefault="00F552F1" w:rsidP="000177B3">
      <w:pPr>
        <w:spacing w:after="120"/>
      </w:pPr>
    </w:p>
    <w:p w14:paraId="0EF7241A" w14:textId="0C0B0B4F" w:rsidR="00815FC4" w:rsidRDefault="00F552F1" w:rsidP="00815FC4">
      <w:pPr>
        <w:pStyle w:val="Heading1"/>
        <w:spacing w:after="120"/>
      </w:pPr>
      <w:r>
        <w:t>Summary</w:t>
      </w:r>
    </w:p>
    <w:p w14:paraId="4D5DC747" w14:textId="031E57E6" w:rsidR="00815FC4" w:rsidRDefault="00815FC4" w:rsidP="00815FC4">
      <w:pPr>
        <w:pStyle w:val="ListParagraph"/>
        <w:numPr>
          <w:ilvl w:val="0"/>
          <w:numId w:val="5"/>
        </w:numPr>
      </w:pPr>
      <w:proofErr w:type="spellStart"/>
      <w:r>
        <w:t>Dechant</w:t>
      </w:r>
      <w:proofErr w:type="spellEnd"/>
      <w:r>
        <w:t xml:space="preserve"> et al showed there is a linear relationship between temporal LUE and </w:t>
      </w:r>
      <w:proofErr w:type="spellStart"/>
      <w:r>
        <w:t>fesc</w:t>
      </w:r>
      <w:proofErr w:type="spellEnd"/>
      <w:r>
        <w:t xml:space="preserve">. </w:t>
      </w:r>
    </w:p>
    <w:p w14:paraId="3BC5A7EB" w14:textId="78F27568" w:rsidR="00815FC4" w:rsidRDefault="00815FC4" w:rsidP="00815FC4">
      <w:pPr>
        <w:pStyle w:val="ListParagraph"/>
        <w:numPr>
          <w:ilvl w:val="0"/>
          <w:numId w:val="5"/>
        </w:numPr>
      </w:pPr>
      <w:r>
        <w:t xml:space="preserve">This relationship </w:t>
      </w:r>
      <w:proofErr w:type="gramStart"/>
      <w:r>
        <w:t>make</w:t>
      </w:r>
      <w:proofErr w:type="gramEnd"/>
      <w:r>
        <w:t xml:space="preserve"> more sense if we consider I) maximum LUE and II) over larger scales across biomes or sites, rather than temporally and in one site. </w:t>
      </w:r>
    </w:p>
    <w:p w14:paraId="2D7F744D" w14:textId="77777777" w:rsidR="00815FC4" w:rsidRDefault="00815FC4" w:rsidP="00815FC4">
      <w:pPr>
        <w:pStyle w:val="ListParagraph"/>
        <w:numPr>
          <w:ilvl w:val="0"/>
          <w:numId w:val="5"/>
        </w:numPr>
      </w:pPr>
      <w:r>
        <w:t xml:space="preserve">We pulled 271 sites from </w:t>
      </w:r>
      <w:proofErr w:type="spellStart"/>
      <w:r>
        <w:t>AmeriFlux</w:t>
      </w:r>
      <w:proofErr w:type="spellEnd"/>
      <w:r>
        <w:t xml:space="preserve"> and </w:t>
      </w:r>
      <w:proofErr w:type="spellStart"/>
      <w:r>
        <w:t>FluxNet</w:t>
      </w:r>
      <w:proofErr w:type="spellEnd"/>
      <w:r>
        <w:t xml:space="preserve"> and showed that there is a strong relationship (R2=0.85) between </w:t>
      </w:r>
      <w:proofErr w:type="spellStart"/>
      <w:r>
        <w:t>LUEMax</w:t>
      </w:r>
      <w:proofErr w:type="spellEnd"/>
      <w:r>
        <w:t xml:space="preserve"> and </w:t>
      </w:r>
      <w:proofErr w:type="spellStart"/>
      <w:r>
        <w:t>fesc</w:t>
      </w:r>
      <w:proofErr w:type="spellEnd"/>
      <w:r>
        <w:t xml:space="preserve"> across biomes. </w:t>
      </w:r>
    </w:p>
    <w:p w14:paraId="5E7A83F3" w14:textId="6A4BFFFD" w:rsidR="00815FC4" w:rsidRDefault="00815FC4" w:rsidP="00815FC4">
      <w:pPr>
        <w:pStyle w:val="ListParagraph"/>
        <w:numPr>
          <w:ilvl w:val="0"/>
          <w:numId w:val="5"/>
        </w:numPr>
      </w:pPr>
      <w:r>
        <w:t xml:space="preserve">A pattern emerged is that in open canopies tend to have less </w:t>
      </w:r>
      <w:proofErr w:type="spellStart"/>
      <w:r>
        <w:t>LUEMax</w:t>
      </w:r>
      <w:proofErr w:type="spellEnd"/>
      <w:r>
        <w:t xml:space="preserve"> and </w:t>
      </w:r>
      <w:proofErr w:type="spellStart"/>
      <w:r>
        <w:t>fesc</w:t>
      </w:r>
      <w:proofErr w:type="spellEnd"/>
      <w:r>
        <w:t xml:space="preserve"> and as the density of canopy increases and moving toward forests </w:t>
      </w:r>
      <w:proofErr w:type="gramStart"/>
      <w:r>
        <w:t>both of them</w:t>
      </w:r>
      <w:proofErr w:type="gramEnd"/>
      <w:r>
        <w:t xml:space="preserve"> increase.  </w:t>
      </w:r>
    </w:p>
    <w:p w14:paraId="572F1133" w14:textId="77777777" w:rsidR="00815FC4" w:rsidRDefault="00815FC4" w:rsidP="00815FC4">
      <w:pPr>
        <w:pStyle w:val="ListParagraph"/>
        <w:numPr>
          <w:ilvl w:val="0"/>
          <w:numId w:val="5"/>
        </w:numPr>
      </w:pPr>
      <w:proofErr w:type="spellStart"/>
      <w:r>
        <w:t>Multiplse</w:t>
      </w:r>
      <w:proofErr w:type="spellEnd"/>
      <w:r>
        <w:t xml:space="preserve"> scattering as linked to plant physiology implicitly explains the results. </w:t>
      </w:r>
    </w:p>
    <w:p w14:paraId="5C2C2F5D" w14:textId="4AF85AF2" w:rsidR="00815FC4" w:rsidRPr="00815FC4" w:rsidRDefault="00815FC4" w:rsidP="00815FC4">
      <w:pPr>
        <w:pStyle w:val="ListParagraph"/>
        <w:numPr>
          <w:ilvl w:val="0"/>
          <w:numId w:val="5"/>
        </w:numPr>
      </w:pPr>
      <w:r>
        <w:t xml:space="preserve">More mechanistic modeling work is needed to explicitly explain the results.  </w:t>
      </w:r>
    </w:p>
    <w:p w14:paraId="2AEEB0EE" w14:textId="3B639131" w:rsidR="00F552F1" w:rsidRDefault="00F552F1" w:rsidP="000177B3">
      <w:pPr>
        <w:pStyle w:val="Heading1"/>
        <w:spacing w:after="120"/>
      </w:pPr>
      <w:r>
        <w:t>Introduction</w:t>
      </w:r>
    </w:p>
    <w:p w14:paraId="37E37D89" w14:textId="2872860C" w:rsidR="00815FC4" w:rsidRDefault="00815FC4" w:rsidP="000177B3">
      <w:pPr>
        <w:spacing w:after="120"/>
      </w:pPr>
      <w:r w:rsidRPr="00815FC4">
        <w:t>Light use efficiency (LUE) (Monteith 1972) is the efficiency with which plants convert absorbed radiation into fixed carbon. At the leaf scale, LUE can be defined as the initial slope (quantum yield) of the light response curve (</w:t>
      </w:r>
      <w:proofErr w:type="spellStart"/>
      <w:r w:rsidRPr="00815FC4">
        <w:t>Björkman</w:t>
      </w:r>
      <w:proofErr w:type="spellEnd"/>
      <w:r w:rsidRPr="00815FC4">
        <w:t xml:space="preserve"> 1981). At the canopy scale, LUE is defined as the ratio of canopy gross primary production (GPP) divided by absorbed photosynthetically active radiation (APAR) (</w:t>
      </w:r>
      <w:proofErr w:type="spellStart"/>
      <w:r w:rsidRPr="00815FC4">
        <w:t>Gitelson</w:t>
      </w:r>
      <w:proofErr w:type="spellEnd"/>
      <w:r w:rsidRPr="00815FC4">
        <w:t xml:space="preserve"> and </w:t>
      </w:r>
      <w:proofErr w:type="spellStart"/>
      <w:r w:rsidRPr="00815FC4">
        <w:t>Gamon</w:t>
      </w:r>
      <w:proofErr w:type="spellEnd"/>
      <w:r w:rsidRPr="00815FC4">
        <w:t xml:space="preserve"> 2015).  Maximum LUE (</w:t>
      </w:r>
      <w:proofErr w:type="spellStart"/>
      <w:r w:rsidRPr="00815FC4">
        <w:t>εMax</w:t>
      </w:r>
      <w:proofErr w:type="spellEnd"/>
      <w:r w:rsidRPr="00815FC4">
        <w:t xml:space="preserve">) is an important parameter that shows the potential of a plant to convert light to carbon. At the leaf scale, </w:t>
      </w:r>
      <w:proofErr w:type="spellStart"/>
      <w:r w:rsidRPr="00815FC4">
        <w:t>εMax</w:t>
      </w:r>
      <w:proofErr w:type="spellEnd"/>
      <w:r w:rsidRPr="00815FC4">
        <w:t xml:space="preserve"> is a function of leaf physiology and potentially has a small variation among different types of plants. For example, Bolton and Hall (1991) showed that </w:t>
      </w:r>
      <w:proofErr w:type="spellStart"/>
      <w:r w:rsidRPr="00815FC4">
        <w:t>εMax</w:t>
      </w:r>
      <w:proofErr w:type="spellEnd"/>
      <w:r w:rsidRPr="00815FC4">
        <w:t xml:space="preserve"> for green plants with two photosystems under ideal conditions and bright sunlight is 13%. However, at the canopy scale and within and between biomes, the theoretical </w:t>
      </w:r>
      <w:proofErr w:type="spellStart"/>
      <w:r w:rsidRPr="00815FC4">
        <w:t>εMax</w:t>
      </w:r>
      <w:proofErr w:type="spellEnd"/>
      <w:r w:rsidRPr="00815FC4">
        <w:t xml:space="preserve"> is influenced by environmental factors such as temperature, water, plant physiology and canopy </w:t>
      </w:r>
      <w:proofErr w:type="spellStart"/>
      <w:r w:rsidRPr="00815FC4">
        <w:t>strucrture</w:t>
      </w:r>
      <w:proofErr w:type="spellEnd"/>
      <w:r w:rsidRPr="00815FC4">
        <w:t xml:space="preserve"> (</w:t>
      </w:r>
      <w:proofErr w:type="spellStart"/>
      <w:r w:rsidRPr="00815FC4">
        <w:t>Medlyn</w:t>
      </w:r>
      <w:proofErr w:type="spellEnd"/>
      <w:r w:rsidRPr="00815FC4">
        <w:t xml:space="preserve"> 1998; Gan et al. 2021; Pei et al. 2022) leading to an apparent </w:t>
      </w:r>
      <w:proofErr w:type="spellStart"/>
      <w:r w:rsidRPr="00815FC4">
        <w:t>LUE</w:t>
      </w:r>
      <w:r>
        <w:t>Max</w:t>
      </w:r>
      <w:proofErr w:type="spellEnd"/>
      <w:r w:rsidRPr="00815FC4">
        <w:t>.</w:t>
      </w:r>
      <w:r>
        <w:t xml:space="preserve"> </w:t>
      </w:r>
      <w:r w:rsidRPr="00815FC4">
        <w:t xml:space="preserve">It is expected that </w:t>
      </w:r>
      <w:proofErr w:type="spellStart"/>
      <w:r w:rsidRPr="00815FC4">
        <w:t>LUEMax</w:t>
      </w:r>
      <w:proofErr w:type="spellEnd"/>
      <w:r w:rsidRPr="00815FC4">
        <w:t xml:space="preserve"> varies between different biomes and types of plants.</w:t>
      </w:r>
    </w:p>
    <w:p w14:paraId="52BAED4F" w14:textId="01230780" w:rsidR="00A31F09" w:rsidRDefault="002C2021" w:rsidP="000177B3">
      <w:pPr>
        <w:spacing w:after="120"/>
      </w:pPr>
      <w:r w:rsidRPr="002C2021">
        <w:t xml:space="preserve">The variation in </w:t>
      </w:r>
      <w:proofErr w:type="spellStart"/>
      <w:r w:rsidRPr="002C2021">
        <w:t>LUE</w:t>
      </w:r>
      <w:r w:rsidRPr="00A31F09">
        <w:rPr>
          <w:vertAlign w:val="subscript"/>
        </w:rPr>
        <w:t>Max</w:t>
      </w:r>
      <w:proofErr w:type="spellEnd"/>
      <w:r w:rsidRPr="002C2021">
        <w:t xml:space="preserve"> is of interest as it provides critical information about the ecosystem's capacity for </w:t>
      </w:r>
      <w:r w:rsidR="00A31F09">
        <w:t>light to carbon conversion</w:t>
      </w:r>
      <w:r w:rsidRPr="002C2021">
        <w:t xml:space="preserve">. It also serves as the foundation for LUE-based models used in estimating GPP (Pei et al., 2022). The variability in </w:t>
      </w:r>
      <w:proofErr w:type="spellStart"/>
      <w:r w:rsidRPr="002C2021">
        <w:t>LUE</w:t>
      </w:r>
      <w:r w:rsidRPr="00A31F09">
        <w:rPr>
          <w:vertAlign w:val="subscript"/>
        </w:rPr>
        <w:t>Max</w:t>
      </w:r>
      <w:proofErr w:type="spellEnd"/>
      <w:r w:rsidRPr="002C2021">
        <w:t xml:space="preserve"> has been attributed to a range of processes, from ecological evolution (Field, 1991) to factors such as water use efficiency, nitrogen availability, light quality, pigment distribution, vegetation type, and atmospheric CO2 levels (for a</w:t>
      </w:r>
      <w:r w:rsidR="00A31F09">
        <w:t xml:space="preserve"> </w:t>
      </w:r>
      <w:r w:rsidRPr="002C2021">
        <w:t xml:space="preserve">review, see </w:t>
      </w:r>
      <w:proofErr w:type="spellStart"/>
      <w:r w:rsidRPr="002C2021">
        <w:t>Gitelson</w:t>
      </w:r>
      <w:proofErr w:type="spellEnd"/>
      <w:r w:rsidRPr="002C2021">
        <w:t xml:space="preserve"> and </w:t>
      </w:r>
      <w:proofErr w:type="spellStart"/>
      <w:r w:rsidRPr="002C2021">
        <w:t>Gamon</w:t>
      </w:r>
      <w:proofErr w:type="spellEnd"/>
      <w:r w:rsidRPr="002C2021">
        <w:t xml:space="preserve">, 2015; Gan et al., 2021). </w:t>
      </w:r>
    </w:p>
    <w:p w14:paraId="6C6AF32C" w14:textId="34EF248A" w:rsidR="00A31F09" w:rsidRDefault="002C2021" w:rsidP="00A31F09">
      <w:pPr>
        <w:spacing w:after="120"/>
      </w:pPr>
      <w:r w:rsidRPr="002C2021">
        <w:t>One aspect highlighted as a primary driver of changes in LUE is canopy structure</w:t>
      </w:r>
      <w:r w:rsidR="00A31F09">
        <w:t xml:space="preserve"> </w:t>
      </w:r>
      <w:r w:rsidR="00A31F09">
        <w:fldChar w:fldCharType="begin"/>
      </w:r>
      <w:r w:rsidR="00A31F09">
        <w:instrText xml:space="preserve"> ADDIN ZOTERO_ITEM CSL_CITATION {"citationID":"ewObZrDm","properties":{"formattedCitation":"(Medlyn 1998; Dechant et al. 2020; de Mattos et al. 2020)","plainCitation":"(Medlyn 1998; Dechant et al. 2020; de Mattos et al. 2020)","noteIndex":0},"citationItems":[{"id":2906,"uris":["http://zotero.org/users/505229/items/JXRFU7M9"],"itemData":{"id":2906,"type":"article-journal","abstract":"The observation that, for unstressed plants, light use efficiency of a plant canopy, defined as the ratio of net primary productivity (NPP) to absorbed photosynthetically active radiation (APAR), is approximately constant with respect to changes in APAR, implies that NPP can be modeled using a linear relationship with APAR. However, such a linear relationship is counter-intuitive because the relationship between leaf photosynthesis and absorbed light is strongly nonlinear. Three arguments have been advanced to explain the observed linear relationship between NPP and APAR. In this paper, a detailed, physiologically based model of canopy radiation absorption and photosynthesis (MAESTRO) was used to analyze these arguments.The first argument is that the canopy is structured so that radiation is distributed throughout the canopy such that most leaves are exposed to non-saturating quantum flux density, resulting in a linear response of canopy photosynthesis to APAR. Simulations of MAESTRO indicated that this explanation is inadequate, because daily values of canopy photosynthetic light use efficiency calculated with MAESTRO were highly variable regardless of canopy structure.The second argument is that variability in light use efficiency decreases with increasing time scale. The simulations showed that this is true to some extent, although simulated annual canopy photosynthetic light use efficiency still varies across sites with different LAI or light climate.The third argument is that changes in canopy nitrogen content act both to maximize net canopy photosynthesis and to keep light use efficiency constant. This argument could not be tested with the model, but the failure of the first two explanations suggests that this third explanation deserves closer attention.","container-title":"Tree Physiology","DOI":"10.1093/treephys/18.3.167","ISSN":"0829-318X","issue":"3","journalAbbreviation":"Tree Physiology","page":"167-176","source":"Silverchair","title":"Physiological basis of the light use efficiency model","volume":"18","author":[{"family":"Medlyn","given":"Belinda E."}],"issued":{"date-parts":[["1998",3,1]]}}},{"id":2909,"uris":["http://zotero.org/users/505229/items/HVLNHH9F"],"itemData":{"id":2909,"type":"article-journal","abstract":"Remote sensing of far-red sun-induced chlorophyll fluorescence (SIF) has emerged as an important tool for studying gross primary productivity (GPP) at the global scale. However, the relationship between SIF and GPP at the canopy scale lacks a clear mechanistic explanation. This is largely due to the poorly characterized role of the relative contributions from canopy structure and leaf physiology to the variability of the top-of-canopy, observed SIF signal. In particular, the effect of the canopy structure beyond light absorption is that only a fraction (fesc) of the SIF emitted from all leaves in the canopy can escape from the canopy due to the strong scattering of near-infrared radiation. We combined rice, wheat and corn canopy-level in-situ datasets to study how the physiological and structural components of SIF individually relate to measures of photosynthesis. At seasonal time scales, we found a considerably strong positive correlation (R2 = 0.4–0.6) of fesc to the seasonal dynamics of the photosynthetic light use efficiency (LUEP), while the estimated physiological SIF yield was almost entirely uncorrelated to LUEP both at seasonal and diurnal time scales, with the partial exception of wheat. Consistent with these findings, the canopy structure and radiation component of SIF, defined as the product of APAR and fesc, explained the relationship of observed SIF to GPP and even outperformed GPP estimation based on observed SIF at two of the three sites investigated. These results held for both half-hourly and daily mean values. In contrast, the total emitted SIF, obtained by normalizing observed SIF for fesc, improved only the relationship to APAR but considerably decreased the correlation to GPP for all three crops. Our findings demonstrate the dominant role of canopy structure in the SIF-GPP relationship and establish a strong, mechanistic link between the near-infrared reflectance of vegetation (NIRV) and the relevant canopy structure information contained in the SIF signal. These insights are expected to be useful in improving remote sensing based GPP estimates.","container-title":"Remote Sensing of Environment","DOI":"10.1016/j.rse.2020.111733","ISSN":"0034-4257","journalAbbreviation":"Remote Sensing of Environment","page":"111733","source":"ScienceDirect","title":"Canopy structure explains the relationship between photosynthesis and sun-induced chlorophyll fluorescence in crops","volume":"241","author":[{"family":"Dechant","given":"Benjamin"},{"family":"Ryu","given":"Youngryel"},{"family":"Badgley","given":"Grayson"},{"family":"Zeng","given":"Yelu"},{"family":"Berry","given":"Joseph A."},{"family":"Zhang","given":"Yongguang"},{"family":"Goulas","given":"Yves"},{"family":"Li","given":"Zhaohui"},{"family":"Zhang","given":"Qian"},{"family":"Kang","given":"Minseok"},{"family":"Li","given":"Ji"},{"family":"Moya","given":"Ismaël"}],"issued":{"date-parts":[["2020",5,1]]}}},{"id":2930,"uris":["http://zotero.org/users/505229/items/3UR3N5X9"],"itemData":{"id":2930,"type":"article-journal","abstract":"Differences in growth rates between Eucalyptus clones depend on differences in the acquisition of resources, and the efficiency of using resources to produce carbohydrates and grow wood. We examined differences in canopy structure, light interception, and light use efficiency for the 18 TECHS clones in a common garden experiment in Brazil. The degree of clumping within canopies varied substantially among clones, leading to large differences in both leaf area and light interception per unit of leaf area. Two methods of determining plot-level leaf area index (LP-80 and LAI-2000) were moderately well correlated (R2 = 0.4), but both methods underestimated actual leaf area index (determined by destructive sampling) by about one-third. Completely overcast sky conditions increased accuracy of leaf area estimates, reducing variation among measurements within plots and lowering the number of samples needed to obtain a given level of precision. Genotypes with high leaf area clumping also had higher leaf angle inclinations than genotypes with lower clumping. The apparent light interception coefficient (k) averaged 0.56 for the LP-80, and 0.47 for the LAI-2000. The range of k estimates differed by up to 2-fold among clones, underscoring the limited generality of light extinction coefficients. Light interception ranged from about 70 to 95% of incoming light, and leaf area index accounted for only 30% of the pattern in light interception among clones. Differences in stemwood production were influenced more strongly by clonal differences in efficiency of light use (stemwood production per unit of light intercepted) than by differences in leaf area or light interception. The efficiency of producing wood per unit of light intercepted spanned a two-fold range, with higher efficiencies for more productive clones. We suggest that production ecology studies focus more on measurements of light interception than on leaf area, avoiding issues about difficult-to-measure features of crown and canopy structures. The additional step of characterizing light use efficiency would also be very important.","container-title":"Forest Ecology and Management","DOI":"10.1016/j.foreco.2020.118038","ISSN":"0378-1127","journalAbbreviation":"Forest Ecology and Management","page":"118038","source":"ScienceDirect","title":"Variation in canopy structure, leaf area, light interception and light use efficiency among Eucalyptus clones","volume":"463","author":[{"family":"Mattos","given":"Eduardo M.","non-dropping-particle":"de"},{"family":"Binkley","given":"Dan"},{"family":"Campoe","given":"Otavio C."},{"family":"Alvares","given":"Clayton A."},{"family":"Stape","given":"Jose L."}],"issued":{"date-parts":[["2020",5,1]]}}}],"schema":"https://github.com/citation-style-language/schema/raw/master/csl-citation.json"} </w:instrText>
      </w:r>
      <w:r w:rsidR="00A31F09">
        <w:fldChar w:fldCharType="separate"/>
      </w:r>
      <w:r w:rsidR="00A31F09">
        <w:rPr>
          <w:noProof/>
        </w:rPr>
        <w:t>(Medlyn 1998; Dechant et al. 2020; de Mattos et al. 2020)</w:t>
      </w:r>
      <w:r w:rsidR="00A31F09">
        <w:fldChar w:fldCharType="end"/>
      </w:r>
      <w:r w:rsidRPr="002C2021">
        <w:t>.</w:t>
      </w:r>
      <w:r w:rsidR="00A31F09">
        <w:t xml:space="preserve"> </w:t>
      </w:r>
      <w:proofErr w:type="spellStart"/>
      <w:r w:rsidR="00A31F09">
        <w:t>Dechant</w:t>
      </w:r>
      <w:proofErr w:type="spellEnd"/>
      <w:r w:rsidR="00A31F09">
        <w:t xml:space="preserve"> et al. (2020) were the first to investigate the relationship between </w:t>
      </w:r>
      <w:r w:rsidR="00815FC4">
        <w:t>LUE</w:t>
      </w:r>
      <w:r w:rsidR="00A31F09">
        <w:t xml:space="preserve"> and canopy structure estimated through remote sensing observations. They correlated the half-hourly and daily LUE values with the fraction of absorbed </w:t>
      </w:r>
      <w:r w:rsidR="00A31F09">
        <w:lastRenderedPageBreak/>
        <w:t>radiation that escapes the canopy (</w:t>
      </w:r>
      <w:proofErr w:type="spellStart"/>
      <w:r w:rsidR="00A31F09">
        <w:t>fesc</w:t>
      </w:r>
      <w:proofErr w:type="spellEnd"/>
      <w:r w:rsidR="00A31F09">
        <w:t xml:space="preserve">). The variation in </w:t>
      </w:r>
      <w:proofErr w:type="spellStart"/>
      <w:r w:rsidR="00A31F09">
        <w:t>fesc</w:t>
      </w:r>
      <w:proofErr w:type="spellEnd"/>
      <w:r w:rsidR="00A31F09">
        <w:t xml:space="preserve"> is largely driven by the variation in canopy structure (</w:t>
      </w:r>
      <w:proofErr w:type="spellStart"/>
      <w:r w:rsidR="00A31F09">
        <w:t>Knyazikhin</w:t>
      </w:r>
      <w:proofErr w:type="spellEnd"/>
      <w:r w:rsidR="00A31F09">
        <w:t xml:space="preserve"> et al. 2013; </w:t>
      </w:r>
      <w:proofErr w:type="spellStart"/>
      <w:r w:rsidR="00A31F09">
        <w:t>Dechant</w:t>
      </w:r>
      <w:proofErr w:type="spellEnd"/>
      <w:r w:rsidR="00A31F09">
        <w:t xml:space="preserve"> et al. 2020).</w:t>
      </w:r>
    </w:p>
    <w:p w14:paraId="50FAF30B" w14:textId="3D0A2939" w:rsidR="00815FC4" w:rsidRDefault="00815FC4" w:rsidP="000177B3">
      <w:pPr>
        <w:spacing w:after="120"/>
      </w:pPr>
      <w:r w:rsidRPr="00815FC4">
        <w:t xml:space="preserve">While the findings of </w:t>
      </w:r>
      <w:proofErr w:type="spellStart"/>
      <w:r w:rsidRPr="00815FC4">
        <w:t>Dechant</w:t>
      </w:r>
      <w:proofErr w:type="spellEnd"/>
      <w:r w:rsidRPr="00815FC4">
        <w:t xml:space="preserve"> et al. provide valuable insights, there are a few challenges that limit the generalization of their results. First, the LUE is not equivalent to the LUEmax. There is evidence that LUE can vary significantly throughout the day due to changes in factors such as photosynthetically active radiation (PAR), as well as seasonally due to factors like canopy structure, stress, and environmental conditions (</w:t>
      </w:r>
      <w:proofErr w:type="spellStart"/>
      <w:r w:rsidRPr="00815FC4">
        <w:t>Gitelson</w:t>
      </w:r>
      <w:proofErr w:type="spellEnd"/>
      <w:r w:rsidRPr="00815FC4">
        <w:t xml:space="preserve">, </w:t>
      </w:r>
      <w:proofErr w:type="spellStart"/>
      <w:r w:rsidRPr="00815FC4">
        <w:t>Arkebauer</w:t>
      </w:r>
      <w:proofErr w:type="spellEnd"/>
      <w:r w:rsidRPr="00815FC4">
        <w:t xml:space="preserve">, and </w:t>
      </w:r>
      <w:proofErr w:type="spellStart"/>
      <w:r w:rsidRPr="00815FC4">
        <w:t>Suyker</w:t>
      </w:r>
      <w:proofErr w:type="spellEnd"/>
      <w:r w:rsidRPr="00815FC4">
        <w:t xml:space="preserve"> 2018; </w:t>
      </w:r>
      <w:proofErr w:type="spellStart"/>
      <w:r w:rsidRPr="00815FC4">
        <w:t>Gamon</w:t>
      </w:r>
      <w:proofErr w:type="spellEnd"/>
      <w:r w:rsidRPr="00815FC4">
        <w:t xml:space="preserve"> and Berry 2012). As a result, the relationship between </w:t>
      </w:r>
      <w:proofErr w:type="spellStart"/>
      <w:r w:rsidRPr="00815FC4">
        <w:t>fesc</w:t>
      </w:r>
      <w:proofErr w:type="spellEnd"/>
      <w:r w:rsidRPr="00815FC4">
        <w:t xml:space="preserve"> and LUE in </w:t>
      </w:r>
      <w:proofErr w:type="spellStart"/>
      <w:r w:rsidRPr="00815FC4">
        <w:t>Dechant</w:t>
      </w:r>
      <w:proofErr w:type="spellEnd"/>
      <w:r w:rsidRPr="00815FC4">
        <w:t xml:space="preserve"> et al. likely confounds the impact of canopy structure with other dynamic factors. In contrast, LUEmax is a more stable metric (</w:t>
      </w:r>
      <w:proofErr w:type="spellStart"/>
      <w:r w:rsidRPr="00815FC4">
        <w:t>Medlyn</w:t>
      </w:r>
      <w:proofErr w:type="spellEnd"/>
      <w:r w:rsidRPr="00815FC4">
        <w:t xml:space="preserve"> 1998) and better represents the inherent capacity of plants or biomes to convert light into carbon. Furthermore, the LUE-</w:t>
      </w:r>
      <w:proofErr w:type="spellStart"/>
      <w:r w:rsidRPr="00815FC4">
        <w:t>fesc</w:t>
      </w:r>
      <w:proofErr w:type="spellEnd"/>
      <w:r w:rsidRPr="00815FC4">
        <w:t xml:space="preserve"> relationship reported in the study is based on a limited dataset of just three crop sites. A more comprehensive, global study on the relationship between LUEmax and </w:t>
      </w:r>
      <w:proofErr w:type="spellStart"/>
      <w:r w:rsidRPr="00815FC4">
        <w:t>fesc</w:t>
      </w:r>
      <w:proofErr w:type="spellEnd"/>
      <w:r w:rsidRPr="00815FC4">
        <w:t xml:space="preserve"> would provide deeper and more generalizable insights.</w:t>
      </w:r>
    </w:p>
    <w:p w14:paraId="15932244" w14:textId="07B54A95" w:rsidR="006309D4" w:rsidRDefault="00A31F09" w:rsidP="000177B3">
      <w:pPr>
        <w:spacing w:after="120"/>
      </w:pPr>
      <w:r w:rsidRPr="00A31F09">
        <w:t xml:space="preserve">The main objective of this study is to address the challenges mentioned and examine the relationship between </w:t>
      </w:r>
      <w:proofErr w:type="spellStart"/>
      <w:r w:rsidRPr="00A31F09">
        <w:t>fesc</w:t>
      </w:r>
      <w:proofErr w:type="spellEnd"/>
      <w:r w:rsidRPr="00A31F09">
        <w:t xml:space="preserve"> and LUEmax across larger spatial scales. </w:t>
      </w:r>
      <w:proofErr w:type="spellStart"/>
      <w:r w:rsidRPr="00A31F09">
        <w:t>Dechant</w:t>
      </w:r>
      <w:proofErr w:type="spellEnd"/>
      <w:r w:rsidRPr="00A31F09">
        <w:t xml:space="preserve"> et al. (2020) demonstrated that up to 80% of the variation in gross primary production (GPP) can be explained by:</w:t>
      </w:r>
    </w:p>
    <w:p w14:paraId="6B54AA25" w14:textId="36698503" w:rsidR="006309D4" w:rsidRDefault="006309D4" w:rsidP="002C2021">
      <w:pPr>
        <w:spacing w:after="120"/>
        <w:jc w:val="center"/>
        <w:rPr>
          <w:rFonts w:eastAsiaTheme="minorEastAsia"/>
        </w:rPr>
      </w:pPr>
      <m:oMath>
        <m:r>
          <w:rPr>
            <w:rFonts w:ascii="Cambria Math" w:hAnsi="Cambria Math"/>
          </w:rPr>
          <m:t>GPP=APAR∙fesc</m:t>
        </m:r>
      </m:oMath>
      <w:r w:rsidR="002C2021">
        <w:rPr>
          <w:rFonts w:eastAsiaTheme="minorEastAsia"/>
        </w:rPr>
        <w:t xml:space="preserve"> </w:t>
      </w:r>
      <w:r w:rsidR="002C2021">
        <w:rPr>
          <w:rFonts w:eastAsiaTheme="minorEastAsia"/>
        </w:rPr>
        <w:tab/>
      </w:r>
      <w:r w:rsidR="002C2021">
        <w:rPr>
          <w:rFonts w:eastAsiaTheme="minorEastAsia"/>
        </w:rPr>
        <w:tab/>
      </w:r>
      <w:r w:rsidR="002C2021">
        <w:rPr>
          <w:rFonts w:eastAsiaTheme="minorEastAsia"/>
        </w:rPr>
        <w:tab/>
        <w:t>(1)</w:t>
      </w:r>
    </w:p>
    <w:p w14:paraId="27C181C4" w14:textId="77777777" w:rsidR="002C2021" w:rsidRDefault="002C2021" w:rsidP="000177B3">
      <w:pPr>
        <w:spacing w:after="120"/>
        <w:rPr>
          <w:rFonts w:eastAsiaTheme="minorEastAsia"/>
        </w:rPr>
      </w:pPr>
      <w:r w:rsidRPr="002C2021">
        <w:rPr>
          <w:rFonts w:eastAsiaTheme="minorEastAsia"/>
        </w:rPr>
        <w:t>Here, APAR represents absorbed photosynthetic radiation, which can be calculated as:</w:t>
      </w:r>
    </w:p>
    <w:p w14:paraId="6B43A6FD" w14:textId="55F2782C" w:rsidR="0097193E" w:rsidRDefault="00A31F09" w:rsidP="002C2021">
      <w:pPr>
        <w:spacing w:after="120"/>
        <w:jc w:val="center"/>
        <w:rPr>
          <w:rFonts w:eastAsiaTheme="minorEastAsia"/>
        </w:rPr>
      </w:pPr>
      <m:oMath>
        <m:r>
          <w:rPr>
            <w:rFonts w:ascii="Cambria Math" w:eastAsiaTheme="minorEastAsia" w:hAnsi="Cambria Math"/>
          </w:rPr>
          <m:t>GPP</m:t>
        </m:r>
        <m:r>
          <w:rPr>
            <w:rFonts w:ascii="Cambria Math" w:eastAsiaTheme="minorEastAsia" w:hAnsi="Cambria Math"/>
          </w:rPr>
          <m:t xml:space="preserve">=APAR∙ </m:t>
        </m:r>
        <m:sSub>
          <m:sSubPr>
            <m:ctrlPr>
              <w:rPr>
                <w:rFonts w:ascii="Cambria Math" w:eastAsiaTheme="minorEastAsia" w:hAnsi="Cambria Math"/>
                <w:i/>
              </w:rPr>
            </m:ctrlPr>
          </m:sSubPr>
          <m:e>
            <m:r>
              <w:rPr>
                <w:rFonts w:ascii="Cambria Math" w:eastAsiaTheme="minorEastAsia" w:hAnsi="Cambria Math"/>
              </w:rPr>
              <m:t>LUE</m:t>
            </m:r>
          </m:e>
          <m:sub>
            <m:r>
              <w:rPr>
                <w:rFonts w:ascii="Cambria Math" w:eastAsiaTheme="minorEastAsia" w:hAnsi="Cambria Math"/>
              </w:rPr>
              <m:t>Max</m:t>
            </m:r>
          </m:sub>
        </m:sSub>
      </m:oMath>
      <w:r w:rsidR="002C2021">
        <w:rPr>
          <w:rFonts w:eastAsiaTheme="minorEastAsia"/>
        </w:rPr>
        <w:t xml:space="preserve"> </w:t>
      </w:r>
      <w:r w:rsidR="002C2021">
        <w:rPr>
          <w:rFonts w:eastAsiaTheme="minorEastAsia"/>
        </w:rPr>
        <w:tab/>
      </w:r>
      <w:r w:rsidR="002C2021">
        <w:rPr>
          <w:rFonts w:eastAsiaTheme="minorEastAsia"/>
        </w:rPr>
        <w:tab/>
      </w:r>
      <w:r>
        <w:rPr>
          <w:rFonts w:eastAsiaTheme="minorEastAsia"/>
        </w:rPr>
        <w:tab/>
      </w:r>
      <w:r w:rsidR="002C2021">
        <w:rPr>
          <w:rFonts w:eastAsiaTheme="minorEastAsia"/>
        </w:rPr>
        <w:t>(2)</w:t>
      </w:r>
    </w:p>
    <w:p w14:paraId="2C85E6F0" w14:textId="01036487" w:rsidR="0097193E" w:rsidRDefault="002C2021" w:rsidP="000177B3">
      <w:pPr>
        <w:spacing w:after="120"/>
        <w:rPr>
          <w:rFonts w:eastAsiaTheme="minorEastAsia"/>
        </w:rPr>
      </w:pPr>
      <w:r w:rsidRPr="002C2021">
        <w:rPr>
          <w:rFonts w:eastAsiaTheme="minorEastAsia"/>
        </w:rPr>
        <w:t xml:space="preserve">Where PAR is the photosynthetic absorbed radiation, and </w:t>
      </w:r>
      <w:proofErr w:type="spellStart"/>
      <w:r w:rsidRPr="002C2021">
        <w:rPr>
          <w:rFonts w:eastAsiaTheme="minorEastAsia"/>
        </w:rPr>
        <w:t>fPAR</w:t>
      </w:r>
      <w:proofErr w:type="spellEnd"/>
      <w:r w:rsidRPr="002C2021">
        <w:rPr>
          <w:rFonts w:eastAsiaTheme="minorEastAsia"/>
        </w:rPr>
        <w:t xml:space="preserve"> is the fraction of absorbed photosynthetic radiation. The variable </w:t>
      </w:r>
      <w:proofErr w:type="spellStart"/>
      <w:r w:rsidRPr="002C2021">
        <w:rPr>
          <w:rFonts w:eastAsiaTheme="minorEastAsia"/>
        </w:rPr>
        <w:t>fesc</w:t>
      </w:r>
      <w:proofErr w:type="spellEnd"/>
      <w:r w:rsidRPr="002C2021">
        <w:rPr>
          <w:rFonts w:eastAsiaTheme="minorEastAsia"/>
        </w:rPr>
        <w:t xml:space="preserve"> can be approximated by (</w:t>
      </w:r>
      <w:proofErr w:type="spellStart"/>
      <w:r w:rsidRPr="002C2021">
        <w:rPr>
          <w:rFonts w:eastAsiaTheme="minorEastAsia"/>
        </w:rPr>
        <w:t>Yelu</w:t>
      </w:r>
      <w:proofErr w:type="spellEnd"/>
      <w:r w:rsidRPr="002C2021">
        <w:rPr>
          <w:rFonts w:eastAsiaTheme="minorEastAsia"/>
        </w:rPr>
        <w:t xml:space="preserve"> et al.):</w:t>
      </w:r>
    </w:p>
    <w:p w14:paraId="4CBE3A01" w14:textId="66515B20" w:rsidR="0056464B" w:rsidRDefault="0097193E" w:rsidP="002C2021">
      <w:pPr>
        <w:spacing w:after="120"/>
        <w:jc w:val="center"/>
        <w:rPr>
          <w:rFonts w:eastAsiaTheme="minorEastAsia"/>
        </w:rPr>
      </w:pPr>
      <m:oMath>
        <m:r>
          <w:rPr>
            <w:rFonts w:ascii="Cambria Math" w:eastAsiaTheme="minorEastAsia" w:hAnsi="Cambria Math"/>
          </w:rPr>
          <m:t>fesc≈</m:t>
        </m:r>
        <m:f>
          <m:fPr>
            <m:ctrlPr>
              <w:rPr>
                <w:rFonts w:ascii="Cambria Math" w:eastAsiaTheme="minorEastAsia" w:hAnsi="Cambria Math"/>
                <w:i/>
              </w:rPr>
            </m:ctrlPr>
          </m:fPr>
          <m:num>
            <m:r>
              <w:rPr>
                <w:rFonts w:ascii="Cambria Math" w:eastAsiaTheme="minorEastAsia" w:hAnsi="Cambria Math"/>
              </w:rPr>
              <m:t>NIRV</m:t>
            </m:r>
          </m:num>
          <m:den>
            <m:r>
              <w:rPr>
                <w:rFonts w:ascii="Cambria Math" w:eastAsiaTheme="minorEastAsia" w:hAnsi="Cambria Math"/>
              </w:rPr>
              <m:t>f</m:t>
            </m:r>
            <m:r>
              <w:rPr>
                <w:rFonts w:ascii="Cambria Math" w:eastAsiaTheme="minorEastAsia" w:hAnsi="Cambria Math"/>
              </w:rPr>
              <m:t>PAR</m:t>
            </m:r>
          </m:den>
        </m:f>
        <m:r>
          <w:rPr>
            <w:rFonts w:ascii="Cambria Math" w:eastAsiaTheme="minorEastAsia" w:hAnsi="Cambria Math"/>
          </w:rPr>
          <m:t xml:space="preserve"> </m:t>
        </m:r>
      </m:oMath>
      <w:r w:rsidR="002C2021">
        <w:rPr>
          <w:rFonts w:eastAsiaTheme="minorEastAsia"/>
        </w:rPr>
        <w:t xml:space="preserve"> </w:t>
      </w:r>
      <w:r w:rsidR="002C2021">
        <w:rPr>
          <w:rFonts w:eastAsiaTheme="minorEastAsia"/>
        </w:rPr>
        <w:tab/>
      </w:r>
      <w:r w:rsidR="002C2021">
        <w:rPr>
          <w:rFonts w:eastAsiaTheme="minorEastAsia"/>
        </w:rPr>
        <w:tab/>
      </w:r>
      <w:r w:rsidR="002C2021">
        <w:rPr>
          <w:rFonts w:eastAsiaTheme="minorEastAsia"/>
        </w:rPr>
        <w:tab/>
      </w:r>
      <w:r w:rsidR="002C2021">
        <w:rPr>
          <w:rFonts w:eastAsiaTheme="minorEastAsia"/>
        </w:rPr>
        <w:tab/>
        <w:t>(3)</w:t>
      </w:r>
    </w:p>
    <w:p w14:paraId="783CE08B" w14:textId="4361600B" w:rsidR="002C2021" w:rsidRDefault="002C2021" w:rsidP="000177B3">
      <w:pPr>
        <w:spacing w:after="120"/>
      </w:pPr>
      <w:r w:rsidRPr="002C2021">
        <w:rPr>
          <w:rFonts w:eastAsiaTheme="minorEastAsia"/>
        </w:rPr>
        <w:t>Where NIRV can be acquired by multiplying the normalized difference vegetation index (NDVI = (NIR - RED) / (NIR + RED)) by the reflectance values in the near-infrared region of the spectrum (i.e., NIR</w:t>
      </w:r>
      <w:r w:rsidRPr="00A31F09">
        <w:rPr>
          <w:rFonts w:eastAsiaTheme="minorEastAsia"/>
          <w:vertAlign w:val="subscript"/>
        </w:rPr>
        <w:t>V</w:t>
      </w:r>
      <w:r w:rsidRPr="002C2021">
        <w:rPr>
          <w:rFonts w:eastAsiaTheme="minorEastAsia"/>
        </w:rPr>
        <w:t xml:space="preserve"> = NDVI * NIR). </w:t>
      </w:r>
      <w:r w:rsidRPr="002C2021">
        <w:t>On the other hand, from the classical approach</w:t>
      </w:r>
      <w:r>
        <w:t xml:space="preserve"> </w:t>
      </w:r>
      <w:r>
        <w:fldChar w:fldCharType="begin"/>
      </w:r>
      <w:r>
        <w:instrText xml:space="preserve"> ADDIN ZOTERO_ITEM CSL_CITATION {"citationID":"GsDbFM3C","properties":{"formattedCitation":"(Monteith 1972)","plainCitation":"(Monteith 1972)","noteIndex":0},"citationItems":[{"id":2894,"uris":["http://zotero.org/users/505229/items/G6IUMKF5"],"itemData":{"id":2894,"type":"article-journal","container-title":"Journal of Applied Ecology","DOI":"10.2307/2401901","ISSN":"0021-8901","issue":"3","note":"publisher: [British Ecological Society, Wiley]","page":"747-766","source":"JSTOR","title":"Solar Radiation and Productivity in Tropical Ecosystems","volume":"9","author":[{"family":"Monteith","given":"J. L."}],"issued":{"date-parts":[["1972"]]}}}],"schema":"https://github.com/citation-style-language/schema/raw/master/csl-citation.json"} </w:instrText>
      </w:r>
      <w:r>
        <w:fldChar w:fldCharType="separate"/>
      </w:r>
      <w:r>
        <w:rPr>
          <w:noProof/>
        </w:rPr>
        <w:t>(Monteith 1972)</w:t>
      </w:r>
      <w:r>
        <w:fldChar w:fldCharType="end"/>
      </w:r>
      <w:r w:rsidRPr="002C2021">
        <w:t>, we have:</w:t>
      </w:r>
    </w:p>
    <w:p w14:paraId="0A84875F" w14:textId="23D0B91B" w:rsidR="00C62943" w:rsidRPr="000177B3" w:rsidRDefault="006309D4" w:rsidP="002C2021">
      <w:pPr>
        <w:spacing w:after="120"/>
        <w:jc w:val="center"/>
        <w:rPr>
          <w:rFonts w:eastAsiaTheme="minorEastAsia"/>
        </w:rPr>
      </w:pPr>
      <m:oMath>
        <m:r>
          <w:rPr>
            <w:rFonts w:ascii="Cambria Math" w:hAnsi="Cambria Math"/>
          </w:rPr>
          <m:t>GPP=APAR∙</m:t>
        </m:r>
        <m:sSub>
          <m:sSubPr>
            <m:ctrlPr>
              <w:rPr>
                <w:rFonts w:ascii="Cambria Math" w:hAnsi="Cambria Math"/>
                <w:i/>
              </w:rPr>
            </m:ctrlPr>
          </m:sSubPr>
          <m:e>
            <m:r>
              <w:rPr>
                <w:rFonts w:ascii="Cambria Math" w:hAnsi="Cambria Math"/>
              </w:rPr>
              <m:t>LUE</m:t>
            </m:r>
          </m:e>
          <m:sub>
            <m:r>
              <w:rPr>
                <w:rFonts w:ascii="Cambria Math" w:hAnsi="Cambria Math"/>
              </w:rPr>
              <m:t>Max</m:t>
            </m:r>
          </m:sub>
        </m:sSub>
      </m:oMath>
      <w:r w:rsidR="002C2021">
        <w:rPr>
          <w:rFonts w:eastAsiaTheme="minorEastAsia"/>
        </w:rPr>
        <w:t xml:space="preserve"> </w:t>
      </w:r>
      <w:r w:rsidR="002C2021">
        <w:rPr>
          <w:rFonts w:eastAsiaTheme="minorEastAsia"/>
        </w:rPr>
        <w:tab/>
      </w:r>
      <w:r w:rsidR="002C2021">
        <w:rPr>
          <w:rFonts w:eastAsiaTheme="minorEastAsia"/>
        </w:rPr>
        <w:tab/>
        <w:t>(4)</w:t>
      </w:r>
    </w:p>
    <w:p w14:paraId="44F551F3" w14:textId="7CD4996E" w:rsidR="00A31F09" w:rsidRDefault="00A31F09" w:rsidP="000177B3">
      <w:pPr>
        <w:pStyle w:val="Heading1"/>
        <w:spacing w:after="120"/>
        <w:rPr>
          <w:rFonts w:ascii="Calibri" w:eastAsiaTheme="minorHAnsi" w:hAnsi="Calibri" w:cstheme="minorBidi"/>
          <w:color w:val="auto"/>
          <w:sz w:val="24"/>
          <w:szCs w:val="24"/>
        </w:rPr>
      </w:pPr>
      <w:r w:rsidRPr="00A31F09">
        <w:rPr>
          <w:rFonts w:ascii="Calibri" w:eastAsiaTheme="minorHAnsi" w:hAnsi="Calibri" w:cstheme="minorBidi"/>
          <w:color w:val="auto"/>
          <w:sz w:val="24"/>
          <w:szCs w:val="24"/>
        </w:rPr>
        <w:lastRenderedPageBreak/>
        <w:t xml:space="preserve">By comparing equations 1 and 4, we hypothesize that there is a strong relationship between </w:t>
      </w:r>
      <w:proofErr w:type="spellStart"/>
      <w:r w:rsidRPr="00A31F09">
        <w:rPr>
          <w:rFonts w:ascii="Calibri" w:eastAsiaTheme="minorHAnsi" w:hAnsi="Calibri" w:cstheme="minorBidi"/>
          <w:color w:val="auto"/>
          <w:sz w:val="24"/>
          <w:szCs w:val="24"/>
        </w:rPr>
        <w:t>fesc</w:t>
      </w:r>
      <w:proofErr w:type="spellEnd"/>
      <w:r w:rsidRPr="00A31F09">
        <w:rPr>
          <w:rFonts w:ascii="Calibri" w:eastAsiaTheme="minorHAnsi" w:hAnsi="Calibri" w:cstheme="minorBidi"/>
          <w:color w:val="auto"/>
          <w:sz w:val="24"/>
          <w:szCs w:val="24"/>
        </w:rPr>
        <w:t xml:space="preserve"> and LUEmax. This is because changes in canopy structure, and hence </w:t>
      </w:r>
      <w:proofErr w:type="spellStart"/>
      <w:r w:rsidRPr="00A31F09">
        <w:rPr>
          <w:rFonts w:ascii="Calibri" w:eastAsiaTheme="minorHAnsi" w:hAnsi="Calibri" w:cstheme="minorBidi"/>
          <w:color w:val="auto"/>
          <w:sz w:val="24"/>
          <w:szCs w:val="24"/>
        </w:rPr>
        <w:t>fesc</w:t>
      </w:r>
      <w:proofErr w:type="spellEnd"/>
      <w:r w:rsidRPr="00A31F09">
        <w:rPr>
          <w:rFonts w:ascii="Calibri" w:eastAsiaTheme="minorHAnsi" w:hAnsi="Calibri" w:cstheme="minorBidi"/>
          <w:color w:val="auto"/>
          <w:sz w:val="24"/>
          <w:szCs w:val="24"/>
        </w:rPr>
        <w:t>, are more dominant spatially over larger domains rather than temporally over a specific site. To test this hypothesis, we utilized data from more than 270 eddy covariance sites along with remote sensing observations and investigated the relationship between the two variables across various biomes and within individual biomes</w:t>
      </w:r>
      <w:r>
        <w:rPr>
          <w:rFonts w:ascii="Calibri" w:eastAsiaTheme="minorHAnsi" w:hAnsi="Calibri" w:cstheme="minorBidi"/>
          <w:color w:val="auto"/>
          <w:sz w:val="24"/>
          <w:szCs w:val="24"/>
        </w:rPr>
        <w:t>.</w:t>
      </w:r>
    </w:p>
    <w:p w14:paraId="5296B145" w14:textId="4DE0D26C" w:rsidR="00F552F1" w:rsidRDefault="00F552F1" w:rsidP="00A31F09">
      <w:pPr>
        <w:pStyle w:val="Heading1"/>
      </w:pPr>
      <w:r w:rsidRPr="00A31F09">
        <w:t>Materials</w:t>
      </w:r>
      <w:r>
        <w:t xml:space="preserve"> and Methods</w:t>
      </w:r>
    </w:p>
    <w:p w14:paraId="2B739AFD" w14:textId="22C4D41F" w:rsidR="00A31F09" w:rsidRDefault="00A31F09" w:rsidP="00A31F09">
      <w:pPr>
        <w:spacing w:after="120"/>
      </w:pPr>
      <w:r>
        <w:t xml:space="preserve">The eddy covariance (EC) data used in this study comes from two global EC networks, the FLUXNET2015 Dataset and </w:t>
      </w:r>
      <w:proofErr w:type="spellStart"/>
      <w:r>
        <w:t>AmeriFlux</w:t>
      </w:r>
      <w:proofErr w:type="spellEnd"/>
      <w:r>
        <w:t>. Table S1 (in the supplementary material) provides more information on all the sites used in this study. Both datasets use the same pipeline to process the data (</w:t>
      </w:r>
      <w:proofErr w:type="spellStart"/>
      <w:r>
        <w:t>Pastorello</w:t>
      </w:r>
      <w:proofErr w:type="spellEnd"/>
      <w:r>
        <w:t xml:space="preserve"> et al. 2020). If a site was present in both datasets, we selected its data from </w:t>
      </w:r>
      <w:proofErr w:type="spellStart"/>
      <w:r>
        <w:t>AmeriFlux</w:t>
      </w:r>
      <w:proofErr w:type="spellEnd"/>
      <w:r>
        <w:t xml:space="preserve"> since they usually include the most recent updates compared to its counterpart in FLUXNET.</w:t>
      </w:r>
    </w:p>
    <w:p w14:paraId="084AF4B1" w14:textId="2D994717" w:rsidR="00A31F09" w:rsidRDefault="00A31F09" w:rsidP="00A31F09">
      <w:pPr>
        <w:spacing w:after="120"/>
      </w:pPr>
      <w:r>
        <w:t xml:space="preserve">To calculate </w:t>
      </w:r>
      <w:proofErr w:type="spellStart"/>
      <w:r>
        <w:t>fesc</w:t>
      </w:r>
      <w:proofErr w:type="spellEnd"/>
      <w:r>
        <w:t xml:space="preserve">, we required reflectance and </w:t>
      </w:r>
      <w:proofErr w:type="spellStart"/>
      <w:r>
        <w:t>fPAR</w:t>
      </w:r>
      <w:proofErr w:type="spellEnd"/>
      <w:r>
        <w:t xml:space="preserve"> data. In this study, we used MODIS products. The reflectance data was obtained from the daily MCD43A4 Version 6.1 Nadir Bidirectional Reflectance Distribution Function (BRDF)-Adjusted Reflectance product, and the </w:t>
      </w:r>
      <w:proofErr w:type="spellStart"/>
      <w:r>
        <w:t>fPAR</w:t>
      </w:r>
      <w:proofErr w:type="spellEnd"/>
      <w:r>
        <w:t xml:space="preserve"> data was obtained from the MCD15A3H Version 6.1 Fraction of Photosynthetically Active Radiation product. Both products have a spatial resolution of 500 meters, which we assume roughly matches the footprint of the EC towers.</w:t>
      </w:r>
      <w:r>
        <w:t xml:space="preserve"> </w:t>
      </w:r>
      <w:r>
        <w:t xml:space="preserve">The </w:t>
      </w:r>
      <w:proofErr w:type="spellStart"/>
      <w:r>
        <w:t>fPAR</w:t>
      </w:r>
      <w:proofErr w:type="spellEnd"/>
      <w:r>
        <w:t xml:space="preserve"> product has a 4-day temporal resolution. To make it consistent with the daily reflectance and EC data, we resampled the </w:t>
      </w:r>
      <w:proofErr w:type="spellStart"/>
      <w:r>
        <w:t>fPAR</w:t>
      </w:r>
      <w:proofErr w:type="spellEnd"/>
      <w:r>
        <w:t xml:space="preserve"> data to daily using linear interpolation.</w:t>
      </w:r>
    </w:p>
    <w:p w14:paraId="090C2A33" w14:textId="22FECF6E" w:rsidR="00A31F09" w:rsidRDefault="00A31F09" w:rsidP="00A31F09">
      <w:pPr>
        <w:spacing w:after="120"/>
        <w:rPr>
          <w:rFonts w:eastAsiaTheme="minorEastAsia"/>
        </w:rPr>
      </w:pPr>
      <w:r>
        <w:t>From the EC data, we only used GPP and PAR data that met the following criteria: 1) 20% or less of the data was gap-filled, 2) the net ecosystem exchange (NEE) uncertainties were less than 3 g C m-2 d-1, and 3) the GPP partitioned using day- and night-time methods differed by less than 3 g C m-2 d-1. We then took the mean of the day and night GPP estimates as the daily GPP (Joiner et al. 2018; Tramontana et al. 2016; Joiner and Yoshida 2020).</w:t>
      </w:r>
      <w:r>
        <w:t xml:space="preserve"> </w:t>
      </w:r>
      <w:r>
        <w:t>For the reflectance data, we used the red and near-infrared (NIR) bands. We filtered the data to include only good quality observations where the main BRDF algorithm was used to process the data.</w:t>
      </w:r>
      <w:r>
        <w:t xml:space="preserve"> </w:t>
      </w:r>
      <w:r>
        <w:t xml:space="preserve">Similarly, for the </w:t>
      </w:r>
      <w:proofErr w:type="spellStart"/>
      <w:r>
        <w:t>fPAR</w:t>
      </w:r>
      <w:proofErr w:type="spellEnd"/>
      <w:r>
        <w:t xml:space="preserve"> data, we only included observations where the main radiative transfer algorithm was used to derive </w:t>
      </w:r>
      <w:proofErr w:type="spellStart"/>
      <w:r>
        <w:t>fPAR</w:t>
      </w:r>
      <w:proofErr w:type="spellEnd"/>
      <w:r>
        <w:t>, and there were no significant cloud cover issues in the scene.</w:t>
      </w:r>
      <w:r>
        <w:t xml:space="preserve"> </w:t>
      </w:r>
      <w:r w:rsidRPr="00A31F09">
        <w:rPr>
          <w:rFonts w:eastAsiaTheme="minorEastAsia"/>
        </w:rPr>
        <w:t>After the data pre-processing and quality filtering, we were left with 27</w:t>
      </w:r>
      <w:r>
        <w:rPr>
          <w:rFonts w:eastAsiaTheme="minorEastAsia"/>
        </w:rPr>
        <w:t>6</w:t>
      </w:r>
      <w:r w:rsidRPr="00A31F09">
        <w:rPr>
          <w:rFonts w:eastAsiaTheme="minorEastAsia"/>
        </w:rPr>
        <w:t xml:space="preserve"> sites which include 212,552 days of data across 13 different biomes (see Table 1 for details).</w:t>
      </w:r>
    </w:p>
    <w:p w14:paraId="71554CA6" w14:textId="10D4CD89" w:rsidR="00A31F09" w:rsidRDefault="00A31F09" w:rsidP="006B376E">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8154C5">
        <w:t>The number of site and observations for each biome.</w:t>
      </w:r>
    </w:p>
    <w:tbl>
      <w:tblPr>
        <w:tblStyle w:val="TableGrid"/>
        <w:tblW w:w="6853" w:type="dxa"/>
        <w:jc w:val="center"/>
        <w:tblLayout w:type="fixed"/>
        <w:tblLook w:val="04A0" w:firstRow="1" w:lastRow="0" w:firstColumn="1" w:lastColumn="0" w:noHBand="0" w:noVBand="1"/>
      </w:tblPr>
      <w:tblGrid>
        <w:gridCol w:w="2702"/>
        <w:gridCol w:w="1083"/>
        <w:gridCol w:w="1263"/>
        <w:gridCol w:w="1805"/>
      </w:tblGrid>
      <w:tr w:rsidR="00A31F09" w14:paraId="7996CDFD" w14:textId="77777777" w:rsidTr="006B376E">
        <w:trPr>
          <w:trHeight w:val="288"/>
          <w:jc w:val="center"/>
        </w:trPr>
        <w:tc>
          <w:tcPr>
            <w:tcW w:w="2702" w:type="dxa"/>
          </w:tcPr>
          <w:p w14:paraId="32BB9A4E" w14:textId="77777777" w:rsidR="00A31F09" w:rsidRPr="00E4389D" w:rsidRDefault="00A31F09" w:rsidP="007B081F">
            <w:pPr>
              <w:spacing w:after="120"/>
              <w:rPr>
                <w:sz w:val="16"/>
                <w:szCs w:val="16"/>
              </w:rPr>
            </w:pPr>
            <w:r w:rsidRPr="00E4389D">
              <w:rPr>
                <w:sz w:val="16"/>
                <w:szCs w:val="16"/>
              </w:rPr>
              <w:t>Biome</w:t>
            </w:r>
          </w:p>
        </w:tc>
        <w:tc>
          <w:tcPr>
            <w:tcW w:w="1083" w:type="dxa"/>
          </w:tcPr>
          <w:p w14:paraId="621B6984" w14:textId="77777777" w:rsidR="00A31F09" w:rsidRPr="00E4389D" w:rsidRDefault="00A31F09" w:rsidP="007B081F">
            <w:pPr>
              <w:spacing w:after="120"/>
              <w:rPr>
                <w:sz w:val="16"/>
                <w:szCs w:val="16"/>
              </w:rPr>
            </w:pPr>
            <w:r w:rsidRPr="00E4389D">
              <w:rPr>
                <w:sz w:val="16"/>
                <w:szCs w:val="16"/>
              </w:rPr>
              <w:t>Abbreviation</w:t>
            </w:r>
          </w:p>
        </w:tc>
        <w:tc>
          <w:tcPr>
            <w:tcW w:w="1263" w:type="dxa"/>
          </w:tcPr>
          <w:p w14:paraId="50ABDC39" w14:textId="77777777" w:rsidR="00A31F09" w:rsidRPr="00E4389D" w:rsidRDefault="00A31F09" w:rsidP="007B081F">
            <w:pPr>
              <w:spacing w:after="120"/>
              <w:rPr>
                <w:sz w:val="16"/>
                <w:szCs w:val="16"/>
              </w:rPr>
            </w:pPr>
            <w:r w:rsidRPr="00E4389D">
              <w:rPr>
                <w:sz w:val="16"/>
                <w:szCs w:val="16"/>
              </w:rPr>
              <w:t>Number of sites</w:t>
            </w:r>
          </w:p>
        </w:tc>
        <w:tc>
          <w:tcPr>
            <w:tcW w:w="1805" w:type="dxa"/>
          </w:tcPr>
          <w:p w14:paraId="6C2C466E" w14:textId="77777777" w:rsidR="00A31F09" w:rsidRPr="00E4389D" w:rsidRDefault="00A31F09" w:rsidP="007B081F">
            <w:pPr>
              <w:spacing w:after="120"/>
              <w:rPr>
                <w:sz w:val="16"/>
                <w:szCs w:val="16"/>
              </w:rPr>
            </w:pPr>
            <w:r w:rsidRPr="00E4389D">
              <w:rPr>
                <w:sz w:val="16"/>
                <w:szCs w:val="16"/>
              </w:rPr>
              <w:t>Number of observations</w:t>
            </w:r>
          </w:p>
        </w:tc>
      </w:tr>
      <w:tr w:rsidR="00A31F09" w14:paraId="485078A3" w14:textId="77777777" w:rsidTr="006B376E">
        <w:trPr>
          <w:trHeight w:val="171"/>
          <w:jc w:val="center"/>
        </w:trPr>
        <w:tc>
          <w:tcPr>
            <w:tcW w:w="2702" w:type="dxa"/>
          </w:tcPr>
          <w:p w14:paraId="29694FA2" w14:textId="77777777" w:rsidR="00A31F09" w:rsidRPr="00E4389D" w:rsidRDefault="00A31F09" w:rsidP="007B081F">
            <w:pPr>
              <w:spacing w:after="120"/>
              <w:rPr>
                <w:sz w:val="16"/>
                <w:szCs w:val="16"/>
              </w:rPr>
            </w:pPr>
            <w:r w:rsidRPr="00E4389D">
              <w:rPr>
                <w:sz w:val="16"/>
                <w:szCs w:val="16"/>
              </w:rPr>
              <w:t xml:space="preserve"> Grasslands</w:t>
            </w:r>
          </w:p>
        </w:tc>
        <w:tc>
          <w:tcPr>
            <w:tcW w:w="1083" w:type="dxa"/>
          </w:tcPr>
          <w:p w14:paraId="4820C2E8" w14:textId="77777777" w:rsidR="00A31F09" w:rsidRPr="00E4389D" w:rsidRDefault="00A31F09" w:rsidP="007B081F">
            <w:pPr>
              <w:spacing w:after="120"/>
              <w:rPr>
                <w:sz w:val="16"/>
                <w:szCs w:val="16"/>
              </w:rPr>
            </w:pPr>
            <w:r w:rsidRPr="00E4389D">
              <w:rPr>
                <w:sz w:val="16"/>
                <w:szCs w:val="16"/>
              </w:rPr>
              <w:t>GRA</w:t>
            </w:r>
          </w:p>
        </w:tc>
        <w:tc>
          <w:tcPr>
            <w:tcW w:w="1263" w:type="dxa"/>
          </w:tcPr>
          <w:p w14:paraId="2BE21BF1" w14:textId="77777777" w:rsidR="00A31F09" w:rsidRPr="00E4389D" w:rsidRDefault="00A31F09" w:rsidP="007B081F">
            <w:pPr>
              <w:spacing w:after="120"/>
              <w:rPr>
                <w:sz w:val="16"/>
                <w:szCs w:val="16"/>
              </w:rPr>
            </w:pPr>
            <w:r w:rsidRPr="00E4389D">
              <w:rPr>
                <w:sz w:val="16"/>
                <w:szCs w:val="16"/>
              </w:rPr>
              <w:t>48</w:t>
            </w:r>
          </w:p>
        </w:tc>
        <w:tc>
          <w:tcPr>
            <w:tcW w:w="1805" w:type="dxa"/>
          </w:tcPr>
          <w:p w14:paraId="1C56C857" w14:textId="77777777" w:rsidR="00A31F09" w:rsidRPr="00E4389D" w:rsidRDefault="00A31F09" w:rsidP="007B081F">
            <w:pPr>
              <w:spacing w:after="120"/>
              <w:rPr>
                <w:sz w:val="16"/>
                <w:szCs w:val="16"/>
              </w:rPr>
            </w:pPr>
            <w:r w:rsidRPr="00E4389D">
              <w:rPr>
                <w:sz w:val="16"/>
                <w:szCs w:val="16"/>
              </w:rPr>
              <w:t>36969</w:t>
            </w:r>
          </w:p>
        </w:tc>
      </w:tr>
      <w:tr w:rsidR="00A31F09" w14:paraId="338D2C07" w14:textId="77777777" w:rsidTr="006B376E">
        <w:trPr>
          <w:trHeight w:val="165"/>
          <w:jc w:val="center"/>
        </w:trPr>
        <w:tc>
          <w:tcPr>
            <w:tcW w:w="2702" w:type="dxa"/>
          </w:tcPr>
          <w:p w14:paraId="5230E68C" w14:textId="77777777" w:rsidR="00A31F09" w:rsidRPr="00E4389D" w:rsidRDefault="00A31F09" w:rsidP="007B081F">
            <w:pPr>
              <w:spacing w:after="120"/>
              <w:rPr>
                <w:sz w:val="16"/>
                <w:szCs w:val="16"/>
              </w:rPr>
            </w:pPr>
            <w:r w:rsidRPr="00E4389D">
              <w:rPr>
                <w:sz w:val="16"/>
                <w:szCs w:val="16"/>
              </w:rPr>
              <w:t xml:space="preserve"> Mixed Forests</w:t>
            </w:r>
          </w:p>
        </w:tc>
        <w:tc>
          <w:tcPr>
            <w:tcW w:w="1083" w:type="dxa"/>
          </w:tcPr>
          <w:p w14:paraId="390960D3" w14:textId="77777777" w:rsidR="00A31F09" w:rsidRPr="00E4389D" w:rsidRDefault="00A31F09" w:rsidP="007B081F">
            <w:pPr>
              <w:spacing w:after="120"/>
              <w:rPr>
                <w:sz w:val="16"/>
                <w:szCs w:val="16"/>
              </w:rPr>
            </w:pPr>
            <w:r w:rsidRPr="00E4389D">
              <w:rPr>
                <w:sz w:val="16"/>
                <w:szCs w:val="16"/>
              </w:rPr>
              <w:t>MF</w:t>
            </w:r>
          </w:p>
        </w:tc>
        <w:tc>
          <w:tcPr>
            <w:tcW w:w="1263" w:type="dxa"/>
          </w:tcPr>
          <w:p w14:paraId="37D461EF" w14:textId="77777777" w:rsidR="00A31F09" w:rsidRPr="00E4389D" w:rsidRDefault="00A31F09" w:rsidP="007B081F">
            <w:pPr>
              <w:spacing w:after="120"/>
              <w:rPr>
                <w:sz w:val="16"/>
                <w:szCs w:val="16"/>
              </w:rPr>
            </w:pPr>
            <w:r w:rsidRPr="00E4389D">
              <w:rPr>
                <w:sz w:val="16"/>
                <w:szCs w:val="16"/>
              </w:rPr>
              <w:t>9</w:t>
            </w:r>
          </w:p>
        </w:tc>
        <w:tc>
          <w:tcPr>
            <w:tcW w:w="1805" w:type="dxa"/>
          </w:tcPr>
          <w:p w14:paraId="69BDDB26" w14:textId="77777777" w:rsidR="00A31F09" w:rsidRPr="00E4389D" w:rsidRDefault="00A31F09" w:rsidP="007B081F">
            <w:pPr>
              <w:spacing w:after="120"/>
              <w:rPr>
                <w:sz w:val="16"/>
                <w:szCs w:val="16"/>
              </w:rPr>
            </w:pPr>
            <w:r w:rsidRPr="00E4389D">
              <w:rPr>
                <w:sz w:val="16"/>
                <w:szCs w:val="16"/>
              </w:rPr>
              <w:t>7272</w:t>
            </w:r>
          </w:p>
        </w:tc>
      </w:tr>
      <w:tr w:rsidR="00A31F09" w14:paraId="54616E0D" w14:textId="77777777" w:rsidTr="006B376E">
        <w:trPr>
          <w:trHeight w:val="171"/>
          <w:jc w:val="center"/>
        </w:trPr>
        <w:tc>
          <w:tcPr>
            <w:tcW w:w="2702" w:type="dxa"/>
          </w:tcPr>
          <w:p w14:paraId="49DEDF9C" w14:textId="77777777" w:rsidR="00A31F09" w:rsidRPr="00E4389D" w:rsidRDefault="00A31F09" w:rsidP="007B081F">
            <w:pPr>
              <w:spacing w:after="120"/>
              <w:rPr>
                <w:sz w:val="16"/>
                <w:szCs w:val="16"/>
              </w:rPr>
            </w:pPr>
            <w:r w:rsidRPr="00E4389D">
              <w:rPr>
                <w:sz w:val="16"/>
                <w:szCs w:val="16"/>
              </w:rPr>
              <w:t>Evergreen Needleleaf Forests</w:t>
            </w:r>
          </w:p>
        </w:tc>
        <w:tc>
          <w:tcPr>
            <w:tcW w:w="1083" w:type="dxa"/>
          </w:tcPr>
          <w:p w14:paraId="06354010" w14:textId="77777777" w:rsidR="00A31F09" w:rsidRPr="00E4389D" w:rsidRDefault="00A31F09" w:rsidP="007B081F">
            <w:pPr>
              <w:spacing w:after="120"/>
              <w:rPr>
                <w:sz w:val="16"/>
                <w:szCs w:val="16"/>
              </w:rPr>
            </w:pPr>
            <w:r w:rsidRPr="00E4389D">
              <w:rPr>
                <w:sz w:val="16"/>
                <w:szCs w:val="16"/>
              </w:rPr>
              <w:t>ENF</w:t>
            </w:r>
          </w:p>
        </w:tc>
        <w:tc>
          <w:tcPr>
            <w:tcW w:w="1263" w:type="dxa"/>
          </w:tcPr>
          <w:p w14:paraId="43E757DD" w14:textId="77777777" w:rsidR="00A31F09" w:rsidRPr="00E4389D" w:rsidRDefault="00A31F09" w:rsidP="007B081F">
            <w:pPr>
              <w:spacing w:after="120"/>
              <w:rPr>
                <w:sz w:val="16"/>
                <w:szCs w:val="16"/>
              </w:rPr>
            </w:pPr>
            <w:r w:rsidRPr="00E4389D">
              <w:rPr>
                <w:sz w:val="16"/>
                <w:szCs w:val="16"/>
              </w:rPr>
              <w:t>67</w:t>
            </w:r>
          </w:p>
        </w:tc>
        <w:tc>
          <w:tcPr>
            <w:tcW w:w="1805" w:type="dxa"/>
          </w:tcPr>
          <w:p w14:paraId="1D22A004" w14:textId="77777777" w:rsidR="00A31F09" w:rsidRPr="00E4389D" w:rsidRDefault="00A31F09" w:rsidP="007B081F">
            <w:pPr>
              <w:spacing w:after="120"/>
              <w:rPr>
                <w:sz w:val="16"/>
                <w:szCs w:val="16"/>
              </w:rPr>
            </w:pPr>
            <w:r w:rsidRPr="00E4389D">
              <w:rPr>
                <w:sz w:val="16"/>
                <w:szCs w:val="16"/>
              </w:rPr>
              <w:t>48402</w:t>
            </w:r>
          </w:p>
        </w:tc>
      </w:tr>
      <w:tr w:rsidR="00A31F09" w14:paraId="3D4E80F0" w14:textId="77777777" w:rsidTr="006B376E">
        <w:trPr>
          <w:trHeight w:val="171"/>
          <w:jc w:val="center"/>
        </w:trPr>
        <w:tc>
          <w:tcPr>
            <w:tcW w:w="2702" w:type="dxa"/>
          </w:tcPr>
          <w:p w14:paraId="38C7D632" w14:textId="77777777" w:rsidR="00A31F09" w:rsidRPr="00E4389D" w:rsidRDefault="00A31F09" w:rsidP="007B081F">
            <w:pPr>
              <w:spacing w:after="120"/>
              <w:rPr>
                <w:sz w:val="16"/>
                <w:szCs w:val="16"/>
              </w:rPr>
            </w:pPr>
            <w:r w:rsidRPr="00E4389D">
              <w:rPr>
                <w:sz w:val="16"/>
                <w:szCs w:val="16"/>
              </w:rPr>
              <w:t xml:space="preserve"> Open Shrublands</w:t>
            </w:r>
          </w:p>
        </w:tc>
        <w:tc>
          <w:tcPr>
            <w:tcW w:w="1083" w:type="dxa"/>
          </w:tcPr>
          <w:p w14:paraId="6570FE19" w14:textId="77777777" w:rsidR="00A31F09" w:rsidRPr="00E4389D" w:rsidRDefault="00A31F09" w:rsidP="007B081F">
            <w:pPr>
              <w:spacing w:after="120"/>
              <w:rPr>
                <w:sz w:val="16"/>
                <w:szCs w:val="16"/>
              </w:rPr>
            </w:pPr>
            <w:r w:rsidRPr="00E4389D">
              <w:rPr>
                <w:sz w:val="16"/>
                <w:szCs w:val="16"/>
              </w:rPr>
              <w:t>OSH</w:t>
            </w:r>
          </w:p>
        </w:tc>
        <w:tc>
          <w:tcPr>
            <w:tcW w:w="1263" w:type="dxa"/>
          </w:tcPr>
          <w:p w14:paraId="3AD0FF4A" w14:textId="77777777" w:rsidR="00A31F09" w:rsidRPr="00E4389D" w:rsidRDefault="00A31F09" w:rsidP="007B081F">
            <w:pPr>
              <w:spacing w:after="120"/>
              <w:rPr>
                <w:sz w:val="16"/>
                <w:szCs w:val="16"/>
              </w:rPr>
            </w:pPr>
            <w:r w:rsidRPr="00E4389D">
              <w:rPr>
                <w:sz w:val="16"/>
                <w:szCs w:val="16"/>
              </w:rPr>
              <w:t>25</w:t>
            </w:r>
          </w:p>
        </w:tc>
        <w:tc>
          <w:tcPr>
            <w:tcW w:w="1805" w:type="dxa"/>
          </w:tcPr>
          <w:p w14:paraId="7EDE9D89" w14:textId="77777777" w:rsidR="00A31F09" w:rsidRPr="00E4389D" w:rsidRDefault="00A31F09" w:rsidP="007B081F">
            <w:pPr>
              <w:spacing w:after="120"/>
              <w:rPr>
                <w:sz w:val="16"/>
                <w:szCs w:val="16"/>
              </w:rPr>
            </w:pPr>
            <w:r w:rsidRPr="00E4389D">
              <w:rPr>
                <w:sz w:val="16"/>
                <w:szCs w:val="16"/>
              </w:rPr>
              <w:t>18744</w:t>
            </w:r>
          </w:p>
        </w:tc>
      </w:tr>
      <w:tr w:rsidR="00A31F09" w14:paraId="14F1F0EB" w14:textId="77777777" w:rsidTr="006B376E">
        <w:trPr>
          <w:trHeight w:val="165"/>
          <w:jc w:val="center"/>
        </w:trPr>
        <w:tc>
          <w:tcPr>
            <w:tcW w:w="2702" w:type="dxa"/>
          </w:tcPr>
          <w:p w14:paraId="07B54DE2" w14:textId="77777777" w:rsidR="00A31F09" w:rsidRPr="00E4389D" w:rsidRDefault="00A31F09" w:rsidP="007B081F">
            <w:pPr>
              <w:spacing w:after="120"/>
              <w:rPr>
                <w:sz w:val="16"/>
                <w:szCs w:val="16"/>
              </w:rPr>
            </w:pPr>
            <w:r w:rsidRPr="00E4389D">
              <w:rPr>
                <w:sz w:val="16"/>
                <w:szCs w:val="16"/>
              </w:rPr>
              <w:t>Cropland/Natural Vegetation Mosaics</w:t>
            </w:r>
          </w:p>
        </w:tc>
        <w:tc>
          <w:tcPr>
            <w:tcW w:w="1083" w:type="dxa"/>
          </w:tcPr>
          <w:p w14:paraId="517990A5" w14:textId="77777777" w:rsidR="00A31F09" w:rsidRPr="00E4389D" w:rsidRDefault="00A31F09" w:rsidP="007B081F">
            <w:pPr>
              <w:spacing w:after="120"/>
              <w:rPr>
                <w:sz w:val="16"/>
                <w:szCs w:val="16"/>
              </w:rPr>
            </w:pPr>
            <w:r w:rsidRPr="00E4389D">
              <w:rPr>
                <w:sz w:val="16"/>
                <w:szCs w:val="16"/>
              </w:rPr>
              <w:t>CVM</w:t>
            </w:r>
          </w:p>
        </w:tc>
        <w:tc>
          <w:tcPr>
            <w:tcW w:w="1263" w:type="dxa"/>
          </w:tcPr>
          <w:p w14:paraId="3FAEF6F6" w14:textId="77777777" w:rsidR="00A31F09" w:rsidRPr="00E4389D" w:rsidRDefault="00A31F09" w:rsidP="007B081F">
            <w:pPr>
              <w:spacing w:after="120"/>
              <w:rPr>
                <w:sz w:val="16"/>
                <w:szCs w:val="16"/>
              </w:rPr>
            </w:pPr>
            <w:r w:rsidRPr="00E4389D">
              <w:rPr>
                <w:sz w:val="16"/>
                <w:szCs w:val="16"/>
              </w:rPr>
              <w:t>1</w:t>
            </w:r>
          </w:p>
        </w:tc>
        <w:tc>
          <w:tcPr>
            <w:tcW w:w="1805" w:type="dxa"/>
          </w:tcPr>
          <w:p w14:paraId="36452039" w14:textId="77777777" w:rsidR="00A31F09" w:rsidRPr="00E4389D" w:rsidRDefault="00A31F09" w:rsidP="007B081F">
            <w:pPr>
              <w:spacing w:after="120"/>
              <w:rPr>
                <w:sz w:val="16"/>
                <w:szCs w:val="16"/>
              </w:rPr>
            </w:pPr>
            <w:r w:rsidRPr="00E4389D">
              <w:rPr>
                <w:sz w:val="16"/>
                <w:szCs w:val="16"/>
              </w:rPr>
              <w:t>270</w:t>
            </w:r>
          </w:p>
        </w:tc>
      </w:tr>
      <w:tr w:rsidR="00A31F09" w14:paraId="07408121" w14:textId="77777777" w:rsidTr="006B376E">
        <w:trPr>
          <w:trHeight w:val="171"/>
          <w:jc w:val="center"/>
        </w:trPr>
        <w:tc>
          <w:tcPr>
            <w:tcW w:w="2702" w:type="dxa"/>
          </w:tcPr>
          <w:p w14:paraId="20B4226B" w14:textId="77777777" w:rsidR="00A31F09" w:rsidRPr="00E4389D" w:rsidRDefault="00A31F09" w:rsidP="007B081F">
            <w:pPr>
              <w:spacing w:after="120"/>
              <w:rPr>
                <w:sz w:val="16"/>
                <w:szCs w:val="16"/>
              </w:rPr>
            </w:pPr>
            <w:r w:rsidRPr="00E4389D">
              <w:rPr>
                <w:sz w:val="16"/>
                <w:szCs w:val="16"/>
              </w:rPr>
              <w:t>Permanent Wetlands</w:t>
            </w:r>
          </w:p>
        </w:tc>
        <w:tc>
          <w:tcPr>
            <w:tcW w:w="1083" w:type="dxa"/>
          </w:tcPr>
          <w:p w14:paraId="39991B71" w14:textId="77777777" w:rsidR="00A31F09" w:rsidRPr="00E4389D" w:rsidRDefault="00A31F09" w:rsidP="007B081F">
            <w:pPr>
              <w:spacing w:after="120"/>
              <w:rPr>
                <w:sz w:val="16"/>
                <w:szCs w:val="16"/>
              </w:rPr>
            </w:pPr>
            <w:r w:rsidRPr="00E4389D">
              <w:rPr>
                <w:sz w:val="16"/>
                <w:szCs w:val="16"/>
              </w:rPr>
              <w:t>WET</w:t>
            </w:r>
          </w:p>
        </w:tc>
        <w:tc>
          <w:tcPr>
            <w:tcW w:w="1263" w:type="dxa"/>
          </w:tcPr>
          <w:p w14:paraId="41BE9D36" w14:textId="77777777" w:rsidR="00A31F09" w:rsidRPr="00E4389D" w:rsidRDefault="00A31F09" w:rsidP="007B081F">
            <w:pPr>
              <w:spacing w:after="120"/>
              <w:rPr>
                <w:sz w:val="16"/>
                <w:szCs w:val="16"/>
              </w:rPr>
            </w:pPr>
            <w:r w:rsidRPr="00E4389D">
              <w:rPr>
                <w:sz w:val="16"/>
                <w:szCs w:val="16"/>
              </w:rPr>
              <w:t>29</w:t>
            </w:r>
          </w:p>
        </w:tc>
        <w:tc>
          <w:tcPr>
            <w:tcW w:w="1805" w:type="dxa"/>
          </w:tcPr>
          <w:p w14:paraId="48A1EE51" w14:textId="77777777" w:rsidR="00A31F09" w:rsidRPr="00E4389D" w:rsidRDefault="00A31F09" w:rsidP="007B081F">
            <w:pPr>
              <w:spacing w:after="120"/>
              <w:rPr>
                <w:sz w:val="16"/>
                <w:szCs w:val="16"/>
              </w:rPr>
            </w:pPr>
            <w:r w:rsidRPr="00E4389D">
              <w:rPr>
                <w:sz w:val="16"/>
                <w:szCs w:val="16"/>
              </w:rPr>
              <w:t>17134</w:t>
            </w:r>
          </w:p>
        </w:tc>
      </w:tr>
      <w:tr w:rsidR="00A31F09" w14:paraId="56CAF4A6" w14:textId="77777777" w:rsidTr="006B376E">
        <w:trPr>
          <w:trHeight w:val="171"/>
          <w:jc w:val="center"/>
        </w:trPr>
        <w:tc>
          <w:tcPr>
            <w:tcW w:w="2702" w:type="dxa"/>
          </w:tcPr>
          <w:p w14:paraId="50A69173" w14:textId="77777777" w:rsidR="00A31F09" w:rsidRPr="00E4389D" w:rsidRDefault="00A31F09" w:rsidP="007B081F">
            <w:pPr>
              <w:spacing w:after="120"/>
              <w:rPr>
                <w:sz w:val="16"/>
                <w:szCs w:val="16"/>
              </w:rPr>
            </w:pPr>
            <w:r w:rsidRPr="00E4389D">
              <w:rPr>
                <w:sz w:val="16"/>
                <w:szCs w:val="16"/>
              </w:rPr>
              <w:lastRenderedPageBreak/>
              <w:t>Woody Savannas</w:t>
            </w:r>
          </w:p>
        </w:tc>
        <w:tc>
          <w:tcPr>
            <w:tcW w:w="1083" w:type="dxa"/>
          </w:tcPr>
          <w:p w14:paraId="2126C70A" w14:textId="77777777" w:rsidR="00A31F09" w:rsidRPr="00E4389D" w:rsidRDefault="00A31F09" w:rsidP="007B081F">
            <w:pPr>
              <w:spacing w:after="120"/>
              <w:rPr>
                <w:sz w:val="16"/>
                <w:szCs w:val="16"/>
              </w:rPr>
            </w:pPr>
            <w:r w:rsidRPr="00E4389D">
              <w:rPr>
                <w:sz w:val="16"/>
                <w:szCs w:val="16"/>
              </w:rPr>
              <w:t>WSA</w:t>
            </w:r>
          </w:p>
        </w:tc>
        <w:tc>
          <w:tcPr>
            <w:tcW w:w="1263" w:type="dxa"/>
          </w:tcPr>
          <w:p w14:paraId="67AE9170" w14:textId="77777777" w:rsidR="00A31F09" w:rsidRPr="00E4389D" w:rsidRDefault="00A31F09" w:rsidP="007B081F">
            <w:pPr>
              <w:spacing w:after="120"/>
              <w:rPr>
                <w:sz w:val="16"/>
                <w:szCs w:val="16"/>
              </w:rPr>
            </w:pPr>
            <w:r w:rsidRPr="00E4389D">
              <w:rPr>
                <w:sz w:val="16"/>
                <w:szCs w:val="16"/>
              </w:rPr>
              <w:t>4</w:t>
            </w:r>
          </w:p>
        </w:tc>
        <w:tc>
          <w:tcPr>
            <w:tcW w:w="1805" w:type="dxa"/>
          </w:tcPr>
          <w:p w14:paraId="2F0E687B" w14:textId="77777777" w:rsidR="00A31F09" w:rsidRPr="00E4389D" w:rsidRDefault="00A31F09" w:rsidP="007B081F">
            <w:pPr>
              <w:spacing w:after="120"/>
              <w:rPr>
                <w:sz w:val="16"/>
                <w:szCs w:val="16"/>
              </w:rPr>
            </w:pPr>
            <w:r w:rsidRPr="00E4389D">
              <w:rPr>
                <w:sz w:val="16"/>
                <w:szCs w:val="16"/>
              </w:rPr>
              <w:t>12756</w:t>
            </w:r>
          </w:p>
        </w:tc>
      </w:tr>
      <w:tr w:rsidR="00A31F09" w14:paraId="63F76FDD" w14:textId="77777777" w:rsidTr="006B376E">
        <w:trPr>
          <w:trHeight w:val="165"/>
          <w:jc w:val="center"/>
        </w:trPr>
        <w:tc>
          <w:tcPr>
            <w:tcW w:w="2702" w:type="dxa"/>
          </w:tcPr>
          <w:p w14:paraId="43186676" w14:textId="77777777" w:rsidR="00A31F09" w:rsidRPr="00E4389D" w:rsidRDefault="00A31F09" w:rsidP="007B081F">
            <w:pPr>
              <w:spacing w:after="120"/>
              <w:rPr>
                <w:sz w:val="16"/>
                <w:szCs w:val="16"/>
              </w:rPr>
            </w:pPr>
            <w:r w:rsidRPr="00E4389D">
              <w:rPr>
                <w:sz w:val="16"/>
                <w:szCs w:val="16"/>
              </w:rPr>
              <w:t>Deciduous Broadleaf Forests</w:t>
            </w:r>
          </w:p>
        </w:tc>
        <w:tc>
          <w:tcPr>
            <w:tcW w:w="1083" w:type="dxa"/>
          </w:tcPr>
          <w:p w14:paraId="1A1F94C3" w14:textId="77777777" w:rsidR="00A31F09" w:rsidRPr="00E4389D" w:rsidRDefault="00A31F09" w:rsidP="007B081F">
            <w:pPr>
              <w:spacing w:after="120"/>
              <w:rPr>
                <w:sz w:val="16"/>
                <w:szCs w:val="16"/>
              </w:rPr>
            </w:pPr>
            <w:r w:rsidRPr="00E4389D">
              <w:rPr>
                <w:sz w:val="16"/>
                <w:szCs w:val="16"/>
              </w:rPr>
              <w:t>DBF</w:t>
            </w:r>
          </w:p>
        </w:tc>
        <w:tc>
          <w:tcPr>
            <w:tcW w:w="1263" w:type="dxa"/>
          </w:tcPr>
          <w:p w14:paraId="489AB2CA" w14:textId="77777777" w:rsidR="00A31F09" w:rsidRPr="00E4389D" w:rsidRDefault="00A31F09" w:rsidP="007B081F">
            <w:pPr>
              <w:spacing w:after="120"/>
              <w:rPr>
                <w:sz w:val="16"/>
                <w:szCs w:val="16"/>
              </w:rPr>
            </w:pPr>
            <w:r w:rsidRPr="00E4389D">
              <w:rPr>
                <w:sz w:val="16"/>
                <w:szCs w:val="16"/>
              </w:rPr>
              <w:t>38</w:t>
            </w:r>
          </w:p>
        </w:tc>
        <w:tc>
          <w:tcPr>
            <w:tcW w:w="1805" w:type="dxa"/>
          </w:tcPr>
          <w:p w14:paraId="71C9C0D4" w14:textId="77777777" w:rsidR="00A31F09" w:rsidRPr="00E4389D" w:rsidRDefault="00A31F09" w:rsidP="007B081F">
            <w:pPr>
              <w:spacing w:after="120"/>
              <w:rPr>
                <w:sz w:val="16"/>
                <w:szCs w:val="16"/>
              </w:rPr>
            </w:pPr>
            <w:r w:rsidRPr="00E4389D">
              <w:rPr>
                <w:sz w:val="16"/>
                <w:szCs w:val="16"/>
              </w:rPr>
              <w:t>31851</w:t>
            </w:r>
          </w:p>
        </w:tc>
      </w:tr>
      <w:tr w:rsidR="00A31F09" w14:paraId="598EED83" w14:textId="77777777" w:rsidTr="006B376E">
        <w:trPr>
          <w:trHeight w:val="171"/>
          <w:jc w:val="center"/>
        </w:trPr>
        <w:tc>
          <w:tcPr>
            <w:tcW w:w="2702" w:type="dxa"/>
          </w:tcPr>
          <w:p w14:paraId="268B4BE0" w14:textId="77777777" w:rsidR="00A31F09" w:rsidRPr="00E4389D" w:rsidRDefault="00A31F09" w:rsidP="007B081F">
            <w:pPr>
              <w:spacing w:after="120"/>
              <w:rPr>
                <w:sz w:val="16"/>
                <w:szCs w:val="16"/>
              </w:rPr>
            </w:pPr>
            <w:r w:rsidRPr="00E4389D">
              <w:rPr>
                <w:sz w:val="16"/>
                <w:szCs w:val="16"/>
              </w:rPr>
              <w:t>Croplands</w:t>
            </w:r>
          </w:p>
        </w:tc>
        <w:tc>
          <w:tcPr>
            <w:tcW w:w="1083" w:type="dxa"/>
          </w:tcPr>
          <w:p w14:paraId="48EA9B01" w14:textId="77777777" w:rsidR="00A31F09" w:rsidRPr="00E4389D" w:rsidRDefault="00A31F09" w:rsidP="007B081F">
            <w:pPr>
              <w:spacing w:after="120"/>
              <w:rPr>
                <w:sz w:val="16"/>
                <w:szCs w:val="16"/>
              </w:rPr>
            </w:pPr>
            <w:r w:rsidRPr="00E4389D">
              <w:rPr>
                <w:sz w:val="16"/>
                <w:szCs w:val="16"/>
              </w:rPr>
              <w:t>CRO</w:t>
            </w:r>
          </w:p>
        </w:tc>
        <w:tc>
          <w:tcPr>
            <w:tcW w:w="1263" w:type="dxa"/>
          </w:tcPr>
          <w:p w14:paraId="6B494BE7" w14:textId="77777777" w:rsidR="00A31F09" w:rsidRPr="00E4389D" w:rsidRDefault="00A31F09" w:rsidP="007B081F">
            <w:pPr>
              <w:spacing w:after="120"/>
              <w:rPr>
                <w:sz w:val="16"/>
                <w:szCs w:val="16"/>
              </w:rPr>
            </w:pPr>
            <w:r w:rsidRPr="00E4389D">
              <w:rPr>
                <w:sz w:val="16"/>
                <w:szCs w:val="16"/>
              </w:rPr>
              <w:t>38</w:t>
            </w:r>
          </w:p>
        </w:tc>
        <w:tc>
          <w:tcPr>
            <w:tcW w:w="1805" w:type="dxa"/>
          </w:tcPr>
          <w:p w14:paraId="75F1D540" w14:textId="77777777" w:rsidR="00A31F09" w:rsidRPr="00E4389D" w:rsidRDefault="00A31F09" w:rsidP="007B081F">
            <w:pPr>
              <w:spacing w:after="120"/>
              <w:rPr>
                <w:sz w:val="16"/>
                <w:szCs w:val="16"/>
              </w:rPr>
            </w:pPr>
            <w:r w:rsidRPr="00E4389D">
              <w:rPr>
                <w:sz w:val="16"/>
                <w:szCs w:val="16"/>
              </w:rPr>
              <w:t>24540</w:t>
            </w:r>
          </w:p>
        </w:tc>
      </w:tr>
      <w:tr w:rsidR="00A31F09" w14:paraId="5456B74B" w14:textId="77777777" w:rsidTr="006B376E">
        <w:trPr>
          <w:trHeight w:val="171"/>
          <w:jc w:val="center"/>
        </w:trPr>
        <w:tc>
          <w:tcPr>
            <w:tcW w:w="2702" w:type="dxa"/>
          </w:tcPr>
          <w:p w14:paraId="5B3A9EC5" w14:textId="77777777" w:rsidR="00A31F09" w:rsidRPr="00E4389D" w:rsidRDefault="00A31F09" w:rsidP="007B081F">
            <w:pPr>
              <w:spacing w:after="120"/>
              <w:rPr>
                <w:sz w:val="16"/>
                <w:szCs w:val="16"/>
              </w:rPr>
            </w:pPr>
            <w:r w:rsidRPr="00E4389D">
              <w:rPr>
                <w:sz w:val="16"/>
                <w:szCs w:val="16"/>
              </w:rPr>
              <w:t>Evergreen Broadleaf Forests</w:t>
            </w:r>
          </w:p>
        </w:tc>
        <w:tc>
          <w:tcPr>
            <w:tcW w:w="1083" w:type="dxa"/>
          </w:tcPr>
          <w:p w14:paraId="72E9BFC8" w14:textId="77777777" w:rsidR="00A31F09" w:rsidRPr="00E4389D" w:rsidRDefault="00A31F09" w:rsidP="007B081F">
            <w:pPr>
              <w:spacing w:after="120"/>
              <w:rPr>
                <w:sz w:val="16"/>
                <w:szCs w:val="16"/>
              </w:rPr>
            </w:pPr>
            <w:r w:rsidRPr="00E4389D">
              <w:rPr>
                <w:sz w:val="16"/>
                <w:szCs w:val="16"/>
              </w:rPr>
              <w:t>EBF</w:t>
            </w:r>
          </w:p>
        </w:tc>
        <w:tc>
          <w:tcPr>
            <w:tcW w:w="1263" w:type="dxa"/>
          </w:tcPr>
          <w:p w14:paraId="0C6F6228" w14:textId="77777777" w:rsidR="00A31F09" w:rsidRPr="00E4389D" w:rsidRDefault="00A31F09" w:rsidP="007B081F">
            <w:pPr>
              <w:spacing w:after="120"/>
              <w:rPr>
                <w:sz w:val="16"/>
                <w:szCs w:val="16"/>
              </w:rPr>
            </w:pPr>
            <w:r w:rsidRPr="00E4389D">
              <w:rPr>
                <w:sz w:val="16"/>
                <w:szCs w:val="16"/>
              </w:rPr>
              <w:t>6</w:t>
            </w:r>
          </w:p>
        </w:tc>
        <w:tc>
          <w:tcPr>
            <w:tcW w:w="1805" w:type="dxa"/>
          </w:tcPr>
          <w:p w14:paraId="28154DCF" w14:textId="77777777" w:rsidR="00A31F09" w:rsidRPr="00E4389D" w:rsidRDefault="00A31F09" w:rsidP="007B081F">
            <w:pPr>
              <w:spacing w:after="120"/>
              <w:rPr>
                <w:sz w:val="16"/>
                <w:szCs w:val="16"/>
              </w:rPr>
            </w:pPr>
            <w:r w:rsidRPr="00E4389D">
              <w:rPr>
                <w:sz w:val="16"/>
                <w:szCs w:val="16"/>
              </w:rPr>
              <w:t>4337</w:t>
            </w:r>
          </w:p>
        </w:tc>
      </w:tr>
      <w:tr w:rsidR="00A31F09" w14:paraId="02A51827" w14:textId="77777777" w:rsidTr="006B376E">
        <w:trPr>
          <w:trHeight w:val="165"/>
          <w:jc w:val="center"/>
        </w:trPr>
        <w:tc>
          <w:tcPr>
            <w:tcW w:w="2702" w:type="dxa"/>
          </w:tcPr>
          <w:p w14:paraId="1DC2A1D3" w14:textId="77777777" w:rsidR="00A31F09" w:rsidRPr="00E4389D" w:rsidRDefault="00A31F09" w:rsidP="007B081F">
            <w:pPr>
              <w:spacing w:after="120"/>
              <w:rPr>
                <w:sz w:val="16"/>
                <w:szCs w:val="16"/>
              </w:rPr>
            </w:pPr>
            <w:r w:rsidRPr="00E4389D">
              <w:rPr>
                <w:sz w:val="16"/>
                <w:szCs w:val="16"/>
              </w:rPr>
              <w:t>Closed Shrublands</w:t>
            </w:r>
          </w:p>
        </w:tc>
        <w:tc>
          <w:tcPr>
            <w:tcW w:w="1083" w:type="dxa"/>
          </w:tcPr>
          <w:p w14:paraId="4EC6CC81" w14:textId="77777777" w:rsidR="00A31F09" w:rsidRPr="00E4389D" w:rsidRDefault="00A31F09" w:rsidP="007B081F">
            <w:pPr>
              <w:spacing w:after="120"/>
              <w:rPr>
                <w:sz w:val="16"/>
                <w:szCs w:val="16"/>
              </w:rPr>
            </w:pPr>
            <w:r w:rsidRPr="00E4389D">
              <w:rPr>
                <w:sz w:val="16"/>
                <w:szCs w:val="16"/>
              </w:rPr>
              <w:t>CSH</w:t>
            </w:r>
          </w:p>
        </w:tc>
        <w:tc>
          <w:tcPr>
            <w:tcW w:w="1263" w:type="dxa"/>
          </w:tcPr>
          <w:p w14:paraId="3BA05B30" w14:textId="77777777" w:rsidR="00A31F09" w:rsidRPr="00E4389D" w:rsidRDefault="00A31F09" w:rsidP="007B081F">
            <w:pPr>
              <w:spacing w:after="120"/>
              <w:rPr>
                <w:sz w:val="16"/>
                <w:szCs w:val="16"/>
              </w:rPr>
            </w:pPr>
            <w:r w:rsidRPr="00E4389D">
              <w:rPr>
                <w:sz w:val="16"/>
                <w:szCs w:val="16"/>
              </w:rPr>
              <w:t>5</w:t>
            </w:r>
          </w:p>
        </w:tc>
        <w:tc>
          <w:tcPr>
            <w:tcW w:w="1805" w:type="dxa"/>
          </w:tcPr>
          <w:p w14:paraId="11D7109D" w14:textId="77777777" w:rsidR="00A31F09" w:rsidRPr="00E4389D" w:rsidRDefault="00A31F09" w:rsidP="007B081F">
            <w:pPr>
              <w:spacing w:after="120"/>
              <w:rPr>
                <w:sz w:val="16"/>
                <w:szCs w:val="16"/>
              </w:rPr>
            </w:pPr>
            <w:r w:rsidRPr="00E4389D">
              <w:rPr>
                <w:sz w:val="16"/>
                <w:szCs w:val="16"/>
              </w:rPr>
              <w:t>4285</w:t>
            </w:r>
          </w:p>
        </w:tc>
      </w:tr>
      <w:tr w:rsidR="00A31F09" w14:paraId="230D71B1" w14:textId="77777777" w:rsidTr="006B376E">
        <w:trPr>
          <w:trHeight w:val="45"/>
          <w:jc w:val="center"/>
        </w:trPr>
        <w:tc>
          <w:tcPr>
            <w:tcW w:w="2702" w:type="dxa"/>
          </w:tcPr>
          <w:p w14:paraId="129C3DBA" w14:textId="77777777" w:rsidR="00A31F09" w:rsidRPr="00E4389D" w:rsidRDefault="00A31F09" w:rsidP="007B081F">
            <w:pPr>
              <w:spacing w:after="120"/>
              <w:rPr>
                <w:sz w:val="16"/>
                <w:szCs w:val="16"/>
              </w:rPr>
            </w:pPr>
            <w:r w:rsidRPr="00E4389D">
              <w:rPr>
                <w:sz w:val="16"/>
                <w:szCs w:val="16"/>
              </w:rPr>
              <w:t>Savannas</w:t>
            </w:r>
          </w:p>
        </w:tc>
        <w:tc>
          <w:tcPr>
            <w:tcW w:w="1083" w:type="dxa"/>
          </w:tcPr>
          <w:p w14:paraId="0EF8CCD6" w14:textId="77777777" w:rsidR="00A31F09" w:rsidRPr="00E4389D" w:rsidRDefault="00A31F09" w:rsidP="007B081F">
            <w:pPr>
              <w:spacing w:after="120"/>
              <w:rPr>
                <w:sz w:val="16"/>
                <w:szCs w:val="16"/>
              </w:rPr>
            </w:pPr>
            <w:r w:rsidRPr="00E4389D">
              <w:rPr>
                <w:sz w:val="16"/>
                <w:szCs w:val="16"/>
              </w:rPr>
              <w:t>SAV</w:t>
            </w:r>
          </w:p>
        </w:tc>
        <w:tc>
          <w:tcPr>
            <w:tcW w:w="1263" w:type="dxa"/>
          </w:tcPr>
          <w:p w14:paraId="79D6E410" w14:textId="77777777" w:rsidR="00A31F09" w:rsidRPr="00E4389D" w:rsidRDefault="00A31F09" w:rsidP="007B081F">
            <w:pPr>
              <w:spacing w:after="120"/>
              <w:rPr>
                <w:sz w:val="16"/>
                <w:szCs w:val="16"/>
              </w:rPr>
            </w:pPr>
            <w:r w:rsidRPr="00E4389D">
              <w:rPr>
                <w:sz w:val="16"/>
                <w:szCs w:val="16"/>
              </w:rPr>
              <w:t>5</w:t>
            </w:r>
          </w:p>
        </w:tc>
        <w:tc>
          <w:tcPr>
            <w:tcW w:w="1805" w:type="dxa"/>
          </w:tcPr>
          <w:p w14:paraId="43F82E1A" w14:textId="77777777" w:rsidR="00A31F09" w:rsidRPr="00E4389D" w:rsidRDefault="00A31F09" w:rsidP="007B081F">
            <w:pPr>
              <w:spacing w:after="120"/>
              <w:rPr>
                <w:sz w:val="16"/>
                <w:szCs w:val="16"/>
              </w:rPr>
            </w:pPr>
            <w:r w:rsidRPr="00E4389D">
              <w:rPr>
                <w:sz w:val="16"/>
                <w:szCs w:val="16"/>
              </w:rPr>
              <w:t>5771</w:t>
            </w:r>
          </w:p>
        </w:tc>
      </w:tr>
      <w:tr w:rsidR="00A31F09" w14:paraId="60649A14" w14:textId="77777777" w:rsidTr="006B376E">
        <w:trPr>
          <w:trHeight w:val="45"/>
          <w:jc w:val="center"/>
        </w:trPr>
        <w:tc>
          <w:tcPr>
            <w:tcW w:w="2702" w:type="dxa"/>
          </w:tcPr>
          <w:p w14:paraId="55CF4966" w14:textId="77777777" w:rsidR="00A31F09" w:rsidRPr="00E4389D" w:rsidRDefault="00A31F09" w:rsidP="007B081F">
            <w:pPr>
              <w:spacing w:after="120"/>
              <w:rPr>
                <w:sz w:val="16"/>
                <w:szCs w:val="16"/>
              </w:rPr>
            </w:pPr>
            <w:r w:rsidRPr="00E4389D">
              <w:rPr>
                <w:sz w:val="16"/>
                <w:szCs w:val="16"/>
              </w:rPr>
              <w:t>Snow and Ice</w:t>
            </w:r>
          </w:p>
        </w:tc>
        <w:tc>
          <w:tcPr>
            <w:tcW w:w="1083" w:type="dxa"/>
          </w:tcPr>
          <w:p w14:paraId="0C3FAD71" w14:textId="77777777" w:rsidR="00A31F09" w:rsidRPr="00E4389D" w:rsidRDefault="00A31F09" w:rsidP="007B081F">
            <w:pPr>
              <w:spacing w:after="120"/>
              <w:rPr>
                <w:sz w:val="16"/>
                <w:szCs w:val="16"/>
              </w:rPr>
            </w:pPr>
            <w:r w:rsidRPr="00E4389D">
              <w:rPr>
                <w:sz w:val="16"/>
                <w:szCs w:val="16"/>
              </w:rPr>
              <w:t>SNO</w:t>
            </w:r>
          </w:p>
        </w:tc>
        <w:tc>
          <w:tcPr>
            <w:tcW w:w="1263" w:type="dxa"/>
          </w:tcPr>
          <w:p w14:paraId="01ED844C" w14:textId="77777777" w:rsidR="00A31F09" w:rsidRPr="00E4389D" w:rsidRDefault="00A31F09" w:rsidP="007B081F">
            <w:pPr>
              <w:spacing w:after="120"/>
              <w:rPr>
                <w:sz w:val="16"/>
                <w:szCs w:val="16"/>
              </w:rPr>
            </w:pPr>
            <w:r w:rsidRPr="00E4389D">
              <w:rPr>
                <w:sz w:val="16"/>
                <w:szCs w:val="16"/>
              </w:rPr>
              <w:t>1</w:t>
            </w:r>
          </w:p>
        </w:tc>
        <w:tc>
          <w:tcPr>
            <w:tcW w:w="1805" w:type="dxa"/>
          </w:tcPr>
          <w:p w14:paraId="0FF90C96" w14:textId="77777777" w:rsidR="00A31F09" w:rsidRPr="00E4389D" w:rsidRDefault="00A31F09" w:rsidP="007B081F">
            <w:pPr>
              <w:spacing w:after="120"/>
              <w:rPr>
                <w:sz w:val="16"/>
                <w:szCs w:val="16"/>
              </w:rPr>
            </w:pPr>
            <w:r w:rsidRPr="00E4389D">
              <w:rPr>
                <w:sz w:val="16"/>
                <w:szCs w:val="16"/>
              </w:rPr>
              <w:t>221</w:t>
            </w:r>
          </w:p>
        </w:tc>
      </w:tr>
    </w:tbl>
    <w:p w14:paraId="24F1139B" w14:textId="0E77DBF8" w:rsidR="00A31F09" w:rsidRDefault="00A31F09" w:rsidP="00A31F09">
      <w:pPr>
        <w:spacing w:after="120"/>
      </w:pPr>
    </w:p>
    <w:p w14:paraId="7DF8A1AC" w14:textId="1B96B20D" w:rsidR="00A31F09" w:rsidRPr="00A31F09" w:rsidRDefault="00A31F09" w:rsidP="00A31F09">
      <w:pPr>
        <w:spacing w:after="120"/>
      </w:pPr>
      <w:r w:rsidRPr="00A31F09">
        <w:t xml:space="preserve">To calculate the maximum light-use efficiency (LUEmax) for each site, we first calculated the daily </w:t>
      </w:r>
      <w:r>
        <w:t>LUE</w:t>
      </w:r>
      <w:r w:rsidRPr="00A31F09">
        <w:t xml:space="preserve"> </w:t>
      </w:r>
      <w:r>
        <w:t xml:space="preserve">as: </w:t>
      </w:r>
      <m:oMath>
        <m:r>
          <w:rPr>
            <w:rFonts w:ascii="Cambria Math" w:hAnsi="Cambria Math"/>
          </w:rPr>
          <m:t xml:space="preserve">LUE = </m:t>
        </m:r>
        <m:f>
          <m:fPr>
            <m:type m:val="lin"/>
            <m:ctrlPr>
              <w:rPr>
                <w:rFonts w:ascii="Cambria Math" w:hAnsi="Cambria Math"/>
                <w:i/>
              </w:rPr>
            </m:ctrlPr>
          </m:fPr>
          <m:num>
            <m:r>
              <w:rPr>
                <w:rFonts w:ascii="Cambria Math" w:hAnsi="Cambria Math"/>
              </w:rPr>
              <m:t>GPP</m:t>
            </m:r>
          </m:num>
          <m:den>
            <m:r>
              <w:rPr>
                <w:rFonts w:ascii="Cambria Math" w:hAnsi="Cambria Math"/>
              </w:rPr>
              <m:t>PAR∙fPAR</m:t>
            </m:r>
          </m:den>
        </m:f>
      </m:oMath>
      <w:r>
        <w:rPr>
          <w:rFonts w:eastAsiaTheme="minorEastAsia"/>
        </w:rPr>
        <w:t xml:space="preserve">. </w:t>
      </w:r>
      <w:r>
        <w:t>We then identified the annual maximum LUE value for each site by looking for the day within a year where the daily LUE was highest. If a site had data for multiple years, we took the median of the annual maximum LUE values as the LUE</w:t>
      </w:r>
      <w:r w:rsidRPr="00A31F09">
        <w:rPr>
          <w:vertAlign w:val="subscript"/>
        </w:rPr>
        <w:t>max</w:t>
      </w:r>
      <w:r>
        <w:t xml:space="preserve"> for that site.</w:t>
      </w:r>
      <w:r>
        <w:t xml:space="preserve"> </w:t>
      </w:r>
      <w:r>
        <w:t>We used Equation 3 to calculate the fraction of absorbed radiation that escapes the canopy (</w:t>
      </w:r>
      <w:proofErr w:type="spellStart"/>
      <w:r>
        <w:t>fesc</w:t>
      </w:r>
      <w:proofErr w:type="spellEnd"/>
      <w:r>
        <w:t xml:space="preserve">) and chose the </w:t>
      </w:r>
      <w:proofErr w:type="spellStart"/>
      <w:r>
        <w:t>fesc</w:t>
      </w:r>
      <w:proofErr w:type="spellEnd"/>
      <w:r>
        <w:t xml:space="preserve"> values corresponding to the days when the LUE was at its maximum.</w:t>
      </w:r>
      <w:r>
        <w:t xml:space="preserve"> </w:t>
      </w:r>
      <w:r>
        <w:t xml:space="preserve">Five sites showed </w:t>
      </w:r>
      <w:proofErr w:type="spellStart"/>
      <w:r>
        <w:t>fesc</w:t>
      </w:r>
      <w:proofErr w:type="spellEnd"/>
      <w:r>
        <w:t xml:space="preserve"> values slightly exceeding 1, which is theoretically impossible. We therefore dropped these sites from the analysis.</w:t>
      </w:r>
      <w:r>
        <w:t xml:space="preserve"> </w:t>
      </w:r>
      <w:r>
        <w:t>Figure 1 shows the summary distribution of these key variables across the 271 remaining sites.</w:t>
      </w:r>
      <w:r>
        <w:rPr>
          <w:rFonts w:eastAsiaTheme="minorEastAsia"/>
        </w:rPr>
        <w:t xml:space="preserve"> </w:t>
      </w:r>
    </w:p>
    <w:p w14:paraId="3D8D2740" w14:textId="77777777" w:rsidR="00A31F09" w:rsidRDefault="00A31F09" w:rsidP="006B376E">
      <w:pPr>
        <w:keepNext/>
        <w:spacing w:after="120"/>
        <w:jc w:val="center"/>
      </w:pPr>
      <w:r>
        <w:rPr>
          <w:b/>
          <w:bCs/>
          <w:noProof/>
        </w:rPr>
        <w:drawing>
          <wp:inline distT="0" distB="0" distL="0" distR="0" wp14:anchorId="288FD359" wp14:editId="30ABC929">
            <wp:extent cx="5214306" cy="2334764"/>
            <wp:effectExtent l="0" t="0" r="0" b="2540"/>
            <wp:docPr id="1156327042" name="Picture 4"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7042" name="Picture 4" descr="A graph of a graph with numbers and lin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4306" cy="2334764"/>
                    </a:xfrm>
                    <a:prstGeom prst="rect">
                      <a:avLst/>
                    </a:prstGeom>
                  </pic:spPr>
                </pic:pic>
              </a:graphicData>
            </a:graphic>
          </wp:inline>
        </w:drawing>
      </w:r>
    </w:p>
    <w:p w14:paraId="687BD2D8" w14:textId="2213725A" w:rsidR="00A31F09" w:rsidRDefault="00A31F09" w:rsidP="006B376E">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t xml:space="preserve">. The distribution of </w:t>
      </w:r>
      <w:proofErr w:type="spellStart"/>
      <w:r>
        <w:t>LUE</w:t>
      </w:r>
      <w:r w:rsidRPr="00A31F09">
        <w:rPr>
          <w:vertAlign w:val="subscript"/>
        </w:rPr>
        <w:t>Max</w:t>
      </w:r>
      <w:proofErr w:type="spellEnd"/>
      <w:r>
        <w:t xml:space="preserve"> and </w:t>
      </w:r>
      <w:proofErr w:type="spellStart"/>
      <w:r>
        <w:t>fesc</w:t>
      </w:r>
      <w:proofErr w:type="spellEnd"/>
      <w:r>
        <w:t xml:space="preserve"> for each biome.</w:t>
      </w:r>
    </w:p>
    <w:p w14:paraId="7FB92D2D" w14:textId="2823ED85" w:rsidR="008B03E1" w:rsidRPr="008B03E1" w:rsidRDefault="00A31F09" w:rsidP="00A31F09">
      <w:pPr>
        <w:rPr>
          <w:rFonts w:eastAsiaTheme="minorEastAsia"/>
        </w:rPr>
      </w:pPr>
      <w:r w:rsidRPr="00A31F09">
        <w:rPr>
          <w:rFonts w:eastAsiaTheme="minorEastAsia"/>
        </w:rPr>
        <w:t xml:space="preserve">After the data pre-processing based on quality flags and calculating all the variables, we removed any outliers by calculating the standard deviation of each variable (GPP, PAR, reflectance, </w:t>
      </w:r>
      <w:proofErr w:type="spellStart"/>
      <w:r w:rsidRPr="00A31F09">
        <w:rPr>
          <w:rFonts w:eastAsiaTheme="minorEastAsia"/>
        </w:rPr>
        <w:t>fPAR</w:t>
      </w:r>
      <w:proofErr w:type="spellEnd"/>
      <w:r w:rsidRPr="00A31F09">
        <w:rPr>
          <w:rFonts w:eastAsiaTheme="minorEastAsia"/>
        </w:rPr>
        <w:t>) for each site across all the days, and then only kept the data points that were within 2 standard deviations of the mean.</w:t>
      </w:r>
      <w:r>
        <w:rPr>
          <w:rFonts w:eastAsiaTheme="minorEastAsia"/>
        </w:rPr>
        <w:t xml:space="preserve"> </w:t>
      </w:r>
      <w:r w:rsidRPr="00A31F09">
        <w:rPr>
          <w:rFonts w:eastAsiaTheme="minorEastAsia"/>
        </w:rPr>
        <w:t xml:space="preserve">To examine the relationship between </w:t>
      </w:r>
      <w:proofErr w:type="spellStart"/>
      <w:r w:rsidRPr="00A31F09">
        <w:rPr>
          <w:rFonts w:eastAsiaTheme="minorEastAsia"/>
        </w:rPr>
        <w:t>fesc</w:t>
      </w:r>
      <w:proofErr w:type="spellEnd"/>
      <w:r w:rsidRPr="00A31F09">
        <w:rPr>
          <w:rFonts w:eastAsiaTheme="minorEastAsia"/>
        </w:rPr>
        <w:t xml:space="preserve"> and LUEmax across different biomes, we first grouped the LUEmax and </w:t>
      </w:r>
      <w:proofErr w:type="spellStart"/>
      <w:r w:rsidRPr="00A31F09">
        <w:rPr>
          <w:rFonts w:eastAsiaTheme="minorEastAsia"/>
        </w:rPr>
        <w:t>fesc</w:t>
      </w:r>
      <w:proofErr w:type="spellEnd"/>
      <w:r w:rsidRPr="00A31F09">
        <w:rPr>
          <w:rFonts w:eastAsiaTheme="minorEastAsia"/>
        </w:rPr>
        <w:t xml:space="preserve"> data based on their respective biomes and calculated the median value for each biome group. We also investigated the relationship between </w:t>
      </w:r>
      <w:proofErr w:type="spellStart"/>
      <w:r w:rsidRPr="00A31F09">
        <w:rPr>
          <w:rFonts w:eastAsiaTheme="minorEastAsia"/>
        </w:rPr>
        <w:t>fesc</w:t>
      </w:r>
      <w:proofErr w:type="spellEnd"/>
      <w:r w:rsidRPr="00A31F09">
        <w:rPr>
          <w:rFonts w:eastAsiaTheme="minorEastAsia"/>
        </w:rPr>
        <w:t xml:space="preserve"> and LUEmax for individual sites within each biome.</w:t>
      </w:r>
      <w:r>
        <w:rPr>
          <w:rFonts w:eastAsiaTheme="minorEastAsia"/>
        </w:rPr>
        <w:t xml:space="preserve"> </w:t>
      </w:r>
      <w:r w:rsidRPr="00A31F09">
        <w:rPr>
          <w:rFonts w:eastAsiaTheme="minorEastAsia"/>
        </w:rPr>
        <w:t>Additionally, we estimated the standard error for the LUEmax values by dividing the standard deviation of the LUEmax values by the square root of the number of observations presented in each biome or site. This provided a measure of the uncertainty associated with the LUEmax estimates.</w:t>
      </w:r>
      <w:r w:rsidR="008B03E1">
        <w:rPr>
          <w:rFonts w:eastAsiaTheme="minorEastAsia"/>
        </w:rPr>
        <w:t xml:space="preserve">   </w:t>
      </w:r>
    </w:p>
    <w:p w14:paraId="0E35FBDE" w14:textId="72B7587F" w:rsidR="00F552F1" w:rsidRDefault="00F552F1" w:rsidP="00A31F09">
      <w:pPr>
        <w:pStyle w:val="Heading1"/>
      </w:pPr>
      <w:r w:rsidRPr="000177B3">
        <w:lastRenderedPageBreak/>
        <w:t>Results</w:t>
      </w:r>
    </w:p>
    <w:p w14:paraId="7BE01CFF" w14:textId="134E6457" w:rsidR="00E4389D" w:rsidRDefault="00815FC4" w:rsidP="00E4389D">
      <w:r w:rsidRPr="00815FC4">
        <w:t xml:space="preserve">Figure 2 shows a strong linear association between the biome-level median values of LUEmax and </w:t>
      </w:r>
      <w:proofErr w:type="spellStart"/>
      <w:r w:rsidRPr="00815FC4">
        <w:t>fesc</w:t>
      </w:r>
      <w:proofErr w:type="spellEnd"/>
      <w:r w:rsidRPr="00815FC4">
        <w:t xml:space="preserve"> (R2 = 0.86). A clear pattern emerges, where biomes with more open canopies, such as open shrublands and savannas, exhibit lower values of both </w:t>
      </w:r>
      <w:proofErr w:type="spellStart"/>
      <w:r w:rsidRPr="00815FC4">
        <w:t>fesc</w:t>
      </w:r>
      <w:proofErr w:type="spellEnd"/>
      <w:r w:rsidRPr="00815FC4">
        <w:t xml:space="preserve"> and LUEmax. In contrast, biomes with denser canopies, such as forested ecosystems, tend to have higher values of both </w:t>
      </w:r>
      <w:proofErr w:type="spellStart"/>
      <w:r w:rsidRPr="00815FC4">
        <w:t>fesc</w:t>
      </w:r>
      <w:proofErr w:type="spellEnd"/>
      <w:r w:rsidRPr="00815FC4">
        <w:t xml:space="preserve"> and LUEmax. In other words, as the density of the plant canopy increases, both </w:t>
      </w:r>
      <w:proofErr w:type="spellStart"/>
      <w:r w:rsidRPr="00815FC4">
        <w:t>fesc</w:t>
      </w:r>
      <w:proofErr w:type="spellEnd"/>
      <w:r w:rsidRPr="00815FC4">
        <w:t xml:space="preserve"> and LUEmax tend to increase together. This relationship observed at the biome level is much stronger compared to the findings of </w:t>
      </w:r>
      <w:proofErr w:type="spellStart"/>
      <w:r w:rsidRPr="00815FC4">
        <w:t>Dechant</w:t>
      </w:r>
      <w:proofErr w:type="spellEnd"/>
      <w:r w:rsidRPr="00815FC4">
        <w:t xml:space="preserve"> et al. at the site level. Indeed, when we correlated the daily LUE and </w:t>
      </w:r>
      <w:proofErr w:type="spellStart"/>
      <w:r w:rsidRPr="00815FC4">
        <w:t>fesc</w:t>
      </w:r>
      <w:proofErr w:type="spellEnd"/>
      <w:r w:rsidRPr="00815FC4">
        <w:t xml:space="preserve"> for all sites (excluding evergreen forests and closed shrublands), the R2 values are generally less than 0.5, with an average of around 0.3 (Figure </w:t>
      </w:r>
      <w:proofErr w:type="spellStart"/>
      <w:r w:rsidRPr="00815FC4">
        <w:t>sXXX</w:t>
      </w:r>
      <w:proofErr w:type="spellEnd"/>
      <w:r w:rsidRPr="00815FC4">
        <w:t xml:space="preserve">). This suggests that the temporal correlation between LUE and </w:t>
      </w:r>
      <w:proofErr w:type="spellStart"/>
      <w:r w:rsidRPr="00815FC4">
        <w:t>fesc</w:t>
      </w:r>
      <w:proofErr w:type="spellEnd"/>
      <w:r w:rsidRPr="00815FC4">
        <w:t xml:space="preserve"> is mostly weak across </w:t>
      </w:r>
      <w:proofErr w:type="gramStart"/>
      <w:r w:rsidRPr="00815FC4">
        <w:t>the majority of</w:t>
      </w:r>
      <w:proofErr w:type="gramEnd"/>
      <w:r w:rsidRPr="00815FC4">
        <w:t xml:space="preserve"> individual sites, in contrast to the strong biome-level relationship. </w:t>
      </w:r>
    </w:p>
    <w:p w14:paraId="250BD729" w14:textId="77777777" w:rsidR="00815FC4" w:rsidRPr="00E4389D" w:rsidRDefault="00815FC4" w:rsidP="00E4389D"/>
    <w:p w14:paraId="5C0B09D4" w14:textId="77777777" w:rsidR="00A31F09" w:rsidRDefault="00E4389D" w:rsidP="006B376E">
      <w:pPr>
        <w:keepNext/>
        <w:jc w:val="center"/>
      </w:pPr>
      <w:r>
        <w:rPr>
          <w:noProof/>
        </w:rPr>
        <w:drawing>
          <wp:inline distT="0" distB="0" distL="0" distR="0" wp14:anchorId="2A40C6A5" wp14:editId="728A897F">
            <wp:extent cx="3142445" cy="2999062"/>
            <wp:effectExtent l="0" t="0" r="0" b="0"/>
            <wp:docPr id="1923477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7715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3188" cy="3057033"/>
                    </a:xfrm>
                    <a:prstGeom prst="rect">
                      <a:avLst/>
                    </a:prstGeom>
                  </pic:spPr>
                </pic:pic>
              </a:graphicData>
            </a:graphic>
          </wp:inline>
        </w:drawing>
      </w:r>
    </w:p>
    <w:p w14:paraId="3477DE1A" w14:textId="3B73918F" w:rsidR="0056464B" w:rsidRDefault="00A31F09" w:rsidP="006B376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Relationship between </w:t>
      </w:r>
      <w:proofErr w:type="spellStart"/>
      <w:r>
        <w:t>fesc</w:t>
      </w:r>
      <w:proofErr w:type="spellEnd"/>
      <w:r>
        <w:t xml:space="preserve"> and </w:t>
      </w:r>
      <w:proofErr w:type="spellStart"/>
      <w:r>
        <w:t>LUEMax</w:t>
      </w:r>
      <w:proofErr w:type="spellEnd"/>
      <w:r>
        <w:t xml:space="preserve"> across various biomes. Refer to Table 1 for the definition of each biome abbreviation.</w:t>
      </w:r>
    </w:p>
    <w:p w14:paraId="10C2F1D6" w14:textId="0383E677" w:rsidR="002C2021" w:rsidRDefault="00A31F09" w:rsidP="00A31F09">
      <w:r>
        <w:t xml:space="preserve">Figure 3 reveals a predominantly positive association between LUEmax and </w:t>
      </w:r>
      <w:proofErr w:type="spellStart"/>
      <w:r>
        <w:t>fesc</w:t>
      </w:r>
      <w:proofErr w:type="spellEnd"/>
      <w:r>
        <w:t xml:space="preserve"> </w:t>
      </w:r>
      <w:r>
        <w:t xml:space="preserve">when </w:t>
      </w:r>
      <w:r w:rsidR="00815FC4">
        <w:t>examined between</w:t>
      </w:r>
      <w:r>
        <w:t xml:space="preserve"> site</w:t>
      </w:r>
      <w:r w:rsidR="00815FC4">
        <w:t xml:space="preserve">s </w:t>
      </w:r>
      <w:r>
        <w:t>within each biome. This trend is evident across most biomes. For example, closed shrublands and woody savannas exhibit a remarkably strong linear relationship, reflected by R² values exceeding 0.96. This signifies a robust positive correlation between these variables within these specific biome types.</w:t>
      </w:r>
      <w:r>
        <w:t xml:space="preserve"> </w:t>
      </w:r>
      <w:r>
        <w:t>Within the forested biomes, evergreen broadleaf sites display the strongest positive correlation. It's important to note, however, that the number of sites represented within each biome is uneven. Consequently, directly comparing the strength of these relationships across biomes might be misleading due to variations in sample sizes.</w:t>
      </w:r>
      <w:r>
        <w:t xml:space="preserve"> </w:t>
      </w:r>
      <w:r w:rsidRPr="00A31F09">
        <w:t xml:space="preserve">Rather, the positive relationship should be paid attention to within each biome, as it suggests a consistent association between canopy structure (as captured by </w:t>
      </w:r>
      <w:proofErr w:type="spellStart"/>
      <w:r w:rsidRPr="00A31F09">
        <w:t>fesc</w:t>
      </w:r>
      <w:proofErr w:type="spellEnd"/>
      <w:r w:rsidRPr="00A31F09">
        <w:t>) and the maximum light-use efficiency (LUEmax) at the site level.</w:t>
      </w:r>
      <w:r w:rsidR="002C2021">
        <w:t xml:space="preserve"> </w:t>
      </w:r>
    </w:p>
    <w:p w14:paraId="49D8F870" w14:textId="77777777" w:rsidR="00A31F09" w:rsidRDefault="00E4389D" w:rsidP="00A31F09">
      <w:pPr>
        <w:keepNext/>
      </w:pPr>
      <w:r>
        <w:rPr>
          <w:noProof/>
        </w:rPr>
        <w:lastRenderedPageBreak/>
        <w:drawing>
          <wp:inline distT="0" distB="0" distL="0" distR="0" wp14:anchorId="26E23C16" wp14:editId="273BE591">
            <wp:extent cx="4876409" cy="4896869"/>
            <wp:effectExtent l="0" t="0" r="635" b="5715"/>
            <wp:docPr id="2031331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1684"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409" cy="4896869"/>
                    </a:xfrm>
                    <a:prstGeom prst="rect">
                      <a:avLst/>
                    </a:prstGeom>
                  </pic:spPr>
                </pic:pic>
              </a:graphicData>
            </a:graphic>
          </wp:inline>
        </w:drawing>
      </w:r>
    </w:p>
    <w:p w14:paraId="0F171641" w14:textId="25CC9FA4" w:rsidR="002C2021" w:rsidRDefault="00A31F09" w:rsidP="00A31F0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The relationship between </w:t>
      </w:r>
      <w:proofErr w:type="spellStart"/>
      <w:r>
        <w:t>fesc</w:t>
      </w:r>
      <w:proofErr w:type="spellEnd"/>
      <w:r>
        <w:t xml:space="preserve"> and </w:t>
      </w:r>
      <w:proofErr w:type="spellStart"/>
      <w:r>
        <w:t>LUEMax</w:t>
      </w:r>
      <w:proofErr w:type="spellEnd"/>
      <w:r>
        <w:t xml:space="preserve"> across different sites within each biome.</w:t>
      </w:r>
    </w:p>
    <w:p w14:paraId="36620D57" w14:textId="5EE0FBAE" w:rsidR="00ED53FF" w:rsidRDefault="002C2021" w:rsidP="002C2021">
      <w:pPr>
        <w:pStyle w:val="Heading1"/>
        <w:spacing w:after="120"/>
      </w:pPr>
      <w:r>
        <w:t>D</w:t>
      </w:r>
      <w:r w:rsidR="00F552F1">
        <w:t>iscussion</w:t>
      </w:r>
    </w:p>
    <w:p w14:paraId="75D7297D" w14:textId="7D4DE83B" w:rsidR="006B376E" w:rsidRDefault="006B376E" w:rsidP="006B376E">
      <w:r w:rsidRPr="006B376E">
        <w:t xml:space="preserve">Our study builds upon prior research that found a positive link between temporal LUE and </w:t>
      </w:r>
      <w:proofErr w:type="spellStart"/>
      <w:r w:rsidRPr="006B376E">
        <w:t>fesc</w:t>
      </w:r>
      <w:proofErr w:type="spellEnd"/>
      <w:r w:rsidR="00815FC4">
        <w:t xml:space="preserve"> (</w:t>
      </w:r>
      <w:proofErr w:type="spellStart"/>
      <w:r w:rsidR="00815FC4">
        <w:t>Dechant</w:t>
      </w:r>
      <w:proofErr w:type="spellEnd"/>
      <w:r w:rsidR="00815FC4">
        <w:t xml:space="preserve"> et al)</w:t>
      </w:r>
      <w:r w:rsidRPr="006B376E">
        <w:t xml:space="preserve">. However, we demonstrate a significantly stronger and more informative relationship by focusing on two key aspects: 1) using LUEmax, the annual peak in light use efficiency, for a more robust measure, and 2) analyzing the connection across both different biomes and individual sites within each biome. To our knowledge, this is the first study to directly link </w:t>
      </w:r>
      <w:proofErr w:type="spellStart"/>
      <w:r w:rsidRPr="006B376E">
        <w:t>fesc</w:t>
      </w:r>
      <w:proofErr w:type="spellEnd"/>
      <w:r w:rsidRPr="006B376E">
        <w:t>, with LUEmax across a vast number of sites (&gt;270) spanning diverse biomes. The observed strong linear association, particularly at the biome level, offers valuable insights into how variations in canopy structure influence the maximum light-use efficiency of different ecosystems.</w:t>
      </w:r>
      <w:r w:rsidR="002C2021">
        <w:br/>
      </w:r>
    </w:p>
    <w:p w14:paraId="4C0AE5B6" w14:textId="77777777" w:rsidR="00815FC4" w:rsidRDefault="00815FC4" w:rsidP="00815FC4">
      <w:r>
        <w:t xml:space="preserve">The positive relationship observed between LUEmax and </w:t>
      </w:r>
      <w:proofErr w:type="spellStart"/>
      <w:r>
        <w:t>fesc</w:t>
      </w:r>
      <w:proofErr w:type="spellEnd"/>
      <w:r>
        <w:t xml:space="preserve"> can be explained from both remote sensing and plant physiological perspectives. In the lower left of Figure XXX, we observe biomes with open canopies. These open canopy systems are generally not limited by light availability, resulting in a lower overall </w:t>
      </w:r>
      <w:r>
        <w:t>LUE [XXX]</w:t>
      </w:r>
      <w:r>
        <w:t xml:space="preserve">. Additionally, the increased light penetration </w:t>
      </w:r>
      <w:r>
        <w:lastRenderedPageBreak/>
        <w:t xml:space="preserve">through open canopies potentially leads to more frequent multiple scattering of photons within the canopy, causing more photons to escape the canopy in various directions and reducing the number of photons that ultimately reach the sensor, as captured by the lower </w:t>
      </w:r>
      <w:proofErr w:type="spellStart"/>
      <w:r>
        <w:t>fesc</w:t>
      </w:r>
      <w:proofErr w:type="spellEnd"/>
      <w:r>
        <w:t xml:space="preserve"> values.</w:t>
      </w:r>
      <w:r>
        <w:t xml:space="preserve"> </w:t>
      </w:r>
    </w:p>
    <w:p w14:paraId="07933D77" w14:textId="77777777" w:rsidR="00815FC4" w:rsidRDefault="00815FC4" w:rsidP="00815FC4"/>
    <w:p w14:paraId="5924615C" w14:textId="3EE25492" w:rsidR="006B376E" w:rsidRDefault="00815FC4" w:rsidP="00815FC4">
      <w:r>
        <w:t xml:space="preserve">In contrast, denser canopies such as evergreen broadleaf forests represent closed canopy systems. In these environments, a significant portion of incoming photons is reflected from the top layers of the canopy toward the sensor without much multiple scattering in the lower canopy layers, leading to a higher </w:t>
      </w:r>
      <w:proofErr w:type="spellStart"/>
      <w:r>
        <w:t>fesc</w:t>
      </w:r>
      <w:proofErr w:type="spellEnd"/>
      <w:r>
        <w:t xml:space="preserve"> value. Additionally, leaves in the lower layers of such dense canopies often experience light limitation, indicating a greater capacity for converting the absorbed light into energy, resulting in higher LUEmax.</w:t>
      </w:r>
      <w:r>
        <w:t xml:space="preserve"> </w:t>
      </w:r>
      <w:r>
        <w:t>The findings of this study underscore the significant link between canopy structure</w:t>
      </w:r>
      <w:r>
        <w:t xml:space="preserve"> and optics,</w:t>
      </w:r>
      <w:r>
        <w:t xml:space="preserve"> and canopy physiology, emphasizing the need for more explicit investigations that integrate both remote sensing observations and process-based models. Such studies could leverage </w:t>
      </w:r>
      <w:r>
        <w:t xml:space="preserve">3D models of radiative transfer model with intergraded with </w:t>
      </w:r>
      <w:r>
        <w:t xml:space="preserve">plant physiology </w:t>
      </w:r>
      <w:r>
        <w:t>models</w:t>
      </w:r>
      <w:r>
        <w:t xml:space="preserve">, to further elucidate the mechanisms behind the observed </w:t>
      </w:r>
      <w:proofErr w:type="spellStart"/>
      <w:r>
        <w:t>fesc</w:t>
      </w:r>
      <w:proofErr w:type="spellEnd"/>
      <w:r>
        <w:t>-LUEmax relationship across different biomes.</w:t>
      </w:r>
    </w:p>
    <w:p w14:paraId="18923B65" w14:textId="77777777" w:rsidR="00815FC4" w:rsidRDefault="00815FC4" w:rsidP="00815FC4"/>
    <w:p w14:paraId="3EF14F3E" w14:textId="0BFE496A" w:rsidR="00815FC4" w:rsidRPr="00815FC4" w:rsidRDefault="006B376E" w:rsidP="002C2021">
      <w:pPr>
        <w:rPr>
          <w:vertAlign w:val="subscript"/>
        </w:rPr>
      </w:pPr>
      <w:r w:rsidRPr="006B376E">
        <w:t xml:space="preserve">It’s important to emphasize that our study is observational. While we report a strong positive relationship between </w:t>
      </w:r>
      <w:proofErr w:type="spellStart"/>
      <w:r w:rsidRPr="006B376E">
        <w:t>LUEMax</w:t>
      </w:r>
      <w:proofErr w:type="spellEnd"/>
      <w:r w:rsidRPr="006B376E">
        <w:t xml:space="preserve"> and </w:t>
      </w:r>
      <w:proofErr w:type="spellStart"/>
      <w:r w:rsidRPr="006B376E">
        <w:t>fesc</w:t>
      </w:r>
      <w:proofErr w:type="spellEnd"/>
      <w:r w:rsidRPr="006B376E">
        <w:t xml:space="preserve">, this correlation does not necessarily imply causation. We cannot definitively say that changes in </w:t>
      </w:r>
      <w:proofErr w:type="spellStart"/>
      <w:r w:rsidRPr="006B376E">
        <w:t>fesc</w:t>
      </w:r>
      <w:proofErr w:type="spellEnd"/>
      <w:r w:rsidRPr="006B376E">
        <w:t xml:space="preserve"> cause changes in </w:t>
      </w:r>
      <w:proofErr w:type="spellStart"/>
      <w:r w:rsidRPr="006B376E">
        <w:t>LUEMax</w:t>
      </w:r>
      <w:proofErr w:type="spellEnd"/>
      <w:r w:rsidRPr="006B376E">
        <w:t xml:space="preserve">, or vice versa, without elucidating the underlying mechanisms. </w:t>
      </w:r>
      <w:r w:rsidR="00815FC4">
        <w:t xml:space="preserve">However, the </w:t>
      </w:r>
      <w:r w:rsidRPr="006B376E">
        <w:t xml:space="preserve">observed strong relationship between these variables across various biomes </w:t>
      </w:r>
      <w:r w:rsidR="00815FC4">
        <w:t xml:space="preserve">can be used for constraining the estimation of </w:t>
      </w:r>
      <w:proofErr w:type="spellStart"/>
      <w:r w:rsidR="00815FC4">
        <w:t>LUEMax</w:t>
      </w:r>
      <w:proofErr w:type="spellEnd"/>
      <w:r w:rsidR="00815FC4">
        <w:t xml:space="preserve"> for various purposes. For example, many LUE based algorithms to estimate GPP, such as the GPP products from MODIS, [XXXX] consider fixed values for </w:t>
      </w:r>
      <w:proofErr w:type="spellStart"/>
      <w:r w:rsidR="00815FC4">
        <w:t>LUEMax</w:t>
      </w:r>
      <w:proofErr w:type="spellEnd"/>
      <w:r w:rsidR="00815FC4">
        <w:t xml:space="preserve"> for different plants based on land cover data. Our results </w:t>
      </w:r>
      <w:proofErr w:type="gramStart"/>
      <w:r w:rsidR="00815FC4">
        <w:t>suggests</w:t>
      </w:r>
      <w:proofErr w:type="gramEnd"/>
      <w:r w:rsidR="00815FC4">
        <w:t xml:space="preserve"> this approach is problematic as </w:t>
      </w:r>
      <w:proofErr w:type="spellStart"/>
      <w:r w:rsidR="00815FC4">
        <w:t>LUEMax</w:t>
      </w:r>
      <w:proofErr w:type="spellEnd"/>
      <w:r w:rsidR="00815FC4">
        <w:t xml:space="preserve"> changes within the same biome due to changes in canopy structure. Thus, canopy structure and explicitly </w:t>
      </w:r>
      <w:proofErr w:type="spellStart"/>
      <w:r w:rsidR="00815FC4">
        <w:t>fesc</w:t>
      </w:r>
      <w:proofErr w:type="spellEnd"/>
      <w:r w:rsidR="00815FC4">
        <w:t xml:space="preserve">, is potentially a better candidate for constraining </w:t>
      </w:r>
      <w:proofErr w:type="spellStart"/>
      <w:r w:rsidR="00815FC4">
        <w:t>LUEMax</w:t>
      </w:r>
      <w:proofErr w:type="spellEnd"/>
      <w:r w:rsidR="00815FC4">
        <w:t xml:space="preserve"> than simply land cover type.  </w:t>
      </w:r>
    </w:p>
    <w:p w14:paraId="6B48987B" w14:textId="77777777" w:rsidR="006B376E" w:rsidRDefault="006B376E" w:rsidP="002C2021"/>
    <w:p w14:paraId="6D379F47" w14:textId="43369522" w:rsidR="00815FC4" w:rsidRDefault="006B376E" w:rsidP="00815FC4">
      <w:pPr>
        <w:spacing w:after="120"/>
      </w:pPr>
      <w:r>
        <w:t>There are several challenges associated with this study</w:t>
      </w:r>
      <w:r w:rsidR="00815FC4">
        <w:t xml:space="preserve"> that open new windows for future studies</w:t>
      </w:r>
      <w:r>
        <w:t xml:space="preserve">. Firstly, while </w:t>
      </w:r>
      <w:proofErr w:type="spellStart"/>
      <w:r>
        <w:t>fesc</w:t>
      </w:r>
      <w:proofErr w:type="spellEnd"/>
      <w:r>
        <w:t xml:space="preserve"> is commonly used as an indicator of canopy structure, its approximation using </w:t>
      </w:r>
      <w:proofErr w:type="spellStart"/>
      <w:r>
        <w:t>NIRv</w:t>
      </w:r>
      <w:proofErr w:type="spellEnd"/>
      <w:r>
        <w:t>/</w:t>
      </w:r>
      <w:proofErr w:type="spellStart"/>
      <w:r>
        <w:t>fpar</w:t>
      </w:r>
      <w:proofErr w:type="spellEnd"/>
      <w:r>
        <w:t xml:space="preserve"> has certain limitations. Ideally, </w:t>
      </w:r>
      <w:proofErr w:type="spellStart"/>
      <w:r>
        <w:t>fesc</w:t>
      </w:r>
      <w:proofErr w:type="spellEnd"/>
      <w:r>
        <w:t xml:space="preserve"> should always be less than one, as it represents a fraction of photons escaping the canopy, which</w:t>
      </w:r>
      <w:r w:rsidR="00815FC4">
        <w:t>, if we ignore canopy fluorescence,</w:t>
      </w:r>
      <w:r>
        <w:t xml:space="preserve"> cannot exceed the total incoming photons. However, during our analysis, we encountered five sites where </w:t>
      </w:r>
      <w:proofErr w:type="spellStart"/>
      <w:r>
        <w:t>fesc</w:t>
      </w:r>
      <w:proofErr w:type="spellEnd"/>
      <w:r>
        <w:t xml:space="preserve"> values exceeded one. This discrepancy could stem from various factors, ranging from data quality issues to underlying assumptions. For instance, it's conceivable that a site with a closed canopy might experience some level of stress, reducing its chlorophyll content and affecting </w:t>
      </w:r>
      <w:proofErr w:type="spellStart"/>
      <w:r>
        <w:t>fpar</w:t>
      </w:r>
      <w:proofErr w:type="spellEnd"/>
      <w:r>
        <w:t xml:space="preserve">, while simultaneously exhibiting high </w:t>
      </w:r>
      <w:proofErr w:type="spellStart"/>
      <w:r>
        <w:t>NIRv</w:t>
      </w:r>
      <w:proofErr w:type="spellEnd"/>
      <w:r>
        <w:t xml:space="preserve"> values, leading to </w:t>
      </w:r>
      <w:proofErr w:type="spellStart"/>
      <w:r>
        <w:t>fesc</w:t>
      </w:r>
      <w:proofErr w:type="spellEnd"/>
      <w:r>
        <w:t xml:space="preserve"> values greater than one.</w:t>
      </w:r>
      <w:r>
        <w:t xml:space="preserve"> </w:t>
      </w:r>
      <w:r>
        <w:t xml:space="preserve">Furthermore, in calculating </w:t>
      </w:r>
      <w:proofErr w:type="spellStart"/>
      <w:r>
        <w:t>fesc</w:t>
      </w:r>
      <w:proofErr w:type="spellEnd"/>
      <w:r>
        <w:t>, we assume that soil does not contribute, and that red reflectance values of plants in the scene can be approximated with NDVI*NIR (Yang and van der Tol 2018; Zeng et al. 2019). However, these assumptions can be questioned in scenarios such as sparse canopy cover, where soil can impact both NDVI and NIR.</w:t>
      </w:r>
      <w:r>
        <w:t xml:space="preserve"> </w:t>
      </w:r>
      <w:r>
        <w:t xml:space="preserve">Similarly, defining maximum LUE poses its own challenges. In this study, we simply chose the median of annual maximum LUE values for each site as the representative of </w:t>
      </w:r>
      <w:proofErr w:type="spellStart"/>
      <w:r>
        <w:t>LUEMax</w:t>
      </w:r>
      <w:proofErr w:type="spellEnd"/>
      <w:r>
        <w:t xml:space="preserve">. However, this approach may overlook year-to-year variations in </w:t>
      </w:r>
      <w:proofErr w:type="spellStart"/>
      <w:r>
        <w:t>LUEMax</w:t>
      </w:r>
      <w:proofErr w:type="spellEnd"/>
      <w:r>
        <w:t xml:space="preserve"> due to factors such as stress</w:t>
      </w:r>
      <w:r>
        <w:t xml:space="preserve">. </w:t>
      </w:r>
      <w:r>
        <w:lastRenderedPageBreak/>
        <w:t xml:space="preserve">Nonetheless, we assume that given the large number of sites included in our analysis, any changes in </w:t>
      </w:r>
      <w:proofErr w:type="spellStart"/>
      <w:r>
        <w:t>LUEMax</w:t>
      </w:r>
      <w:proofErr w:type="spellEnd"/>
      <w:r>
        <w:t xml:space="preserve"> due to environmental factors would be minimal.</w:t>
      </w:r>
      <w:r w:rsidR="002C2021">
        <w:t xml:space="preserve"> </w:t>
      </w:r>
    </w:p>
    <w:p w14:paraId="1876A743" w14:textId="55672F33" w:rsidR="00815FC4" w:rsidRDefault="00815FC4" w:rsidP="00815FC4">
      <w:pPr>
        <w:spacing w:after="120"/>
      </w:pPr>
      <w:r>
        <w:t xml:space="preserve">We envision our results open new windows toward bridging plants physiological processes with plants optical properties. </w:t>
      </w:r>
    </w:p>
    <w:p w14:paraId="20F63B6B" w14:textId="42D64D0E" w:rsidR="002C2021" w:rsidRDefault="002C2021" w:rsidP="006B376E">
      <w:pPr>
        <w:pStyle w:val="Heading1"/>
      </w:pPr>
      <w:r>
        <w:t>References</w:t>
      </w:r>
    </w:p>
    <w:p w14:paraId="086AE989" w14:textId="77777777" w:rsidR="00A31F09" w:rsidRPr="00A31F09" w:rsidRDefault="002C2021" w:rsidP="00A31F09">
      <w:pPr>
        <w:pStyle w:val="Bibliography"/>
        <w:rPr>
          <w:rFonts w:cs="Calibri"/>
        </w:rPr>
      </w:pPr>
      <w:r>
        <w:fldChar w:fldCharType="begin"/>
      </w:r>
      <w:r>
        <w:instrText xml:space="preserve"> ADDIN ZOTERO_BIBL {"uncited":[],"omitted":[],"custom":[]} CSL_BIBLIOGRAPHY </w:instrText>
      </w:r>
      <w:r>
        <w:fldChar w:fldCharType="separate"/>
      </w:r>
      <w:proofErr w:type="spellStart"/>
      <w:r w:rsidR="00A31F09" w:rsidRPr="00A31F09">
        <w:rPr>
          <w:rFonts w:cs="Calibri"/>
        </w:rPr>
        <w:t>Dechant</w:t>
      </w:r>
      <w:proofErr w:type="spellEnd"/>
      <w:r w:rsidR="00A31F09" w:rsidRPr="00A31F09">
        <w:rPr>
          <w:rFonts w:cs="Calibri"/>
        </w:rPr>
        <w:t xml:space="preserve">, Benjamin, </w:t>
      </w:r>
      <w:proofErr w:type="spellStart"/>
      <w:r w:rsidR="00A31F09" w:rsidRPr="00A31F09">
        <w:rPr>
          <w:rFonts w:cs="Calibri"/>
        </w:rPr>
        <w:t>Youngryel</w:t>
      </w:r>
      <w:proofErr w:type="spellEnd"/>
      <w:r w:rsidR="00A31F09" w:rsidRPr="00A31F09">
        <w:rPr>
          <w:rFonts w:cs="Calibri"/>
        </w:rPr>
        <w:t xml:space="preserve"> Ryu, Grayson </w:t>
      </w:r>
      <w:proofErr w:type="spellStart"/>
      <w:r w:rsidR="00A31F09" w:rsidRPr="00A31F09">
        <w:rPr>
          <w:rFonts w:cs="Calibri"/>
        </w:rPr>
        <w:t>Badgley</w:t>
      </w:r>
      <w:proofErr w:type="spellEnd"/>
      <w:r w:rsidR="00A31F09" w:rsidRPr="00A31F09">
        <w:rPr>
          <w:rFonts w:cs="Calibri"/>
        </w:rPr>
        <w:t xml:space="preserve">, </w:t>
      </w:r>
      <w:proofErr w:type="spellStart"/>
      <w:r w:rsidR="00A31F09" w:rsidRPr="00A31F09">
        <w:rPr>
          <w:rFonts w:cs="Calibri"/>
        </w:rPr>
        <w:t>Yelu</w:t>
      </w:r>
      <w:proofErr w:type="spellEnd"/>
      <w:r w:rsidR="00A31F09" w:rsidRPr="00A31F09">
        <w:rPr>
          <w:rFonts w:cs="Calibri"/>
        </w:rPr>
        <w:t xml:space="preserve"> Zeng, Joseph A. Berry, </w:t>
      </w:r>
      <w:proofErr w:type="spellStart"/>
      <w:r w:rsidR="00A31F09" w:rsidRPr="00A31F09">
        <w:rPr>
          <w:rFonts w:cs="Calibri"/>
        </w:rPr>
        <w:t>Yongguang</w:t>
      </w:r>
      <w:proofErr w:type="spellEnd"/>
      <w:r w:rsidR="00A31F09" w:rsidRPr="00A31F09">
        <w:rPr>
          <w:rFonts w:cs="Calibri"/>
        </w:rPr>
        <w:t xml:space="preserve"> Zhang, Yves </w:t>
      </w:r>
      <w:proofErr w:type="spellStart"/>
      <w:r w:rsidR="00A31F09" w:rsidRPr="00A31F09">
        <w:rPr>
          <w:rFonts w:cs="Calibri"/>
        </w:rPr>
        <w:t>Goulas</w:t>
      </w:r>
      <w:proofErr w:type="spellEnd"/>
      <w:r w:rsidR="00A31F09" w:rsidRPr="00A31F09">
        <w:rPr>
          <w:rFonts w:cs="Calibri"/>
        </w:rPr>
        <w:t xml:space="preserve">, et al. 2020. “Canopy Structure Explains the Relationship between Photosynthesis and Sun-Induced Chlorophyll Fluorescence in Crops.” </w:t>
      </w:r>
      <w:r w:rsidR="00A31F09" w:rsidRPr="00A31F09">
        <w:rPr>
          <w:rFonts w:cs="Calibri"/>
          <w:i/>
          <w:iCs/>
        </w:rPr>
        <w:t>Remote Sensing of Environment</w:t>
      </w:r>
      <w:r w:rsidR="00A31F09" w:rsidRPr="00A31F09">
        <w:rPr>
          <w:rFonts w:cs="Calibri"/>
        </w:rPr>
        <w:t xml:space="preserve"> 241 (May): 111733. https://doi.org/10.1016/j.rse.2020.111733.</w:t>
      </w:r>
    </w:p>
    <w:p w14:paraId="088DDF6D" w14:textId="77777777" w:rsidR="00A31F09" w:rsidRPr="00A31F09" w:rsidRDefault="00A31F09" w:rsidP="00A31F09">
      <w:pPr>
        <w:pStyle w:val="Bibliography"/>
        <w:rPr>
          <w:rFonts w:cs="Calibri"/>
        </w:rPr>
      </w:pPr>
      <w:proofErr w:type="spellStart"/>
      <w:r w:rsidRPr="00A31F09">
        <w:rPr>
          <w:rFonts w:cs="Calibri"/>
        </w:rPr>
        <w:t>Gamon</w:t>
      </w:r>
      <w:proofErr w:type="spellEnd"/>
      <w:r w:rsidRPr="00A31F09">
        <w:rPr>
          <w:rFonts w:cs="Calibri"/>
        </w:rPr>
        <w:t xml:space="preserve">, J.A., and J.A. Berry. 2012. “Facultative and Constitutive Pigment Effects on the Photochemical Reflectance Index (PRI) in Sun and Shade Conifer Needles.” </w:t>
      </w:r>
      <w:r w:rsidRPr="00A31F09">
        <w:rPr>
          <w:rFonts w:cs="Calibri"/>
          <w:i/>
          <w:iCs/>
        </w:rPr>
        <w:t>Israel Journal of Plant Sciences</w:t>
      </w:r>
      <w:r w:rsidRPr="00A31F09">
        <w:rPr>
          <w:rFonts w:cs="Calibri"/>
        </w:rPr>
        <w:t xml:space="preserve"> 60 (1–2): 85–95. https://doi.org/10.1560/IJPS.60.1-2.85.</w:t>
      </w:r>
    </w:p>
    <w:p w14:paraId="45C11AFA" w14:textId="77777777" w:rsidR="00A31F09" w:rsidRPr="00A31F09" w:rsidRDefault="00A31F09" w:rsidP="00A31F09">
      <w:pPr>
        <w:pStyle w:val="Bibliography"/>
        <w:rPr>
          <w:rFonts w:cs="Calibri"/>
        </w:rPr>
      </w:pPr>
      <w:proofErr w:type="spellStart"/>
      <w:r w:rsidRPr="00A31F09">
        <w:rPr>
          <w:rFonts w:cs="Calibri"/>
        </w:rPr>
        <w:t>Gitelson</w:t>
      </w:r>
      <w:proofErr w:type="spellEnd"/>
      <w:r w:rsidRPr="00A31F09">
        <w:rPr>
          <w:rFonts w:cs="Calibri"/>
        </w:rPr>
        <w:t xml:space="preserve">, Anatoly A., Timothy J. </w:t>
      </w:r>
      <w:proofErr w:type="spellStart"/>
      <w:r w:rsidRPr="00A31F09">
        <w:rPr>
          <w:rFonts w:cs="Calibri"/>
        </w:rPr>
        <w:t>Arkebauer</w:t>
      </w:r>
      <w:proofErr w:type="spellEnd"/>
      <w:r w:rsidRPr="00A31F09">
        <w:rPr>
          <w:rFonts w:cs="Calibri"/>
        </w:rPr>
        <w:t xml:space="preserve">, and Andrew E. </w:t>
      </w:r>
      <w:proofErr w:type="spellStart"/>
      <w:r w:rsidRPr="00A31F09">
        <w:rPr>
          <w:rFonts w:cs="Calibri"/>
        </w:rPr>
        <w:t>Suyker</w:t>
      </w:r>
      <w:proofErr w:type="spellEnd"/>
      <w:r w:rsidRPr="00A31F09">
        <w:rPr>
          <w:rFonts w:cs="Calibri"/>
        </w:rPr>
        <w:t xml:space="preserve">. 2018. “Convergence of Daily Light Use Efficiency in Irrigated and Rainfed C3 and C4 Crops.” </w:t>
      </w:r>
      <w:r w:rsidRPr="00A31F09">
        <w:rPr>
          <w:rFonts w:cs="Calibri"/>
          <w:i/>
          <w:iCs/>
        </w:rPr>
        <w:t>Remote Sensing of Environment</w:t>
      </w:r>
      <w:r w:rsidRPr="00A31F09">
        <w:rPr>
          <w:rFonts w:cs="Calibri"/>
        </w:rPr>
        <w:t xml:space="preserve"> 217 (November): 30–37. https://doi.org/10.1016/j.rse.2018.08.007.</w:t>
      </w:r>
    </w:p>
    <w:p w14:paraId="1C34B0DB" w14:textId="77777777" w:rsidR="00A31F09" w:rsidRPr="00A31F09" w:rsidRDefault="00A31F09" w:rsidP="00A31F09">
      <w:pPr>
        <w:pStyle w:val="Bibliography"/>
        <w:rPr>
          <w:rFonts w:cs="Calibri"/>
        </w:rPr>
      </w:pPr>
      <w:proofErr w:type="spellStart"/>
      <w:r w:rsidRPr="00A31F09">
        <w:rPr>
          <w:rFonts w:cs="Calibri"/>
        </w:rPr>
        <w:t>Gitelson</w:t>
      </w:r>
      <w:proofErr w:type="spellEnd"/>
      <w:r w:rsidRPr="00A31F09">
        <w:rPr>
          <w:rFonts w:cs="Calibri"/>
        </w:rPr>
        <w:t xml:space="preserve">, Anatoly A., and John A. </w:t>
      </w:r>
      <w:proofErr w:type="spellStart"/>
      <w:r w:rsidRPr="00A31F09">
        <w:rPr>
          <w:rFonts w:cs="Calibri"/>
        </w:rPr>
        <w:t>Gamon</w:t>
      </w:r>
      <w:proofErr w:type="spellEnd"/>
      <w:r w:rsidRPr="00A31F09">
        <w:rPr>
          <w:rFonts w:cs="Calibri"/>
        </w:rPr>
        <w:t xml:space="preserve">. 2015. “The Need for a Common Basis for Defining Light-Use Efficiency: Implications for Productivity Estimation.” </w:t>
      </w:r>
      <w:r w:rsidRPr="00A31F09">
        <w:rPr>
          <w:rFonts w:cs="Calibri"/>
          <w:i/>
          <w:iCs/>
        </w:rPr>
        <w:t>Remote Sensing of Environment</w:t>
      </w:r>
      <w:r w:rsidRPr="00A31F09">
        <w:rPr>
          <w:rFonts w:cs="Calibri"/>
        </w:rPr>
        <w:t xml:space="preserve"> 156 (January): 196–201. https://doi.org/10.1016/j.rse.2014.09.017.</w:t>
      </w:r>
    </w:p>
    <w:p w14:paraId="2C7191CF" w14:textId="77777777" w:rsidR="00A31F09" w:rsidRPr="00A31F09" w:rsidRDefault="00A31F09" w:rsidP="00A31F09">
      <w:pPr>
        <w:pStyle w:val="Bibliography"/>
        <w:rPr>
          <w:rFonts w:cs="Calibri"/>
        </w:rPr>
      </w:pPr>
      <w:r w:rsidRPr="00A31F09">
        <w:rPr>
          <w:rFonts w:cs="Calibri"/>
        </w:rPr>
        <w:t xml:space="preserve">Joiner, Joanna, and Yasuko Yoshida. 2020. “Satellite-Based </w:t>
      </w:r>
      <w:proofErr w:type="spellStart"/>
      <w:r w:rsidRPr="00A31F09">
        <w:rPr>
          <w:rFonts w:cs="Calibri"/>
        </w:rPr>
        <w:t>Reflectances</w:t>
      </w:r>
      <w:proofErr w:type="spellEnd"/>
      <w:r w:rsidRPr="00A31F09">
        <w:rPr>
          <w:rFonts w:cs="Calibri"/>
        </w:rPr>
        <w:t xml:space="preserve"> Capture Large Fraction of Variability in Global Gross Primary Production (GPP) at Weekly Time Scales.” </w:t>
      </w:r>
      <w:r w:rsidRPr="00A31F09">
        <w:rPr>
          <w:rFonts w:cs="Calibri"/>
          <w:i/>
          <w:iCs/>
        </w:rPr>
        <w:t>Agricultural and Forest Meteorology</w:t>
      </w:r>
      <w:r w:rsidRPr="00A31F09">
        <w:rPr>
          <w:rFonts w:cs="Calibri"/>
        </w:rPr>
        <w:t xml:space="preserve"> 291 (September): 108092. https://doi.org/10.1016/j.agrformet.2020.108092.</w:t>
      </w:r>
    </w:p>
    <w:p w14:paraId="1BF37A48" w14:textId="77777777" w:rsidR="00A31F09" w:rsidRPr="00A31F09" w:rsidRDefault="00A31F09" w:rsidP="00A31F09">
      <w:pPr>
        <w:pStyle w:val="Bibliography"/>
        <w:rPr>
          <w:rFonts w:cs="Calibri"/>
        </w:rPr>
      </w:pPr>
      <w:r w:rsidRPr="00A31F09">
        <w:rPr>
          <w:rFonts w:cs="Calibri"/>
        </w:rPr>
        <w:t xml:space="preserve">Joiner, Joanna, Yasuko Yoshida, Yao Zhang, Gregory </w:t>
      </w:r>
      <w:proofErr w:type="spellStart"/>
      <w:r w:rsidRPr="00A31F09">
        <w:rPr>
          <w:rFonts w:cs="Calibri"/>
        </w:rPr>
        <w:t>Duveiller</w:t>
      </w:r>
      <w:proofErr w:type="spellEnd"/>
      <w:r w:rsidRPr="00A31F09">
        <w:rPr>
          <w:rFonts w:cs="Calibri"/>
        </w:rPr>
        <w:t xml:space="preserve">, Martin Jung, Alexei </w:t>
      </w:r>
      <w:proofErr w:type="spellStart"/>
      <w:r w:rsidRPr="00A31F09">
        <w:rPr>
          <w:rFonts w:cs="Calibri"/>
        </w:rPr>
        <w:t>Lyapustin</w:t>
      </w:r>
      <w:proofErr w:type="spellEnd"/>
      <w:r w:rsidRPr="00A31F09">
        <w:rPr>
          <w:rFonts w:cs="Calibri"/>
        </w:rPr>
        <w:t xml:space="preserve">, </w:t>
      </w:r>
      <w:proofErr w:type="spellStart"/>
      <w:r w:rsidRPr="00A31F09">
        <w:rPr>
          <w:rFonts w:cs="Calibri"/>
        </w:rPr>
        <w:t>Yujie</w:t>
      </w:r>
      <w:proofErr w:type="spellEnd"/>
      <w:r w:rsidRPr="00A31F09">
        <w:rPr>
          <w:rFonts w:cs="Calibri"/>
        </w:rPr>
        <w:t xml:space="preserve"> Wang, and Compton J. Tucker. 2018. “Estimation of Terrestrial Global Gross Primary Production (GPP) with Satellite Data-Driven Models and Eddy Covariance Flux Data.” </w:t>
      </w:r>
      <w:r w:rsidRPr="00A31F09">
        <w:rPr>
          <w:rFonts w:cs="Calibri"/>
          <w:i/>
          <w:iCs/>
        </w:rPr>
        <w:t>Remote Sensing</w:t>
      </w:r>
      <w:r w:rsidRPr="00A31F09">
        <w:rPr>
          <w:rFonts w:cs="Calibri"/>
        </w:rPr>
        <w:t xml:space="preserve"> 10 (9): 1346. https://doi.org/10.3390/rs10091346.</w:t>
      </w:r>
    </w:p>
    <w:p w14:paraId="66A6EBF4" w14:textId="77777777" w:rsidR="00A31F09" w:rsidRPr="00A31F09" w:rsidRDefault="00A31F09" w:rsidP="00A31F09">
      <w:pPr>
        <w:pStyle w:val="Bibliography"/>
        <w:rPr>
          <w:rFonts w:cs="Calibri"/>
        </w:rPr>
      </w:pPr>
      <w:proofErr w:type="spellStart"/>
      <w:r w:rsidRPr="00A31F09">
        <w:rPr>
          <w:rFonts w:cs="Calibri"/>
        </w:rPr>
        <w:t>Knyazikhin</w:t>
      </w:r>
      <w:proofErr w:type="spellEnd"/>
      <w:r w:rsidRPr="00A31F09">
        <w:rPr>
          <w:rFonts w:cs="Calibri"/>
        </w:rPr>
        <w:t xml:space="preserve">, Yuri, Mitchell A. Schull, Pauline Stenberg, Matti </w:t>
      </w:r>
      <w:proofErr w:type="spellStart"/>
      <w:r w:rsidRPr="00A31F09">
        <w:rPr>
          <w:rFonts w:cs="Calibri"/>
        </w:rPr>
        <w:t>Mõttus</w:t>
      </w:r>
      <w:proofErr w:type="spellEnd"/>
      <w:r w:rsidRPr="00A31F09">
        <w:rPr>
          <w:rFonts w:cs="Calibri"/>
        </w:rPr>
        <w:t xml:space="preserve">, </w:t>
      </w:r>
      <w:proofErr w:type="spellStart"/>
      <w:r w:rsidRPr="00A31F09">
        <w:rPr>
          <w:rFonts w:cs="Calibri"/>
        </w:rPr>
        <w:t>Miina</w:t>
      </w:r>
      <w:proofErr w:type="spellEnd"/>
      <w:r w:rsidRPr="00A31F09">
        <w:rPr>
          <w:rFonts w:cs="Calibri"/>
        </w:rPr>
        <w:t xml:space="preserve"> </w:t>
      </w:r>
      <w:proofErr w:type="spellStart"/>
      <w:r w:rsidRPr="00A31F09">
        <w:rPr>
          <w:rFonts w:cs="Calibri"/>
        </w:rPr>
        <w:t>Rautiainen</w:t>
      </w:r>
      <w:proofErr w:type="spellEnd"/>
      <w:r w:rsidRPr="00A31F09">
        <w:rPr>
          <w:rFonts w:cs="Calibri"/>
        </w:rPr>
        <w:t xml:space="preserve">, Yan Yang, Alexander </w:t>
      </w:r>
      <w:proofErr w:type="spellStart"/>
      <w:r w:rsidRPr="00A31F09">
        <w:rPr>
          <w:rFonts w:cs="Calibri"/>
        </w:rPr>
        <w:t>Marshak</w:t>
      </w:r>
      <w:proofErr w:type="spellEnd"/>
      <w:r w:rsidRPr="00A31F09">
        <w:rPr>
          <w:rFonts w:cs="Calibri"/>
        </w:rPr>
        <w:t xml:space="preserve">, et al. 2013. “Hyperspectral Remote Sensing of Foliar Nitrogen Content.” </w:t>
      </w:r>
      <w:r w:rsidRPr="00A31F09">
        <w:rPr>
          <w:rFonts w:cs="Calibri"/>
          <w:i/>
          <w:iCs/>
        </w:rPr>
        <w:t>Proceedings of the National Academy of Sciences</w:t>
      </w:r>
      <w:r w:rsidRPr="00A31F09">
        <w:rPr>
          <w:rFonts w:cs="Calibri"/>
        </w:rPr>
        <w:t xml:space="preserve"> 110 (3): E185–92. https://doi.org/10.1073/pnas.1210196109.</w:t>
      </w:r>
    </w:p>
    <w:p w14:paraId="2CB6DAA4" w14:textId="77777777" w:rsidR="00A31F09" w:rsidRPr="00A31F09" w:rsidRDefault="00A31F09" w:rsidP="00A31F09">
      <w:pPr>
        <w:pStyle w:val="Bibliography"/>
        <w:rPr>
          <w:rFonts w:cs="Calibri"/>
        </w:rPr>
      </w:pPr>
      <w:r w:rsidRPr="00A31F09">
        <w:rPr>
          <w:rFonts w:cs="Calibri"/>
        </w:rPr>
        <w:t xml:space="preserve">Mattos, Eduardo M. de, Dan Binkley, </w:t>
      </w:r>
      <w:proofErr w:type="spellStart"/>
      <w:r w:rsidRPr="00A31F09">
        <w:rPr>
          <w:rFonts w:cs="Calibri"/>
        </w:rPr>
        <w:t>Otavio</w:t>
      </w:r>
      <w:proofErr w:type="spellEnd"/>
      <w:r w:rsidRPr="00A31F09">
        <w:rPr>
          <w:rFonts w:cs="Calibri"/>
        </w:rPr>
        <w:t xml:space="preserve"> C. </w:t>
      </w:r>
      <w:proofErr w:type="spellStart"/>
      <w:r w:rsidRPr="00A31F09">
        <w:rPr>
          <w:rFonts w:cs="Calibri"/>
        </w:rPr>
        <w:t>Campoe</w:t>
      </w:r>
      <w:proofErr w:type="spellEnd"/>
      <w:r w:rsidRPr="00A31F09">
        <w:rPr>
          <w:rFonts w:cs="Calibri"/>
        </w:rPr>
        <w:t xml:space="preserve">, Clayton A. </w:t>
      </w:r>
      <w:proofErr w:type="spellStart"/>
      <w:r w:rsidRPr="00A31F09">
        <w:rPr>
          <w:rFonts w:cs="Calibri"/>
        </w:rPr>
        <w:t>Alvares</w:t>
      </w:r>
      <w:proofErr w:type="spellEnd"/>
      <w:r w:rsidRPr="00A31F09">
        <w:rPr>
          <w:rFonts w:cs="Calibri"/>
        </w:rPr>
        <w:t xml:space="preserve">, and Jose L. </w:t>
      </w:r>
      <w:proofErr w:type="spellStart"/>
      <w:r w:rsidRPr="00A31F09">
        <w:rPr>
          <w:rFonts w:cs="Calibri"/>
        </w:rPr>
        <w:t>Stape</w:t>
      </w:r>
      <w:proofErr w:type="spellEnd"/>
      <w:r w:rsidRPr="00A31F09">
        <w:rPr>
          <w:rFonts w:cs="Calibri"/>
        </w:rPr>
        <w:t xml:space="preserve">. 2020. “Variation in Canopy Structure, Leaf Area, Light Interception and Light Use Efficiency among Eucalyptus Clones.” </w:t>
      </w:r>
      <w:r w:rsidRPr="00A31F09">
        <w:rPr>
          <w:rFonts w:cs="Calibri"/>
          <w:i/>
          <w:iCs/>
        </w:rPr>
        <w:t>Forest Ecology and Management</w:t>
      </w:r>
      <w:r w:rsidRPr="00A31F09">
        <w:rPr>
          <w:rFonts w:cs="Calibri"/>
        </w:rPr>
        <w:t xml:space="preserve"> 463 (May): 118038. https://doi.org/10.1016/j.foreco.2020.118038.</w:t>
      </w:r>
    </w:p>
    <w:p w14:paraId="7DEE87BD" w14:textId="77777777" w:rsidR="00A31F09" w:rsidRPr="00A31F09" w:rsidRDefault="00A31F09" w:rsidP="00A31F09">
      <w:pPr>
        <w:pStyle w:val="Bibliography"/>
        <w:rPr>
          <w:rFonts w:cs="Calibri"/>
        </w:rPr>
      </w:pPr>
      <w:proofErr w:type="spellStart"/>
      <w:r w:rsidRPr="00A31F09">
        <w:rPr>
          <w:rFonts w:cs="Calibri"/>
        </w:rPr>
        <w:t>Medlyn</w:t>
      </w:r>
      <w:proofErr w:type="spellEnd"/>
      <w:r w:rsidRPr="00A31F09">
        <w:rPr>
          <w:rFonts w:cs="Calibri"/>
        </w:rPr>
        <w:t xml:space="preserve">, Belinda E. 1998. “Physiological Basis of the Light Use Efficiency Model.” </w:t>
      </w:r>
      <w:r w:rsidRPr="00A31F09">
        <w:rPr>
          <w:rFonts w:cs="Calibri"/>
          <w:i/>
          <w:iCs/>
        </w:rPr>
        <w:t>Tree Physiology</w:t>
      </w:r>
      <w:r w:rsidRPr="00A31F09">
        <w:rPr>
          <w:rFonts w:cs="Calibri"/>
        </w:rPr>
        <w:t xml:space="preserve"> 18 (3): 167–76. https://doi.org/10.1093/treephys/18.3.167.</w:t>
      </w:r>
    </w:p>
    <w:p w14:paraId="42DA4669" w14:textId="77777777" w:rsidR="00A31F09" w:rsidRPr="00A31F09" w:rsidRDefault="00A31F09" w:rsidP="00A31F09">
      <w:pPr>
        <w:pStyle w:val="Bibliography"/>
        <w:rPr>
          <w:rFonts w:cs="Calibri"/>
        </w:rPr>
      </w:pPr>
      <w:r w:rsidRPr="00A31F09">
        <w:rPr>
          <w:rFonts w:cs="Calibri"/>
        </w:rPr>
        <w:t xml:space="preserve">Monteith, J. L. 1972. “Solar Radiation and Productivity in Tropical Ecosystems.” </w:t>
      </w:r>
      <w:r w:rsidRPr="00A31F09">
        <w:rPr>
          <w:rFonts w:cs="Calibri"/>
          <w:i/>
          <w:iCs/>
        </w:rPr>
        <w:t>Journal of Applied Ecology</w:t>
      </w:r>
      <w:r w:rsidRPr="00A31F09">
        <w:rPr>
          <w:rFonts w:cs="Calibri"/>
        </w:rPr>
        <w:t xml:space="preserve"> 9 (3): 747–66. https://doi.org/10.2307/2401901.</w:t>
      </w:r>
    </w:p>
    <w:p w14:paraId="4ACC0170" w14:textId="77777777" w:rsidR="00A31F09" w:rsidRPr="00A31F09" w:rsidRDefault="00A31F09" w:rsidP="00A31F09">
      <w:pPr>
        <w:pStyle w:val="Bibliography"/>
        <w:rPr>
          <w:rFonts w:cs="Calibri"/>
        </w:rPr>
      </w:pPr>
      <w:r w:rsidRPr="00A31F09">
        <w:rPr>
          <w:rFonts w:cs="Calibri"/>
        </w:rPr>
        <w:t xml:space="preserve">Tramontana, G., M. Jung, C.R. </w:t>
      </w:r>
      <w:proofErr w:type="spellStart"/>
      <w:r w:rsidRPr="00A31F09">
        <w:rPr>
          <w:rFonts w:cs="Calibri"/>
        </w:rPr>
        <w:t>Schwalm</w:t>
      </w:r>
      <w:proofErr w:type="spellEnd"/>
      <w:r w:rsidRPr="00A31F09">
        <w:rPr>
          <w:rFonts w:cs="Calibri"/>
        </w:rPr>
        <w:t xml:space="preserve">, K. </w:t>
      </w:r>
      <w:proofErr w:type="spellStart"/>
      <w:r w:rsidRPr="00A31F09">
        <w:rPr>
          <w:rFonts w:cs="Calibri"/>
        </w:rPr>
        <w:t>Ichii</w:t>
      </w:r>
      <w:proofErr w:type="spellEnd"/>
      <w:r w:rsidRPr="00A31F09">
        <w:rPr>
          <w:rFonts w:cs="Calibri"/>
        </w:rPr>
        <w:t xml:space="preserve">, G. Camps-Valls, B. </w:t>
      </w:r>
      <w:proofErr w:type="spellStart"/>
      <w:r w:rsidRPr="00A31F09">
        <w:rPr>
          <w:rFonts w:cs="Calibri"/>
        </w:rPr>
        <w:t>Ráduly</w:t>
      </w:r>
      <w:proofErr w:type="spellEnd"/>
      <w:r w:rsidRPr="00A31F09">
        <w:rPr>
          <w:rFonts w:cs="Calibri"/>
        </w:rPr>
        <w:t xml:space="preserve">, M. Reichstein, et al. 2016. “Predicting Carbon Dioxide and Energy Fluxes across Global FLUXNET Sites with Regression Algorithms.” </w:t>
      </w:r>
      <w:proofErr w:type="spellStart"/>
      <w:r w:rsidRPr="00A31F09">
        <w:rPr>
          <w:rFonts w:cs="Calibri"/>
          <w:i/>
          <w:iCs/>
        </w:rPr>
        <w:t>Biogeosciences</w:t>
      </w:r>
      <w:proofErr w:type="spellEnd"/>
      <w:r w:rsidRPr="00A31F09">
        <w:rPr>
          <w:rFonts w:cs="Calibri"/>
        </w:rPr>
        <w:t xml:space="preserve"> 13 (14): 4291–4313. https://doi.org/10.5194/bg-13-4291-2016.</w:t>
      </w:r>
    </w:p>
    <w:p w14:paraId="0F5FF09E" w14:textId="77777777" w:rsidR="00A31F09" w:rsidRPr="00A31F09" w:rsidRDefault="00A31F09" w:rsidP="00A31F09">
      <w:pPr>
        <w:pStyle w:val="Bibliography"/>
        <w:rPr>
          <w:rFonts w:cs="Calibri"/>
        </w:rPr>
      </w:pPr>
      <w:r w:rsidRPr="00A31F09">
        <w:rPr>
          <w:rFonts w:cs="Calibri"/>
        </w:rPr>
        <w:lastRenderedPageBreak/>
        <w:t xml:space="preserve">Yang, </w:t>
      </w:r>
      <w:proofErr w:type="spellStart"/>
      <w:r w:rsidRPr="00A31F09">
        <w:rPr>
          <w:rFonts w:cs="Calibri"/>
        </w:rPr>
        <w:t>Peiqi</w:t>
      </w:r>
      <w:proofErr w:type="spellEnd"/>
      <w:r w:rsidRPr="00A31F09">
        <w:rPr>
          <w:rFonts w:cs="Calibri"/>
        </w:rPr>
        <w:t xml:space="preserve">, and Christiaan van der Tol. 2018. “Linking Canopy Scattering of Far-Red Sun-Induced Chlorophyll Fluorescence with Reflectance.” </w:t>
      </w:r>
      <w:r w:rsidRPr="00A31F09">
        <w:rPr>
          <w:rFonts w:cs="Calibri"/>
          <w:i/>
          <w:iCs/>
        </w:rPr>
        <w:t>Remote Sensing of Environment</w:t>
      </w:r>
      <w:r w:rsidRPr="00A31F09">
        <w:rPr>
          <w:rFonts w:cs="Calibri"/>
        </w:rPr>
        <w:t xml:space="preserve"> 209 (May): 456–67. https://doi.org/10.1016/j.rse.2018.02.029.</w:t>
      </w:r>
    </w:p>
    <w:p w14:paraId="6E9EA973" w14:textId="77777777" w:rsidR="00A31F09" w:rsidRPr="00A31F09" w:rsidRDefault="00A31F09" w:rsidP="00A31F09">
      <w:pPr>
        <w:pStyle w:val="Bibliography"/>
        <w:rPr>
          <w:rFonts w:cs="Calibri"/>
        </w:rPr>
      </w:pPr>
      <w:r w:rsidRPr="00A31F09">
        <w:rPr>
          <w:rFonts w:cs="Calibri"/>
        </w:rPr>
        <w:t xml:space="preserve">Zeng, </w:t>
      </w:r>
      <w:proofErr w:type="spellStart"/>
      <w:r w:rsidRPr="00A31F09">
        <w:rPr>
          <w:rFonts w:cs="Calibri"/>
        </w:rPr>
        <w:t>Yelu</w:t>
      </w:r>
      <w:proofErr w:type="spellEnd"/>
      <w:r w:rsidRPr="00A31F09">
        <w:rPr>
          <w:rFonts w:cs="Calibri"/>
        </w:rPr>
        <w:t xml:space="preserve">, Grayson </w:t>
      </w:r>
      <w:proofErr w:type="spellStart"/>
      <w:r w:rsidRPr="00A31F09">
        <w:rPr>
          <w:rFonts w:cs="Calibri"/>
        </w:rPr>
        <w:t>Badgley</w:t>
      </w:r>
      <w:proofErr w:type="spellEnd"/>
      <w:r w:rsidRPr="00A31F09">
        <w:rPr>
          <w:rFonts w:cs="Calibri"/>
        </w:rPr>
        <w:t xml:space="preserve">, Benjamin </w:t>
      </w:r>
      <w:proofErr w:type="spellStart"/>
      <w:r w:rsidRPr="00A31F09">
        <w:rPr>
          <w:rFonts w:cs="Calibri"/>
        </w:rPr>
        <w:t>Dechant</w:t>
      </w:r>
      <w:proofErr w:type="spellEnd"/>
      <w:r w:rsidRPr="00A31F09">
        <w:rPr>
          <w:rFonts w:cs="Calibri"/>
        </w:rPr>
        <w:t xml:space="preserve">, </w:t>
      </w:r>
      <w:proofErr w:type="spellStart"/>
      <w:r w:rsidRPr="00A31F09">
        <w:rPr>
          <w:rFonts w:cs="Calibri"/>
        </w:rPr>
        <w:t>Youngryel</w:t>
      </w:r>
      <w:proofErr w:type="spellEnd"/>
      <w:r w:rsidRPr="00A31F09">
        <w:rPr>
          <w:rFonts w:cs="Calibri"/>
        </w:rPr>
        <w:t xml:space="preserve"> Ryu, Min Chen, and J. A. Berry. 2019. “A Practical Approach for Estimating the Escape Ratio of Near-Infrared Solar-Induced Chlorophyll Fluorescence.” </w:t>
      </w:r>
      <w:r w:rsidRPr="00A31F09">
        <w:rPr>
          <w:rFonts w:cs="Calibri"/>
          <w:i/>
          <w:iCs/>
        </w:rPr>
        <w:t>Remote Sensing of Environment</w:t>
      </w:r>
      <w:r w:rsidRPr="00A31F09">
        <w:rPr>
          <w:rFonts w:cs="Calibri"/>
        </w:rPr>
        <w:t xml:space="preserve"> 232 (October): 111209. https://doi.org/10.1016/j.rse.2019.05.028.</w:t>
      </w:r>
    </w:p>
    <w:p w14:paraId="48D1555C" w14:textId="02A158E4" w:rsidR="002C2021" w:rsidRDefault="002C2021" w:rsidP="000177B3">
      <w:pPr>
        <w:spacing w:after="120"/>
      </w:pPr>
      <w:r>
        <w:fldChar w:fldCharType="end"/>
      </w:r>
    </w:p>
    <w:sectPr w:rsidR="002C2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6C3A" w14:textId="77777777" w:rsidR="00E3148E" w:rsidRDefault="00E3148E" w:rsidP="00AB5107">
      <w:r>
        <w:separator/>
      </w:r>
    </w:p>
  </w:endnote>
  <w:endnote w:type="continuationSeparator" w:id="0">
    <w:p w14:paraId="68F526C0" w14:textId="77777777" w:rsidR="00E3148E" w:rsidRDefault="00E3148E" w:rsidP="00AB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58C9" w14:textId="77777777" w:rsidR="00E3148E" w:rsidRDefault="00E3148E" w:rsidP="00AB5107">
      <w:r>
        <w:separator/>
      </w:r>
    </w:p>
  </w:footnote>
  <w:footnote w:type="continuationSeparator" w:id="0">
    <w:p w14:paraId="581E2623" w14:textId="77777777" w:rsidR="00E3148E" w:rsidRDefault="00E3148E" w:rsidP="00AB5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697"/>
    <w:multiLevelType w:val="hybridMultilevel"/>
    <w:tmpl w:val="5A7498FE"/>
    <w:lvl w:ilvl="0" w:tplc="CB6464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3DF"/>
    <w:multiLevelType w:val="hybridMultilevel"/>
    <w:tmpl w:val="94BC63DC"/>
    <w:lvl w:ilvl="0" w:tplc="8ED03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7E9B"/>
    <w:multiLevelType w:val="hybridMultilevel"/>
    <w:tmpl w:val="A014A14E"/>
    <w:lvl w:ilvl="0" w:tplc="B51EDC9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6582A"/>
    <w:multiLevelType w:val="hybridMultilevel"/>
    <w:tmpl w:val="8F0E99F2"/>
    <w:lvl w:ilvl="0" w:tplc="CDFA90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C0F87"/>
    <w:multiLevelType w:val="hybridMultilevel"/>
    <w:tmpl w:val="F8407A6E"/>
    <w:lvl w:ilvl="0" w:tplc="4EF6940C">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50798">
    <w:abstractNumId w:val="4"/>
  </w:num>
  <w:num w:numId="2" w16cid:durableId="290668499">
    <w:abstractNumId w:val="1"/>
  </w:num>
  <w:num w:numId="3" w16cid:durableId="1669014919">
    <w:abstractNumId w:val="2"/>
  </w:num>
  <w:num w:numId="4" w16cid:durableId="1329796729">
    <w:abstractNumId w:val="3"/>
  </w:num>
  <w:num w:numId="5" w16cid:durableId="201202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26"/>
    <w:rsid w:val="000177B3"/>
    <w:rsid w:val="00090D3C"/>
    <w:rsid w:val="000A16A8"/>
    <w:rsid w:val="00107A55"/>
    <w:rsid w:val="00156AE0"/>
    <w:rsid w:val="00244B28"/>
    <w:rsid w:val="002A10AE"/>
    <w:rsid w:val="002C2021"/>
    <w:rsid w:val="002D6380"/>
    <w:rsid w:val="0034324A"/>
    <w:rsid w:val="00370A42"/>
    <w:rsid w:val="00397713"/>
    <w:rsid w:val="003A1625"/>
    <w:rsid w:val="0044541A"/>
    <w:rsid w:val="004767DD"/>
    <w:rsid w:val="00554626"/>
    <w:rsid w:val="0056464B"/>
    <w:rsid w:val="005A000C"/>
    <w:rsid w:val="006309D4"/>
    <w:rsid w:val="00636F1B"/>
    <w:rsid w:val="006B376E"/>
    <w:rsid w:val="006C6A0B"/>
    <w:rsid w:val="007119F3"/>
    <w:rsid w:val="00815FC4"/>
    <w:rsid w:val="00820191"/>
    <w:rsid w:val="008251EF"/>
    <w:rsid w:val="008B03E1"/>
    <w:rsid w:val="008E14D9"/>
    <w:rsid w:val="0097193E"/>
    <w:rsid w:val="009A171F"/>
    <w:rsid w:val="009B77A3"/>
    <w:rsid w:val="00A31F09"/>
    <w:rsid w:val="00AB5107"/>
    <w:rsid w:val="00AC12A2"/>
    <w:rsid w:val="00AE5B73"/>
    <w:rsid w:val="00AF0CCC"/>
    <w:rsid w:val="00B06BBF"/>
    <w:rsid w:val="00B60CF7"/>
    <w:rsid w:val="00B83C7E"/>
    <w:rsid w:val="00B93077"/>
    <w:rsid w:val="00BC552C"/>
    <w:rsid w:val="00C120A0"/>
    <w:rsid w:val="00C609BE"/>
    <w:rsid w:val="00C62943"/>
    <w:rsid w:val="00D0160E"/>
    <w:rsid w:val="00DE6154"/>
    <w:rsid w:val="00E3148E"/>
    <w:rsid w:val="00E4389D"/>
    <w:rsid w:val="00E85B15"/>
    <w:rsid w:val="00ED2F1F"/>
    <w:rsid w:val="00ED53FF"/>
    <w:rsid w:val="00EF3FF6"/>
    <w:rsid w:val="00F113C2"/>
    <w:rsid w:val="00F12BE5"/>
    <w:rsid w:val="00F552F1"/>
    <w:rsid w:val="00F5538D"/>
    <w:rsid w:val="00F57750"/>
    <w:rsid w:val="00F91F4B"/>
    <w:rsid w:val="00F966F1"/>
    <w:rsid w:val="00FA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65E9"/>
  <w15:chartTrackingRefBased/>
  <w15:docId w15:val="{12A1EE75-65CF-A84C-98E7-5C88DF23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09"/>
    <w:rPr>
      <w:rFonts w:ascii="Calibri" w:hAnsi="Calibri"/>
    </w:rPr>
  </w:style>
  <w:style w:type="paragraph" w:styleId="Heading1">
    <w:name w:val="heading 1"/>
    <w:basedOn w:val="Normal"/>
    <w:next w:val="Normal"/>
    <w:link w:val="Heading1Char"/>
    <w:uiPriority w:val="9"/>
    <w:qFormat/>
    <w:rsid w:val="00F552F1"/>
    <w:pPr>
      <w:keepNext/>
      <w:keepLines/>
      <w:spacing w:before="360" w:after="80"/>
      <w:outlineLvl w:val="0"/>
    </w:pPr>
    <w:rPr>
      <w:rFonts w:ascii="Helvetica" w:eastAsiaTheme="majorEastAsia" w:hAnsi="Helvetica" w:cstheme="majorBidi"/>
      <w:color w:val="000000" w:themeColor="text1"/>
      <w:sz w:val="28"/>
      <w:szCs w:val="40"/>
    </w:rPr>
  </w:style>
  <w:style w:type="paragraph" w:styleId="Heading2">
    <w:name w:val="heading 2"/>
    <w:basedOn w:val="Normal"/>
    <w:next w:val="Normal"/>
    <w:link w:val="Heading2Char"/>
    <w:uiPriority w:val="9"/>
    <w:semiHidden/>
    <w:unhideWhenUsed/>
    <w:qFormat/>
    <w:rsid w:val="00554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F1"/>
    <w:rPr>
      <w:rFonts w:ascii="Helvetica" w:eastAsiaTheme="majorEastAsia" w:hAnsi="Helvetica" w:cstheme="majorBidi"/>
      <w:color w:val="000000" w:themeColor="text1"/>
      <w:sz w:val="28"/>
      <w:szCs w:val="40"/>
    </w:rPr>
  </w:style>
  <w:style w:type="character" w:customStyle="1" w:styleId="Heading2Char">
    <w:name w:val="Heading 2 Char"/>
    <w:basedOn w:val="DefaultParagraphFont"/>
    <w:link w:val="Heading2"/>
    <w:uiPriority w:val="9"/>
    <w:semiHidden/>
    <w:rsid w:val="00554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26"/>
    <w:rPr>
      <w:rFonts w:eastAsiaTheme="majorEastAsia" w:cstheme="majorBidi"/>
      <w:color w:val="272727" w:themeColor="text1" w:themeTint="D8"/>
    </w:rPr>
  </w:style>
  <w:style w:type="paragraph" w:styleId="Title">
    <w:name w:val="Title"/>
    <w:basedOn w:val="Normal"/>
    <w:next w:val="Normal"/>
    <w:link w:val="TitleChar"/>
    <w:uiPriority w:val="10"/>
    <w:qFormat/>
    <w:rsid w:val="00F552F1"/>
    <w:pPr>
      <w:spacing w:after="80"/>
      <w:contextualSpacing/>
      <w:jc w:val="center"/>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F552F1"/>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5546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626"/>
    <w:rPr>
      <w:i/>
      <w:iCs/>
      <w:color w:val="404040" w:themeColor="text1" w:themeTint="BF"/>
    </w:rPr>
  </w:style>
  <w:style w:type="paragraph" w:styleId="ListParagraph">
    <w:name w:val="List Paragraph"/>
    <w:basedOn w:val="Normal"/>
    <w:uiPriority w:val="34"/>
    <w:qFormat/>
    <w:rsid w:val="00554626"/>
    <w:pPr>
      <w:ind w:left="720"/>
      <w:contextualSpacing/>
    </w:pPr>
  </w:style>
  <w:style w:type="character" w:styleId="IntenseEmphasis">
    <w:name w:val="Intense Emphasis"/>
    <w:basedOn w:val="DefaultParagraphFont"/>
    <w:uiPriority w:val="21"/>
    <w:qFormat/>
    <w:rsid w:val="00554626"/>
    <w:rPr>
      <w:i/>
      <w:iCs/>
      <w:color w:val="0F4761" w:themeColor="accent1" w:themeShade="BF"/>
    </w:rPr>
  </w:style>
  <w:style w:type="paragraph" w:styleId="IntenseQuote">
    <w:name w:val="Intense Quote"/>
    <w:basedOn w:val="Normal"/>
    <w:next w:val="Normal"/>
    <w:link w:val="IntenseQuoteChar"/>
    <w:uiPriority w:val="30"/>
    <w:qFormat/>
    <w:rsid w:val="00554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26"/>
    <w:rPr>
      <w:i/>
      <w:iCs/>
      <w:color w:val="0F4761" w:themeColor="accent1" w:themeShade="BF"/>
    </w:rPr>
  </w:style>
  <w:style w:type="character" w:styleId="IntenseReference">
    <w:name w:val="Intense Reference"/>
    <w:basedOn w:val="DefaultParagraphFont"/>
    <w:uiPriority w:val="32"/>
    <w:qFormat/>
    <w:rsid w:val="00554626"/>
    <w:rPr>
      <w:b/>
      <w:bCs/>
      <w:smallCaps/>
      <w:color w:val="0F4761" w:themeColor="accent1" w:themeShade="BF"/>
      <w:spacing w:val="5"/>
    </w:rPr>
  </w:style>
  <w:style w:type="character" w:styleId="PlaceholderText">
    <w:name w:val="Placeholder Text"/>
    <w:basedOn w:val="DefaultParagraphFont"/>
    <w:uiPriority w:val="99"/>
    <w:semiHidden/>
    <w:rsid w:val="00C120A0"/>
    <w:rPr>
      <w:color w:val="666666"/>
    </w:rPr>
  </w:style>
  <w:style w:type="table" w:styleId="TableGrid">
    <w:name w:val="Table Grid"/>
    <w:basedOn w:val="TableNormal"/>
    <w:uiPriority w:val="39"/>
    <w:rsid w:val="00476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5107"/>
    <w:pPr>
      <w:tabs>
        <w:tab w:val="center" w:pos="4680"/>
        <w:tab w:val="right" w:pos="9360"/>
      </w:tabs>
    </w:pPr>
  </w:style>
  <w:style w:type="character" w:customStyle="1" w:styleId="HeaderChar">
    <w:name w:val="Header Char"/>
    <w:basedOn w:val="DefaultParagraphFont"/>
    <w:link w:val="Header"/>
    <w:uiPriority w:val="99"/>
    <w:rsid w:val="00AB5107"/>
    <w:rPr>
      <w:rFonts w:ascii="Calibri" w:hAnsi="Calibri"/>
    </w:rPr>
  </w:style>
  <w:style w:type="paragraph" w:styleId="Footer">
    <w:name w:val="footer"/>
    <w:basedOn w:val="Normal"/>
    <w:link w:val="FooterChar"/>
    <w:uiPriority w:val="99"/>
    <w:unhideWhenUsed/>
    <w:rsid w:val="00AB5107"/>
    <w:pPr>
      <w:tabs>
        <w:tab w:val="center" w:pos="4680"/>
        <w:tab w:val="right" w:pos="9360"/>
      </w:tabs>
    </w:pPr>
  </w:style>
  <w:style w:type="character" w:customStyle="1" w:styleId="FooterChar">
    <w:name w:val="Footer Char"/>
    <w:basedOn w:val="DefaultParagraphFont"/>
    <w:link w:val="Footer"/>
    <w:uiPriority w:val="99"/>
    <w:rsid w:val="00AB5107"/>
    <w:rPr>
      <w:rFonts w:ascii="Calibri" w:hAnsi="Calibri"/>
    </w:rPr>
  </w:style>
  <w:style w:type="paragraph" w:styleId="Bibliography">
    <w:name w:val="Bibliography"/>
    <w:basedOn w:val="Normal"/>
    <w:next w:val="Normal"/>
    <w:uiPriority w:val="37"/>
    <w:unhideWhenUsed/>
    <w:rsid w:val="002C2021"/>
    <w:pPr>
      <w:ind w:left="720" w:hanging="720"/>
    </w:pPr>
  </w:style>
  <w:style w:type="paragraph" w:styleId="Caption">
    <w:name w:val="caption"/>
    <w:basedOn w:val="Normal"/>
    <w:next w:val="Normal"/>
    <w:uiPriority w:val="35"/>
    <w:unhideWhenUsed/>
    <w:qFormat/>
    <w:rsid w:val="00A31F09"/>
    <w:pPr>
      <w:spacing w:after="200"/>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Dashti</dc:creator>
  <cp:keywords/>
  <dc:description/>
  <cp:lastModifiedBy>Hamid Dashti</cp:lastModifiedBy>
  <cp:revision>11</cp:revision>
  <cp:lastPrinted>2024-04-03T19:00:00Z</cp:lastPrinted>
  <dcterms:created xsi:type="dcterms:W3CDTF">2024-04-03T19:00:00Z</dcterms:created>
  <dcterms:modified xsi:type="dcterms:W3CDTF">2024-04-05T18:47:00Z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id="WU4yuWWU"/&gt;&lt;style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