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F552F1" w:rsidP="000177B3" w:rsidRDefault="00F552F1" w14:paraId="20C4F2A9" w14:textId="38712084">
      <w:pPr>
        <w:pStyle w:val="Title"/>
        <w:spacing w:after="120"/>
        <w:rPr/>
      </w:pPr>
      <w:r w:rsidR="428083E9">
        <w:rPr/>
        <w:t>Strong</w:t>
      </w:r>
      <w:r w:rsidR="521CFD95">
        <w:rPr/>
        <w:t xml:space="preserve"> relationship between canopy structure and maximum light use efficiency across biomes </w:t>
      </w:r>
    </w:p>
    <w:p w:rsidR="00F552F1" w:rsidP="000177B3" w:rsidRDefault="00F552F1" w14:paraId="4BE96FC9" w14:textId="77777777">
      <w:pPr>
        <w:spacing w:after="120"/>
      </w:pPr>
    </w:p>
    <w:p w:rsidR="521CFD95" w:rsidP="659C6AC8" w:rsidRDefault="521CFD95" w14:paraId="68BC8218" w14:textId="72E4ABE1">
      <w:pPr>
        <w:pStyle w:val="Heading1"/>
        <w:spacing w:after="120"/>
        <w:rPr/>
      </w:pPr>
      <w:r w:rsidR="521CFD95">
        <w:rPr/>
        <w:t>Summary</w:t>
      </w:r>
    </w:p>
    <w:p w:rsidR="29968F6D" w:rsidP="659C6AC8" w:rsidRDefault="29968F6D" w14:paraId="749E1DEF" w14:textId="4B4D77CC">
      <w:pPr>
        <w:pStyle w:val="ListParagraph"/>
        <w:numPr>
          <w:ilvl w:val="0"/>
          <w:numId w:val="10"/>
        </w:numPr>
        <w:rPr/>
      </w:pPr>
      <w:r w:rsidR="29968F6D">
        <w:rPr/>
        <w:t xml:space="preserve">Dechant et al. previously reported a linear relationship between temporal LUE and </w:t>
      </w:r>
      <w:r w:rsidR="29968F6D">
        <w:rPr/>
        <w:t>fesc</w:t>
      </w:r>
      <w:r w:rsidR="29968F6D">
        <w:rPr/>
        <w:t xml:space="preserve"> at the site level.</w:t>
      </w:r>
    </w:p>
    <w:p w:rsidR="29968F6D" w:rsidP="659C6AC8" w:rsidRDefault="29968F6D" w14:paraId="73EACE57" w14:textId="1E64CFB4">
      <w:pPr>
        <w:pStyle w:val="ListParagraph"/>
        <w:numPr>
          <w:ilvl w:val="0"/>
          <w:numId w:val="10"/>
        </w:numPr>
        <w:rPr/>
      </w:pPr>
      <w:r w:rsidR="29968F6D">
        <w:rPr/>
        <w:t xml:space="preserve">Our study builds on this finding by examining the relationship between </w:t>
      </w:r>
      <w:r w:rsidR="29968F6D">
        <w:rPr/>
        <w:t>LUEmax</w:t>
      </w:r>
      <w:r w:rsidR="29968F6D">
        <w:rPr/>
        <w:t xml:space="preserve"> (the </w:t>
      </w:r>
      <w:r w:rsidR="29968F6D">
        <w:rPr/>
        <w:t>maximum</w:t>
      </w:r>
      <w:r w:rsidR="29968F6D">
        <w:rPr/>
        <w:t xml:space="preserve"> annual LUE) and </w:t>
      </w:r>
      <w:r w:rsidR="29968F6D">
        <w:rPr/>
        <w:t>fesc</w:t>
      </w:r>
      <w:r w:rsidR="29968F6D">
        <w:rPr/>
        <w:t xml:space="preserve"> across a much broader scale - spanning 271 sites from the </w:t>
      </w:r>
      <w:r w:rsidR="29968F6D">
        <w:rPr/>
        <w:t>AmeriFlux</w:t>
      </w:r>
      <w:r w:rsidR="29968F6D">
        <w:rPr/>
        <w:t xml:space="preserve"> and </w:t>
      </w:r>
      <w:r w:rsidR="29968F6D">
        <w:rPr/>
        <w:t>FluxNet</w:t>
      </w:r>
      <w:r w:rsidR="29968F6D">
        <w:rPr/>
        <w:t xml:space="preserve"> datasets, encompassing diverse biomes.</w:t>
      </w:r>
    </w:p>
    <w:p w:rsidR="29968F6D" w:rsidP="659C6AC8" w:rsidRDefault="29968F6D" w14:paraId="2ED2AD01" w14:textId="35238732">
      <w:pPr>
        <w:pStyle w:val="ListParagraph"/>
        <w:numPr>
          <w:ilvl w:val="0"/>
          <w:numId w:val="10"/>
        </w:numPr>
        <w:rPr/>
      </w:pPr>
      <w:r w:rsidR="29968F6D">
        <w:rPr/>
        <w:t xml:space="preserve">By shifting the focus to </w:t>
      </w:r>
      <w:r w:rsidR="29968F6D">
        <w:rPr/>
        <w:t>LUEmax</w:t>
      </w:r>
      <w:r w:rsidR="29968F6D">
        <w:rPr/>
        <w:t xml:space="preserve"> and analyzing the patterns at the biome level, we </w:t>
      </w:r>
      <w:r w:rsidR="29968F6D">
        <w:rPr/>
        <w:t>observed</w:t>
      </w:r>
      <w:r w:rsidR="29968F6D">
        <w:rPr/>
        <w:t xml:space="preserve"> a stronger and more informative relationship, with an R2 of 0.85 between </w:t>
      </w:r>
      <w:r w:rsidR="29968F6D">
        <w:rPr/>
        <w:t>LUEmax</w:t>
      </w:r>
      <w:r w:rsidR="29968F6D">
        <w:rPr/>
        <w:t xml:space="preserve"> and </w:t>
      </w:r>
      <w:r w:rsidR="29968F6D">
        <w:rPr/>
        <w:t>fesc</w:t>
      </w:r>
      <w:r w:rsidR="29968F6D">
        <w:rPr/>
        <w:t>.</w:t>
      </w:r>
    </w:p>
    <w:p w:rsidR="29968F6D" w:rsidP="659C6AC8" w:rsidRDefault="29968F6D" w14:paraId="1EF4CBCD" w14:textId="32F2B3CC">
      <w:pPr>
        <w:pStyle w:val="ListParagraph"/>
        <w:numPr>
          <w:ilvl w:val="0"/>
          <w:numId w:val="10"/>
        </w:numPr>
        <w:rPr/>
      </w:pPr>
      <w:r w:rsidR="29968F6D">
        <w:rPr/>
        <w:t xml:space="preserve">A clear pattern </w:t>
      </w:r>
      <w:r w:rsidR="29968F6D">
        <w:rPr/>
        <w:t>emerged</w:t>
      </w:r>
      <w:r w:rsidR="29968F6D">
        <w:rPr/>
        <w:t xml:space="preserve">, where biomes with more open canopies, such as shrublands and savannas, </w:t>
      </w:r>
      <w:r w:rsidR="29968F6D">
        <w:rPr/>
        <w:t>exhibit</w:t>
      </w:r>
      <w:r w:rsidR="29968F6D">
        <w:rPr/>
        <w:t xml:space="preserve"> lower values of both </w:t>
      </w:r>
      <w:r w:rsidR="29968F6D">
        <w:rPr/>
        <w:t>fesc</w:t>
      </w:r>
      <w:r w:rsidR="29968F6D">
        <w:rPr/>
        <w:t xml:space="preserve"> and </w:t>
      </w:r>
      <w:r w:rsidR="29968F6D">
        <w:rPr/>
        <w:t>LUEmax</w:t>
      </w:r>
      <w:r w:rsidR="29968F6D">
        <w:rPr/>
        <w:t xml:space="preserve">. In contrast, biomes with denser canopies, like forests, tend to have higher values of both </w:t>
      </w:r>
      <w:r w:rsidR="29968F6D">
        <w:rPr/>
        <w:t>fesc</w:t>
      </w:r>
      <w:r w:rsidR="29968F6D">
        <w:rPr/>
        <w:t xml:space="preserve"> and </w:t>
      </w:r>
      <w:r w:rsidR="29968F6D">
        <w:rPr/>
        <w:t>LUEmax</w:t>
      </w:r>
      <w:r w:rsidR="29968F6D">
        <w:rPr/>
        <w:t>.</w:t>
      </w:r>
    </w:p>
    <w:p w:rsidR="29968F6D" w:rsidP="659C6AC8" w:rsidRDefault="29968F6D" w14:paraId="18998F23" w14:textId="7940C8D0">
      <w:pPr>
        <w:pStyle w:val="ListParagraph"/>
        <w:numPr>
          <w:ilvl w:val="0"/>
          <w:numId w:val="10"/>
        </w:numPr>
        <w:rPr/>
      </w:pPr>
      <w:r w:rsidR="29968F6D">
        <w:rPr/>
        <w:t xml:space="preserve">This relationship can be implicitly explained by the link between canopy structure, light scattering, and plant physiological mechanisms. Specifically, the increased multiple scattering in open canopies leads to more light escaping the canopy (lower </w:t>
      </w:r>
      <w:r w:rsidR="29968F6D">
        <w:rPr/>
        <w:t>fesc</w:t>
      </w:r>
      <w:r w:rsidR="29968F6D">
        <w:rPr/>
        <w:t xml:space="preserve">), while also resulting in less efficient light </w:t>
      </w:r>
      <w:r w:rsidR="29968F6D">
        <w:rPr/>
        <w:t>utilization</w:t>
      </w:r>
      <w:r w:rsidR="29968F6D">
        <w:rPr/>
        <w:t xml:space="preserve"> (lower </w:t>
      </w:r>
      <w:r w:rsidR="29968F6D">
        <w:rPr/>
        <w:t>LUEmax</w:t>
      </w:r>
      <w:r w:rsidR="29968F6D">
        <w:rPr/>
        <w:t xml:space="preserve">). </w:t>
      </w:r>
      <w:r w:rsidR="412750D3">
        <w:rPr/>
        <w:t>D</w:t>
      </w:r>
      <w:r w:rsidR="29968F6D">
        <w:rPr/>
        <w:t xml:space="preserve">enser canopies </w:t>
      </w:r>
      <w:r w:rsidR="29968F6D">
        <w:rPr/>
        <w:t>facilitate</w:t>
      </w:r>
      <w:r w:rsidR="29968F6D">
        <w:rPr/>
        <w:t xml:space="preserve"> more complete light absorption and </w:t>
      </w:r>
      <w:r w:rsidR="29968F6D">
        <w:rPr/>
        <w:t>utilization</w:t>
      </w:r>
      <w:r w:rsidR="29968F6D">
        <w:rPr/>
        <w:t xml:space="preserve">, leading to higher </w:t>
      </w:r>
      <w:r w:rsidR="29968F6D">
        <w:rPr/>
        <w:t>fesc</w:t>
      </w:r>
      <w:r w:rsidR="29968F6D">
        <w:rPr/>
        <w:t xml:space="preserve"> and </w:t>
      </w:r>
      <w:r w:rsidR="29968F6D">
        <w:rPr/>
        <w:t>LUEmax</w:t>
      </w:r>
      <w:r w:rsidR="29968F6D">
        <w:rPr/>
        <w:t>.</w:t>
      </w:r>
    </w:p>
    <w:p w:rsidR="29968F6D" w:rsidP="659C6AC8" w:rsidRDefault="29968F6D" w14:paraId="3C5978BC" w14:textId="044AEA30">
      <w:pPr>
        <w:pStyle w:val="ListParagraph"/>
        <w:numPr>
          <w:ilvl w:val="0"/>
          <w:numId w:val="10"/>
        </w:numPr>
        <w:rPr/>
      </w:pPr>
      <w:r w:rsidR="29968F6D">
        <w:rPr/>
        <w:t xml:space="preserve">However, to explicitly explain the observed </w:t>
      </w:r>
      <w:r w:rsidR="29968F6D">
        <w:rPr/>
        <w:t>fesc-LUEmax</w:t>
      </w:r>
      <w:r w:rsidR="29968F6D">
        <w:rPr/>
        <w:t xml:space="preserve"> relationship, further mechanistic modeling work integrating canopy structure, radiative transfer, and plant ecophysiology is needed. Such an approach can </w:t>
      </w:r>
      <w:r w:rsidR="29968F6D">
        <w:rPr/>
        <w:t>provide</w:t>
      </w:r>
      <w:r w:rsidR="29968F6D">
        <w:rPr/>
        <w:t xml:space="preserve"> deeper insights into the drivers of this relationship across different biomes.</w:t>
      </w:r>
    </w:p>
    <w:p w:rsidR="659C6AC8" w:rsidP="659C6AC8" w:rsidRDefault="659C6AC8" w14:paraId="6075BCC1" w14:textId="62C7400F">
      <w:pPr>
        <w:pStyle w:val="Normal"/>
        <w:rPr/>
      </w:pPr>
    </w:p>
    <w:p w:rsidR="00F552F1" w:rsidP="000177B3" w:rsidRDefault="00F552F1" w14:paraId="2AEEB0EE" w14:textId="3B639131">
      <w:pPr>
        <w:pStyle w:val="Heading1"/>
        <w:spacing w:after="120"/>
        <w:rPr/>
      </w:pPr>
      <w:r w:rsidR="521CFD95">
        <w:rPr/>
        <w:t>Introduction</w:t>
      </w:r>
    </w:p>
    <w:p w:rsidR="65211582" w:rsidP="659C6AC8" w:rsidRDefault="65211582" w14:paraId="605BB8FC" w14:textId="67094409">
      <w:pPr>
        <w:spacing w:before="0" w:beforeAutospacing="off" w:after="120" w:afterAutospacing="off"/>
        <w:rPr/>
      </w:pPr>
      <w:r w:rsidRPr="659C6AC8" w:rsidR="65211582">
        <w:rPr>
          <w:rFonts w:ascii="Calibri" w:hAnsi="Calibri" w:eastAsia="Calibri" w:cs="Calibri"/>
          <w:noProof w:val="0"/>
          <w:sz w:val="24"/>
          <w:szCs w:val="24"/>
          <w:lang w:val="en-US"/>
        </w:rPr>
        <w:t>Light use efficiency (LUE) (Monteith 1972) is the efficiency with which plants convert absorbed radiation into fixed carbon. At the leaf scale, LUE can be defined as the initial slope (quantum yield) of the light response curve (Björkman 1981). At the canopy scale, LUE is defined as the ratio of canopy gross primary production (GPP) divided by absorbed photosynthetically active radiation (APAR) (Gitelson and Gamon 2015).  Maximum LUE (εMax) is an important parameter that shows the potential of a plant to convert light to carbon. At the leaf scale, εMax is a function of leaf physiology and potentially has a small variation among different types of plants. For example, Bolton and Hall (1991) showed that εMax for green plants with two photosystems under ideal conditions and bright sunlight is 13%. However, at the canopy scale and within and between biomes, the theoretical εMax is influenced by environmental factors such as temperature, water, plant physiology and canopy strucrture (Medlyn 1998; Gan et al. 2021; Pei et al. 2022) leading to an apparent LUEMax. It is expected that LUEMax varies between different biomes and types of plants.</w:t>
      </w:r>
    </w:p>
    <w:p w:rsidR="65211582" w:rsidP="659C6AC8" w:rsidRDefault="65211582" w14:paraId="75BE01B0" w14:textId="3D1C8737">
      <w:pPr>
        <w:spacing w:before="0" w:beforeAutospacing="off" w:after="120" w:afterAutospacing="off"/>
        <w:rPr/>
      </w:pPr>
      <w:r w:rsidRPr="659C6AC8" w:rsidR="65211582">
        <w:rPr>
          <w:rFonts w:ascii="Calibri" w:hAnsi="Calibri" w:eastAsia="Calibri" w:cs="Calibri"/>
          <w:noProof w:val="0"/>
          <w:sz w:val="24"/>
          <w:szCs w:val="24"/>
          <w:lang w:val="en-US"/>
        </w:rPr>
        <w:t xml:space="preserve">The variation in </w:t>
      </w:r>
      <w:r w:rsidRPr="659C6AC8" w:rsidR="65211582">
        <w:rPr>
          <w:rFonts w:ascii="Calibri" w:hAnsi="Calibri" w:eastAsia="Calibri" w:cs="Calibri"/>
          <w:noProof w:val="0"/>
          <w:sz w:val="24"/>
          <w:szCs w:val="24"/>
          <w:lang w:val="en-US"/>
        </w:rPr>
        <w:t>LUE</w:t>
      </w:r>
      <w:r w:rsidRPr="659C6AC8" w:rsidR="65211582">
        <w:rPr>
          <w:rFonts w:ascii="Calibri" w:hAnsi="Calibri" w:eastAsia="Calibri" w:cs="Calibri"/>
          <w:noProof w:val="0"/>
          <w:sz w:val="24"/>
          <w:szCs w:val="24"/>
          <w:vertAlign w:val="subscript"/>
          <w:lang w:val="en-US"/>
        </w:rPr>
        <w:t>Max</w:t>
      </w:r>
      <w:r w:rsidRPr="659C6AC8" w:rsidR="65211582">
        <w:rPr>
          <w:rFonts w:ascii="Calibri" w:hAnsi="Calibri" w:eastAsia="Calibri" w:cs="Calibri"/>
          <w:noProof w:val="0"/>
          <w:sz w:val="24"/>
          <w:szCs w:val="24"/>
          <w:lang w:val="en-US"/>
        </w:rPr>
        <w:t xml:space="preserve"> is of interest as it provides critical information about the ecosystem's </w:t>
      </w:r>
      <w:r w:rsidRPr="659C6AC8" w:rsidR="65211582">
        <w:rPr>
          <w:rFonts w:ascii="Calibri" w:hAnsi="Calibri" w:eastAsia="Calibri" w:cs="Calibri"/>
          <w:noProof w:val="0"/>
          <w:sz w:val="24"/>
          <w:szCs w:val="24"/>
          <w:lang w:val="en-US"/>
        </w:rPr>
        <w:t>capacity</w:t>
      </w:r>
      <w:r w:rsidRPr="659C6AC8" w:rsidR="65211582">
        <w:rPr>
          <w:rFonts w:ascii="Calibri" w:hAnsi="Calibri" w:eastAsia="Calibri" w:cs="Calibri"/>
          <w:noProof w:val="0"/>
          <w:sz w:val="24"/>
          <w:szCs w:val="24"/>
          <w:lang w:val="en-US"/>
        </w:rPr>
        <w:t xml:space="preserve"> for light-to-carbon conversion. It also serves as the foundation for LUE-based models used in estimating GPP (Pei et al., 2022). The variability in </w:t>
      </w:r>
      <w:r w:rsidRPr="659C6AC8" w:rsidR="65211582">
        <w:rPr>
          <w:rFonts w:ascii="Calibri" w:hAnsi="Calibri" w:eastAsia="Calibri" w:cs="Calibri"/>
          <w:noProof w:val="0"/>
          <w:sz w:val="24"/>
          <w:szCs w:val="24"/>
          <w:lang w:val="en-US"/>
        </w:rPr>
        <w:t>LUE</w:t>
      </w:r>
      <w:r w:rsidRPr="659C6AC8" w:rsidR="65211582">
        <w:rPr>
          <w:rFonts w:ascii="Calibri" w:hAnsi="Calibri" w:eastAsia="Calibri" w:cs="Calibri"/>
          <w:noProof w:val="0"/>
          <w:sz w:val="24"/>
          <w:szCs w:val="24"/>
          <w:vertAlign w:val="subscript"/>
          <w:lang w:val="en-US"/>
        </w:rPr>
        <w:t>Max</w:t>
      </w:r>
      <w:r w:rsidRPr="659C6AC8" w:rsidR="65211582">
        <w:rPr>
          <w:rFonts w:ascii="Calibri" w:hAnsi="Calibri" w:eastAsia="Calibri" w:cs="Calibri"/>
          <w:noProof w:val="0"/>
          <w:sz w:val="24"/>
          <w:szCs w:val="24"/>
          <w:lang w:val="en-US"/>
        </w:rPr>
        <w:t xml:space="preserve"> has been attributed to a range of processes, from ecological evolution (Field, 1991) to factors such as water use efficiency, nitrogen availability, light quality, pigment distribution, vegetation type, and atmospheric CO2 levels (for a review, see Gitelson and Gamon, 2015; Gan et al., 2021). </w:t>
      </w:r>
    </w:p>
    <w:p w:rsidR="7A494930" w:rsidP="659C6AC8" w:rsidRDefault="7A494930" w14:paraId="24466DC4" w14:textId="1E7D45F7">
      <w:pPr>
        <w:pStyle w:val="Normal"/>
        <w:spacing w:before="0" w:beforeAutospacing="off" w:after="120" w:afterAutospacing="off"/>
        <w:rPr/>
      </w:pPr>
      <w:r w:rsidRPr="659C6AC8" w:rsidR="7A494930">
        <w:rPr>
          <w:rFonts w:ascii="Calibri" w:hAnsi="Calibri" w:eastAsia="Calibri" w:cs="Calibri"/>
          <w:noProof w:val="0"/>
          <w:sz w:val="24"/>
          <w:szCs w:val="24"/>
          <w:lang w:val="en-US"/>
        </w:rPr>
        <w:t xml:space="preserve">One aspect highlighted as a primary driver of changes in LUE is canopy structure (Medlyn 1998; Dechant et al. 2020; de Mattos et al. 2020). In a recent study, Dechant et al. (2020) reported a moderate (R2=0.4 to 0.6) positive relationship between LUE and canopy structure estimated through remote sensing observations. </w:t>
      </w:r>
      <w:r w:rsidRPr="659C6AC8" w:rsidR="7E2B7F45">
        <w:rPr>
          <w:rFonts w:ascii="Calibri" w:hAnsi="Calibri" w:eastAsia="Calibri" w:cs="Calibri"/>
          <w:noProof w:val="0"/>
          <w:sz w:val="24"/>
          <w:szCs w:val="24"/>
          <w:lang w:val="en-US"/>
        </w:rPr>
        <w:t>Specifically, they correlated the half-hourly and daily LUE values with the fraction of photons escaping the canopy after multiple scattering within the canopy (</w:t>
      </w:r>
      <w:r w:rsidRPr="659C6AC8" w:rsidR="7E2B7F45">
        <w:rPr>
          <w:rFonts w:ascii="Calibri" w:hAnsi="Calibri" w:eastAsia="Calibri" w:cs="Calibri"/>
          <w:noProof w:val="0"/>
          <w:sz w:val="24"/>
          <w:szCs w:val="24"/>
          <w:lang w:val="en-US"/>
        </w:rPr>
        <w:t>fesc</w:t>
      </w:r>
      <w:r w:rsidRPr="659C6AC8" w:rsidR="7E2B7F45">
        <w:rPr>
          <w:rFonts w:ascii="Calibri" w:hAnsi="Calibri" w:eastAsia="Calibri" w:cs="Calibri"/>
          <w:noProof w:val="0"/>
          <w:sz w:val="24"/>
          <w:szCs w:val="24"/>
          <w:lang w:val="en-US"/>
        </w:rPr>
        <w:t xml:space="preserve">). The variation in </w:t>
      </w:r>
      <w:r w:rsidRPr="659C6AC8" w:rsidR="7E2B7F45">
        <w:rPr>
          <w:rFonts w:ascii="Calibri" w:hAnsi="Calibri" w:eastAsia="Calibri" w:cs="Calibri"/>
          <w:noProof w:val="0"/>
          <w:sz w:val="24"/>
          <w:szCs w:val="24"/>
          <w:lang w:val="en-US"/>
        </w:rPr>
        <w:t>fesc</w:t>
      </w:r>
      <w:r w:rsidRPr="659C6AC8" w:rsidR="7E2B7F45">
        <w:rPr>
          <w:rFonts w:ascii="Calibri" w:hAnsi="Calibri" w:eastAsia="Calibri" w:cs="Calibri"/>
          <w:noProof w:val="0"/>
          <w:sz w:val="24"/>
          <w:szCs w:val="24"/>
          <w:lang w:val="en-US"/>
        </w:rPr>
        <w:t xml:space="preserve"> is </w:t>
      </w:r>
      <w:r w:rsidRPr="659C6AC8" w:rsidR="7E2B7F45">
        <w:rPr>
          <w:rFonts w:ascii="Calibri" w:hAnsi="Calibri" w:eastAsia="Calibri" w:cs="Calibri"/>
          <w:noProof w:val="0"/>
          <w:sz w:val="24"/>
          <w:szCs w:val="24"/>
          <w:lang w:val="en-US"/>
        </w:rPr>
        <w:t>largely driven</w:t>
      </w:r>
      <w:r w:rsidRPr="659C6AC8" w:rsidR="7E2B7F45">
        <w:rPr>
          <w:rFonts w:ascii="Calibri" w:hAnsi="Calibri" w:eastAsia="Calibri" w:cs="Calibri"/>
          <w:noProof w:val="0"/>
          <w:sz w:val="24"/>
          <w:szCs w:val="24"/>
          <w:lang w:val="en-US"/>
        </w:rPr>
        <w:t xml:space="preserve"> by the variation in canopy structure (</w:t>
      </w:r>
      <w:r w:rsidRPr="659C6AC8" w:rsidR="7E2B7F45">
        <w:rPr>
          <w:rFonts w:ascii="Calibri" w:hAnsi="Calibri" w:eastAsia="Calibri" w:cs="Calibri"/>
          <w:noProof w:val="0"/>
          <w:sz w:val="24"/>
          <w:szCs w:val="24"/>
          <w:lang w:val="en-US"/>
        </w:rPr>
        <w:t>Knyazikhin</w:t>
      </w:r>
      <w:r w:rsidRPr="659C6AC8" w:rsidR="7E2B7F45">
        <w:rPr>
          <w:rFonts w:ascii="Calibri" w:hAnsi="Calibri" w:eastAsia="Calibri" w:cs="Calibri"/>
          <w:noProof w:val="0"/>
          <w:sz w:val="24"/>
          <w:szCs w:val="24"/>
          <w:lang w:val="en-US"/>
        </w:rPr>
        <w:t xml:space="preserve"> et al. 2013; Dechant et al. 2020).</w:t>
      </w:r>
    </w:p>
    <w:p w:rsidR="65211582" w:rsidP="659C6AC8" w:rsidRDefault="65211582" w14:paraId="4E50A373" w14:textId="019A340E">
      <w:pPr>
        <w:spacing w:before="0" w:beforeAutospacing="off" w:after="120" w:afterAutospacing="off"/>
        <w:rPr/>
      </w:pPr>
      <w:r w:rsidRPr="659C6AC8" w:rsidR="65211582">
        <w:rPr>
          <w:rFonts w:ascii="Calibri" w:hAnsi="Calibri" w:eastAsia="Calibri" w:cs="Calibri"/>
          <w:noProof w:val="0"/>
          <w:sz w:val="24"/>
          <w:szCs w:val="24"/>
          <w:lang w:val="en-US"/>
        </w:rPr>
        <w:t xml:space="preserve">While the findings of Dechant et al. </w:t>
      </w:r>
      <w:r w:rsidRPr="659C6AC8" w:rsidR="65211582">
        <w:rPr>
          <w:rFonts w:ascii="Calibri" w:hAnsi="Calibri" w:eastAsia="Calibri" w:cs="Calibri"/>
          <w:noProof w:val="0"/>
          <w:sz w:val="24"/>
          <w:szCs w:val="24"/>
          <w:lang w:val="en-US"/>
        </w:rPr>
        <w:t>provide</w:t>
      </w:r>
      <w:r w:rsidRPr="659C6AC8" w:rsidR="65211582">
        <w:rPr>
          <w:rFonts w:ascii="Calibri" w:hAnsi="Calibri" w:eastAsia="Calibri" w:cs="Calibri"/>
          <w:noProof w:val="0"/>
          <w:sz w:val="24"/>
          <w:szCs w:val="24"/>
          <w:lang w:val="en-US"/>
        </w:rPr>
        <w:t xml:space="preserve"> valuable insights, there are a few challenges that limit the generalization of their results. First, the LUE is not equivalent to the </w:t>
      </w:r>
      <w:r w:rsidRPr="659C6AC8" w:rsidR="65211582">
        <w:rPr>
          <w:rFonts w:ascii="Calibri" w:hAnsi="Calibri" w:eastAsia="Calibri" w:cs="Calibri"/>
          <w:noProof w:val="0"/>
          <w:sz w:val="24"/>
          <w:szCs w:val="24"/>
          <w:lang w:val="en-US"/>
        </w:rPr>
        <w:t>LUEmax</w:t>
      </w:r>
      <w:r w:rsidRPr="659C6AC8" w:rsidR="65211582">
        <w:rPr>
          <w:rFonts w:ascii="Calibri" w:hAnsi="Calibri" w:eastAsia="Calibri" w:cs="Calibri"/>
          <w:noProof w:val="0"/>
          <w:sz w:val="24"/>
          <w:szCs w:val="24"/>
          <w:lang w:val="en-US"/>
        </w:rPr>
        <w:t xml:space="preserve">. There is evidence that LUE can vary </w:t>
      </w:r>
      <w:r w:rsidRPr="659C6AC8" w:rsidR="2B01F832">
        <w:rPr>
          <w:rFonts w:ascii="Calibri" w:hAnsi="Calibri" w:eastAsia="Calibri" w:cs="Calibri"/>
          <w:noProof w:val="0"/>
          <w:sz w:val="24"/>
          <w:szCs w:val="24"/>
          <w:lang w:val="en-US"/>
        </w:rPr>
        <w:t xml:space="preserve">significantly </w:t>
      </w:r>
      <w:r w:rsidRPr="659C6AC8" w:rsidR="65211582">
        <w:rPr>
          <w:rFonts w:ascii="Calibri" w:hAnsi="Calibri" w:eastAsia="Calibri" w:cs="Calibri"/>
          <w:noProof w:val="0"/>
          <w:sz w:val="24"/>
          <w:szCs w:val="24"/>
          <w:lang w:val="en-US"/>
        </w:rPr>
        <w:t>throughout the day due to changes in factors such as photosynthetically active radiation (PAR), as well as seasonally due to factors like canopy structure, stress, and environmental conditions (Git</w:t>
      </w:r>
      <w:r w:rsidRPr="659C6AC8" w:rsidR="65211582">
        <w:rPr>
          <w:rFonts w:ascii="Calibri" w:hAnsi="Calibri" w:eastAsia="Calibri" w:cs="Calibri"/>
          <w:noProof w:val="0"/>
          <w:sz w:val="24"/>
          <w:szCs w:val="24"/>
          <w:lang w:val="en-US"/>
        </w:rPr>
        <w:t>elson, Ar</w:t>
      </w:r>
      <w:r w:rsidRPr="659C6AC8" w:rsidR="65211582">
        <w:rPr>
          <w:rFonts w:ascii="Calibri" w:hAnsi="Calibri" w:eastAsia="Calibri" w:cs="Calibri"/>
          <w:noProof w:val="0"/>
          <w:sz w:val="24"/>
          <w:szCs w:val="24"/>
          <w:lang w:val="en-US"/>
        </w:rPr>
        <w:t>kebaue</w:t>
      </w:r>
      <w:r w:rsidRPr="659C6AC8" w:rsidR="65211582">
        <w:rPr>
          <w:rFonts w:ascii="Calibri" w:hAnsi="Calibri" w:eastAsia="Calibri" w:cs="Calibri"/>
          <w:noProof w:val="0"/>
          <w:sz w:val="24"/>
          <w:szCs w:val="24"/>
          <w:lang w:val="en-US"/>
        </w:rPr>
        <w:t>r, and</w:t>
      </w:r>
      <w:r w:rsidRPr="659C6AC8" w:rsidR="65211582">
        <w:rPr>
          <w:rFonts w:ascii="Calibri" w:hAnsi="Calibri" w:eastAsia="Calibri" w:cs="Calibri"/>
          <w:noProof w:val="0"/>
          <w:sz w:val="24"/>
          <w:szCs w:val="24"/>
          <w:lang w:val="en-US"/>
        </w:rPr>
        <w:t xml:space="preserve"> Suyker 2018; Gamon and Berry 2012). As a result, the relationship b</w:t>
      </w:r>
      <w:r w:rsidRPr="659C6AC8" w:rsidR="65211582">
        <w:rPr>
          <w:rFonts w:ascii="Calibri" w:hAnsi="Calibri" w:eastAsia="Calibri" w:cs="Calibri"/>
          <w:noProof w:val="0"/>
          <w:sz w:val="24"/>
          <w:szCs w:val="24"/>
          <w:lang w:val="en-US"/>
        </w:rPr>
        <w:t>etwe</w:t>
      </w:r>
      <w:r w:rsidRPr="659C6AC8" w:rsidR="65211582">
        <w:rPr>
          <w:rFonts w:ascii="Calibri" w:hAnsi="Calibri" w:eastAsia="Calibri" w:cs="Calibri"/>
          <w:noProof w:val="0"/>
          <w:sz w:val="24"/>
          <w:szCs w:val="24"/>
          <w:lang w:val="en-US"/>
        </w:rPr>
        <w:t>en fesc and LUE in Dechant et al. likely confounds the impact of canopy structure with other dynamic factors. In con</w:t>
      </w:r>
      <w:r w:rsidRPr="659C6AC8" w:rsidR="65211582">
        <w:rPr>
          <w:rFonts w:ascii="Calibri" w:hAnsi="Calibri" w:eastAsia="Calibri" w:cs="Calibri"/>
          <w:noProof w:val="0"/>
          <w:sz w:val="24"/>
          <w:szCs w:val="24"/>
          <w:lang w:val="en-US"/>
        </w:rPr>
        <w:t>trast,</w:t>
      </w:r>
      <w:r w:rsidRPr="659C6AC8" w:rsidR="65211582">
        <w:rPr>
          <w:rFonts w:ascii="Calibri" w:hAnsi="Calibri" w:eastAsia="Calibri" w:cs="Calibri"/>
          <w:noProof w:val="0"/>
          <w:sz w:val="24"/>
          <w:szCs w:val="24"/>
          <w:lang w:val="en-US"/>
        </w:rPr>
        <w:t xml:space="preserve"> LUEmax is a more stable metric (Medlyn 1998) and </w:t>
      </w:r>
      <w:r w:rsidRPr="659C6AC8" w:rsidR="65211582">
        <w:rPr>
          <w:rFonts w:ascii="Calibri" w:hAnsi="Calibri" w:eastAsia="Calibri" w:cs="Calibri"/>
          <w:noProof w:val="0"/>
          <w:sz w:val="24"/>
          <w:szCs w:val="24"/>
          <w:lang w:val="en-US"/>
        </w:rPr>
        <w:t>better rep</w:t>
      </w:r>
      <w:r w:rsidRPr="659C6AC8" w:rsidR="65211582">
        <w:rPr>
          <w:rFonts w:ascii="Calibri" w:hAnsi="Calibri" w:eastAsia="Calibri" w:cs="Calibri"/>
          <w:noProof w:val="0"/>
          <w:sz w:val="24"/>
          <w:szCs w:val="24"/>
          <w:lang w:val="en-US"/>
        </w:rPr>
        <w:t>resents the inherent capacity of plants or biomes to convert light into carbon. Furthermore, t</w:t>
      </w:r>
      <w:r w:rsidRPr="659C6AC8" w:rsidR="65211582">
        <w:rPr>
          <w:rFonts w:ascii="Calibri" w:hAnsi="Calibri" w:eastAsia="Calibri" w:cs="Calibri"/>
          <w:noProof w:val="0"/>
          <w:sz w:val="24"/>
          <w:szCs w:val="24"/>
          <w:lang w:val="en-US"/>
        </w:rPr>
        <w:t>he L</w:t>
      </w:r>
      <w:r w:rsidRPr="659C6AC8" w:rsidR="65211582">
        <w:rPr>
          <w:rFonts w:ascii="Calibri" w:hAnsi="Calibri" w:eastAsia="Calibri" w:cs="Calibri"/>
          <w:noProof w:val="0"/>
          <w:sz w:val="24"/>
          <w:szCs w:val="24"/>
          <w:lang w:val="en-US"/>
        </w:rPr>
        <w:t>UE-fesc relationship reported in the study is based on a limited dataset of just three crop sites. A more comprehensive, global study on the relationship b</w:t>
      </w:r>
      <w:r w:rsidRPr="659C6AC8" w:rsidR="65211582">
        <w:rPr>
          <w:rFonts w:ascii="Calibri" w:hAnsi="Calibri" w:eastAsia="Calibri" w:cs="Calibri"/>
          <w:noProof w:val="0"/>
          <w:sz w:val="24"/>
          <w:szCs w:val="24"/>
          <w:lang w:val="en-US"/>
        </w:rPr>
        <w:t>etween</w:t>
      </w:r>
      <w:r w:rsidRPr="659C6AC8" w:rsidR="65211582">
        <w:rPr>
          <w:rFonts w:ascii="Calibri" w:hAnsi="Calibri" w:eastAsia="Calibri" w:cs="Calibri"/>
          <w:noProof w:val="0"/>
          <w:sz w:val="24"/>
          <w:szCs w:val="24"/>
          <w:lang w:val="en-US"/>
        </w:rPr>
        <w:t xml:space="preserve"> LUEm</w:t>
      </w:r>
      <w:r w:rsidRPr="659C6AC8" w:rsidR="65211582">
        <w:rPr>
          <w:rFonts w:ascii="Calibri" w:hAnsi="Calibri" w:eastAsia="Calibri" w:cs="Calibri"/>
          <w:noProof w:val="0"/>
          <w:sz w:val="24"/>
          <w:szCs w:val="24"/>
          <w:lang w:val="en-US"/>
        </w:rPr>
        <w:t>ax a</w:t>
      </w:r>
      <w:r w:rsidRPr="659C6AC8" w:rsidR="65211582">
        <w:rPr>
          <w:rFonts w:ascii="Calibri" w:hAnsi="Calibri" w:eastAsia="Calibri" w:cs="Calibri"/>
          <w:noProof w:val="0"/>
          <w:sz w:val="24"/>
          <w:szCs w:val="24"/>
          <w:lang w:val="en-US"/>
        </w:rPr>
        <w:t>nd fesc would provide deeper and more generalizable insights.</w:t>
      </w:r>
    </w:p>
    <w:p w:rsidR="006309D4" w:rsidP="000177B3" w:rsidRDefault="00A31F09" w14:paraId="15932244" w14:textId="7BAABD2D">
      <w:pPr>
        <w:spacing w:after="120"/>
      </w:pPr>
      <w:r w:rsidRPr="00A31F09">
        <w:t xml:space="preserve">The main objective of this study is to address the challenges mentioned and examine the relationship between </w:t>
      </w:r>
      <w:proofErr w:type="spellStart"/>
      <w:r w:rsidRPr="00A31F09">
        <w:t>fesc</w:t>
      </w:r>
      <w:proofErr w:type="spellEnd"/>
      <w:r w:rsidRPr="00A31F09">
        <w:t xml:space="preserve"> and LUEmax across larger spatial scales. </w:t>
      </w:r>
      <w:proofErr w:type="spellStart"/>
      <w:r w:rsidRPr="00A31F09">
        <w:t>Dechant</w:t>
      </w:r>
      <w:proofErr w:type="spellEnd"/>
      <w:r w:rsidRPr="00A31F09">
        <w:t xml:space="preserve"> et al. (2020) demonstrated that up to 80% of the variation in gross primary production (GPP) can be explained by:</w:t>
      </w:r>
    </w:p>
    <w:p w:rsidR="006309D4" w:rsidP="659C6AC8" w:rsidRDefault="006309D4" w14:paraId="6B54AA25" w14:textId="048DA365">
      <w:pPr>
        <w:spacing w:after="120"/>
        <w:jc w:val="center"/>
        <w:rPr>
          <w:rFonts w:eastAsia="" w:eastAsiaTheme="minorEastAsia"/>
        </w:rPr>
      </w:pPr>
      <m:oMath xmlns:m="http://schemas.openxmlformats.org/officeDocument/2006/math">
        <m:r xmlns:m="http://schemas.openxmlformats.org/officeDocument/2006/math">
          <w:rPr xmlns:w="http://schemas.openxmlformats.org/wordprocessingml/2006/main">
            <w:rFonts w:ascii="Cambria Math" w:hAnsi="Cambria Math"/>
          </w:rPr>
          <m:t xmlns:m="http://schemas.openxmlformats.org/officeDocument/2006/math">GPP=APAR∙fesc</m:t>
        </m:r>
      </m:oMath>
      <m:oMath>
        <m:r>
          <w:rPr>
            <w:rFonts w:ascii="Cambria Math" w:hAnsi="Cambria Math"/>
          </w:rPr>
          <m:t>GPP=APAR∙fesc</m:t>
        </m:r>
      </m:oMath>
      <w:r>
        <w:tab/>
      </w:r>
      <w:r>
        <w:tab/>
      </w:r>
      <w:r>
        <w:tab/>
      </w:r>
      <w:r w:rsidR="002C2021">
        <w:rPr>
          <w:rFonts w:eastAsiaTheme="minorEastAsia"/>
        </w:rPr>
        <w:tab/>
      </w:r>
    </w:p>
    <w:p w:rsidR="0097193E" w:rsidP="659C6AC8" w:rsidRDefault="00A31F09" w14:paraId="11018C16" w14:textId="0C6811CF">
      <w:pPr>
        <w:spacing w:after="120"/>
        <w:rPr>
          <w:rFonts w:eastAsia="" w:eastAsiaTheme="minorEastAsia"/>
        </w:rPr>
      </w:pPr>
      <w:r w:rsidRPr="659C6AC8" w:rsidR="523AC749">
        <w:rPr>
          <w:rFonts w:eastAsia="" w:eastAsiaTheme="minorEastAsia"/>
        </w:rPr>
        <w:t xml:space="preserve">Here, APAR </w:t>
      </w:r>
      <w:r w:rsidRPr="659C6AC8" w:rsidR="523AC749">
        <w:rPr>
          <w:rFonts w:eastAsia="" w:eastAsiaTheme="minorEastAsia"/>
        </w:rPr>
        <w:t>represents</w:t>
      </w:r>
      <w:r w:rsidRPr="659C6AC8" w:rsidR="523AC749">
        <w:rPr>
          <w:rFonts w:eastAsia="" w:eastAsiaTheme="minorEastAsia"/>
        </w:rPr>
        <w:t xml:space="preserve"> absorbed photosynthetic radiation, which can be calculated as</w:t>
      </w:r>
      <w:r w:rsidRPr="659C6AC8" w:rsidR="6AD55C6D">
        <w:rPr>
          <w:rFonts w:eastAsia="" w:eastAsiaTheme="minorEastAsia"/>
        </w:rPr>
        <w:t>:</w:t>
      </w:r>
    </w:p>
    <w:p w:rsidR="0097193E" w:rsidP="659C6AC8" w:rsidRDefault="00A31F09" w14:paraId="6B43A6FD" w14:textId="154A140D">
      <w:pPr>
        <w:pStyle w:val="Normal"/>
        <w:spacing w:after="120"/>
        <w:jc w:val="center"/>
        <w:rPr>
          <w:rFonts w:eastAsia="" w:eastAsiaTheme="minorEastAsia"/>
        </w:rPr>
      </w:pPr>
      <m:oMathPara xmlns:m="http://schemas.openxmlformats.org/officeDocument/2006/math">
        <m:oMath xmlns:m="http://schemas.openxmlformats.org/officeDocument/2006/math">
          <m:r xmlns:m="http://schemas.openxmlformats.org/officeDocument/2006/math">
            <m:t xmlns:m="http://schemas.openxmlformats.org/officeDocument/2006/math">𝐴𝑃𝐴𝑅</m:t>
          </m:r>
          <m:r xmlns:m="http://schemas.openxmlformats.org/officeDocument/2006/math">
            <m:t xmlns:m="http://schemas.openxmlformats.org/officeDocument/2006/math"> = </m:t>
          </m:r>
          <m:r xmlns:m="http://schemas.openxmlformats.org/officeDocument/2006/math">
            <m:t xmlns:m="http://schemas.openxmlformats.org/officeDocument/2006/math">𝑃𝐴𝑅</m:t>
          </m:r>
          <m:r xmlns:m="http://schemas.openxmlformats.org/officeDocument/2006/math">
            <m:t xmlns:m="http://schemas.openxmlformats.org/officeDocument/2006/math"> </m:t>
          </m:r>
          <m:r xmlns:m="http://schemas.openxmlformats.org/officeDocument/2006/math">
            <m:t xmlns:m="http://schemas.openxmlformats.org/officeDocument/2006/math">∙</m:t>
          </m:r>
          <m:r xmlns:m="http://schemas.openxmlformats.org/officeDocument/2006/math">
            <m:t xmlns:m="http://schemas.openxmlformats.org/officeDocument/2006/math">𝑓𝑃𝐴𝑅</m:t>
          </m:r>
          <m:r xmlns:m="http://schemas.openxmlformats.org/officeDocument/2006/math">
            <m:t xmlns:m="http://schemas.openxmlformats.org/officeDocument/2006/math"> </m:t>
          </m:r>
        </m:oMath>
      </m:oMathPara>
      <w:r>
        <w:tab/>
      </w:r>
      <w:r>
        <w:tab/>
      </w:r>
      <w:r w:rsidRPr="659C6AC8" w:rsidR="492221E1">
        <w:rPr>
          <w:rFonts w:eastAsia="" w:eastAsiaTheme="minorEastAsia"/>
        </w:rPr>
        <w:t xml:space="preserve">         </w:t>
      </w:r>
      <w:r w:rsidRPr="659C6AC8" w:rsidR="3A56365D">
        <w:rPr>
          <w:rFonts w:eastAsia="" w:eastAsiaTheme="minorEastAsia"/>
        </w:rPr>
        <w:t>(</w:t>
      </w:r>
      <w:r w:rsidRPr="659C6AC8" w:rsidR="523AC749">
        <w:rPr>
          <w:rFonts w:eastAsia="" w:eastAsiaTheme="minorEastAsia"/>
        </w:rPr>
        <w:t>2)</w:t>
      </w:r>
    </w:p>
    <w:p w:rsidR="0097193E" w:rsidP="000177B3" w:rsidRDefault="002C2021" w14:paraId="2C85E6F0" w14:textId="01036487">
      <w:pPr>
        <w:spacing w:after="120"/>
        <w:rPr>
          <w:rFonts w:eastAsiaTheme="minorEastAsia"/>
        </w:rPr>
      </w:pPr>
      <w:r w:rsidRPr="002C2021">
        <w:rPr>
          <w:rFonts w:eastAsiaTheme="minorEastAsia"/>
        </w:rPr>
        <w:t xml:space="preserve">Where PAR is the photosynthetic absorbed radiation, and </w:t>
      </w:r>
      <w:proofErr w:type="spellStart"/>
      <w:r w:rsidRPr="002C2021">
        <w:rPr>
          <w:rFonts w:eastAsiaTheme="minorEastAsia"/>
        </w:rPr>
        <w:t>fPAR</w:t>
      </w:r>
      <w:proofErr w:type="spellEnd"/>
      <w:r w:rsidRPr="002C2021">
        <w:rPr>
          <w:rFonts w:eastAsiaTheme="minorEastAsia"/>
        </w:rPr>
        <w:t xml:space="preserve"> is the fraction of absorbed photosynthetic radiation. The variable </w:t>
      </w:r>
      <w:proofErr w:type="spellStart"/>
      <w:r w:rsidRPr="002C2021">
        <w:rPr>
          <w:rFonts w:eastAsiaTheme="minorEastAsia"/>
        </w:rPr>
        <w:t>fesc</w:t>
      </w:r>
      <w:proofErr w:type="spellEnd"/>
      <w:r w:rsidRPr="002C2021">
        <w:rPr>
          <w:rFonts w:eastAsiaTheme="minorEastAsia"/>
        </w:rPr>
        <w:t xml:space="preserve"> can be approximated by (</w:t>
      </w:r>
      <w:proofErr w:type="spellStart"/>
      <w:r w:rsidRPr="002C2021">
        <w:rPr>
          <w:rFonts w:eastAsiaTheme="minorEastAsia"/>
        </w:rPr>
        <w:t>Yelu</w:t>
      </w:r>
      <w:proofErr w:type="spellEnd"/>
      <w:r w:rsidRPr="002C2021">
        <w:rPr>
          <w:rFonts w:eastAsiaTheme="minorEastAsia"/>
        </w:rPr>
        <w:t xml:space="preserve"> et al.):</w:t>
      </w:r>
    </w:p>
    <w:p w:rsidR="0056464B" w:rsidP="659C6AC8" w:rsidRDefault="0097193E" w14:paraId="4CBE3A01" w14:textId="19E36DA9">
      <w:pPr>
        <w:spacing w:after="120"/>
        <w:jc w:val="center"/>
        <w:rPr>
          <w:rFonts w:eastAsia="" w:eastAsiaTheme="minorEastAsia"/>
        </w:rPr>
      </w:pPr>
      <m:oMath>
        <m:r>
          <w:rPr>
            <w:rFonts w:ascii="Cambria Math" w:hAnsi="Cambria Math" w:eastAsiaTheme="minorEastAsia"/>
          </w:rPr>
          <m:t>fesc≈</m:t>
        </m:r>
        <m:f>
          <m:fPr>
            <m:ctrlPr>
              <w:rPr>
                <w:rFonts w:ascii="Cambria Math" w:hAnsi="Cambria Math" w:eastAsiaTheme="minorEastAsia"/>
                <w:i/>
              </w:rPr>
            </m:ctrlPr>
          </m:fPr>
          <m:num>
            <m:r>
              <w:rPr>
                <w:rFonts w:ascii="Cambria Math" w:hAnsi="Cambria Math" w:eastAsiaTheme="minorEastAsia"/>
              </w:rPr>
              <m:t>NIRV</m:t>
            </m:r>
          </m:num>
          <m:den>
            <m:r>
              <w:rPr>
                <w:rFonts w:ascii="Cambria Math" w:hAnsi="Cambria Math" w:eastAsiaTheme="minorEastAsia"/>
              </w:rPr>
              <m:t>f</m:t>
            </m:r>
            <m:r>
              <w:rPr>
                <w:rFonts w:ascii="Cambria Math" w:hAnsi="Cambria Math" w:eastAsiaTheme="minorEastAsia"/>
              </w:rPr>
              <m:t>PAR</m:t>
            </m:r>
          </m:den>
        </m:f>
        <m:r>
          <w:rPr>
            <w:rFonts w:ascii="Cambria Math" w:hAnsi="Cambria Math" w:eastAsiaTheme="minorEastAsia"/>
          </w:rPr>
          <m:t xml:space="preserve"> </m:t>
        </m:r>
      </m:oMath>
      <w:r w:rsidRPr="659C6AC8" w:rsidR="523AC749">
        <w:rPr>
          <w:rFonts w:eastAsia="" w:eastAsiaTheme="minorEastAsia"/>
        </w:rPr>
        <w:t xml:space="preserve"> </w:t>
      </w:r>
      <w:r w:rsidR="002C2021">
        <w:rPr>
          <w:rFonts w:eastAsiaTheme="minorEastAsia"/>
        </w:rPr>
        <w:tab/>
      </w:r>
      <w:r w:rsidR="002C2021">
        <w:rPr>
          <w:rFonts w:eastAsiaTheme="minorEastAsia"/>
        </w:rPr>
        <w:tab/>
      </w:r>
      <w:r w:rsidR="002C2021">
        <w:rPr>
          <w:rFonts w:eastAsiaTheme="minorEastAsia"/>
        </w:rPr>
        <w:tab/>
      </w:r>
      <w:r w:rsidRPr="659C6AC8" w:rsidR="10F402CC">
        <w:rPr>
          <w:rFonts w:eastAsia="" w:eastAsiaTheme="minorEastAsia"/>
        </w:rPr>
        <w:t xml:space="preserve">             </w:t>
      </w:r>
      <w:r w:rsidRPr="659C6AC8" w:rsidR="523AC749">
        <w:rPr>
          <w:rFonts w:eastAsia="" w:eastAsiaTheme="minorEastAsia"/>
        </w:rPr>
        <w:t>(</w:t>
      </w:r>
      <w:r w:rsidRPr="659C6AC8" w:rsidR="523AC749">
        <w:rPr>
          <w:rFonts w:eastAsia="" w:eastAsiaTheme="minorEastAsia"/>
        </w:rPr>
        <w:t>3)</w:t>
      </w:r>
    </w:p>
    <w:p w:rsidR="002C2021" w:rsidP="000177B3" w:rsidRDefault="002C2021" w14:paraId="783CE08B" w14:textId="4361600B">
      <w:pPr>
        <w:spacing w:after="120"/>
      </w:pPr>
      <w:r w:rsidRPr="002C2021">
        <w:rPr>
          <w:rFonts w:eastAsiaTheme="minorEastAsia"/>
        </w:rPr>
        <w:t>Where NIRV can be acquired by multiplying the normalized difference vegetation index (NDVI = (NIR - RED) / (NIR + RED)) by the reflectance values in the near-infrared region of the spectrum (i.e., NIR</w:t>
      </w:r>
      <w:r w:rsidRPr="00A31F09">
        <w:rPr>
          <w:rFonts w:eastAsiaTheme="minorEastAsia"/>
          <w:vertAlign w:val="subscript"/>
        </w:rPr>
        <w:t>V</w:t>
      </w:r>
      <w:r w:rsidRPr="002C2021">
        <w:rPr>
          <w:rFonts w:eastAsiaTheme="minorEastAsia"/>
        </w:rPr>
        <w:t xml:space="preserve"> = NDVI * NIR). </w:t>
      </w:r>
      <w:r w:rsidRPr="002C2021">
        <w:t>On the other hand, from the classical approach</w:t>
      </w:r>
      <w:r>
        <w:t xml:space="preserve"> </w:t>
      </w:r>
      <w:r>
        <w:fldChar w:fldCharType="begin"/>
      </w:r>
      <w:r>
        <w:instrText xml:space="preserve"> ADDIN ZOTERO_ITEM CSL_CITATION {"citationID":"GsDbFM3C","properties":{"formattedCitation":"(Monteith 1972)","plainCitation":"(Monteith 1972)","noteIndex":0},"citationItems":[{"id":2894,"uris":["http://zotero.org/users/505229/items/G6IUMKF5"],"itemData":{"id":2894,"type":"article-journal","container-title":"Journal of Applied Ecology","DOI":"10.2307/2401901","ISSN":"0021-8901","issue":"3","note":"publisher: [British Ecological Society, Wiley]","page":"747-766","source":"JSTOR","title":"Solar Radiation and Productivity in Tropical Ecosystems","volume":"9","author":[{"family":"Monteith","given":"J. L."}],"issued":{"date-parts":[["1972"]]}}}],"schema":"https://github.com/citation-style-language/schema/raw/master/csl-citation.json"} </w:instrText>
      </w:r>
      <w:r>
        <w:fldChar w:fldCharType="separate"/>
      </w:r>
      <w:r>
        <w:rPr>
          <w:noProof/>
        </w:rPr>
        <w:t>(Monteith 1972)</w:t>
      </w:r>
      <w:r>
        <w:fldChar w:fldCharType="end"/>
      </w:r>
      <w:r w:rsidRPr="002C2021">
        <w:t>, we have:</w:t>
      </w:r>
    </w:p>
    <w:p w:rsidRPr="000177B3" w:rsidR="00C62943" w:rsidP="659C6AC8" w:rsidRDefault="006309D4" w14:paraId="0A84875F" w14:textId="6E298F28">
      <w:pPr>
        <w:spacing w:after="120"/>
        <w:jc w:val="center"/>
        <w:rPr>
          <w:rFonts w:eastAsia="" w:eastAsiaTheme="minorEastAsia"/>
        </w:rPr>
      </w:pPr>
      <m:oMath>
        <m:r>
          <w:rPr>
            <w:rFonts w:ascii="Cambria Math" w:hAnsi="Cambria Math"/>
          </w:rPr>
          <m:t>GPP=APAR∙</m:t>
        </m:r>
        <m:sSub>
          <m:sSubPr>
            <m:ctrlPr>
              <w:rPr>
                <w:rFonts w:ascii="Cambria Math" w:hAnsi="Cambria Math"/>
                <w:i/>
              </w:rPr>
            </m:ctrlPr>
          </m:sSubPr>
          <m:e>
            <m:r>
              <w:rPr>
                <w:rFonts w:ascii="Cambria Math" w:hAnsi="Cambria Math"/>
              </w:rPr>
              <m:t>LUE</m:t>
            </m:r>
          </m:e>
          <m:sub>
            <m:r>
              <w:rPr>
                <w:rFonts w:ascii="Cambria Math" w:hAnsi="Cambria Math"/>
              </w:rPr>
              <m:t>Max</m:t>
            </m:r>
          </m:sub>
        </m:sSub>
      </m:oMath>
      <w:r w:rsidRPr="659C6AC8" w:rsidR="523AC749">
        <w:rPr>
          <w:rFonts w:eastAsia="" w:eastAsiaTheme="minorEastAsia"/>
        </w:rPr>
        <w:t xml:space="preserve"> </w:t>
      </w:r>
      <w:r w:rsidR="002C2021">
        <w:rPr>
          <w:rFonts w:eastAsiaTheme="minorEastAsia"/>
        </w:rPr>
        <w:tab/>
      </w:r>
      <w:r w:rsidR="002C2021">
        <w:rPr>
          <w:rFonts w:eastAsiaTheme="minorEastAsia"/>
        </w:rPr>
        <w:tab/>
      </w:r>
      <w:r w:rsidRPr="659C6AC8" w:rsidR="693B0B15">
        <w:rPr>
          <w:rFonts w:eastAsia="" w:eastAsiaTheme="minorEastAsia"/>
        </w:rPr>
        <w:t xml:space="preserve">   </w:t>
      </w:r>
      <w:r>
        <w:tab/>
      </w:r>
      <w:r>
        <w:tab/>
      </w:r>
      <w:r>
        <w:tab/>
      </w:r>
      <w:r>
        <w:tab/>
      </w:r>
      <w:r w:rsidRPr="659C6AC8" w:rsidR="693B0B15">
        <w:rPr>
          <w:rFonts w:eastAsia="" w:eastAsiaTheme="minorEastAsia"/>
        </w:rPr>
        <w:t xml:space="preserve"> </w:t>
      </w:r>
      <w:r w:rsidRPr="659C6AC8" w:rsidR="523AC749">
        <w:rPr>
          <w:rFonts w:eastAsia="" w:eastAsiaTheme="minorEastAsia"/>
        </w:rPr>
        <w:t>(4)</w:t>
      </w:r>
    </w:p>
    <w:p w:rsidR="00A31F09" w:rsidP="000177B3" w:rsidRDefault="00A31F09" w14:paraId="44F551F3" w14:textId="7CD4996E">
      <w:pPr>
        <w:pStyle w:val="Heading1"/>
        <w:spacing w:after="120"/>
        <w:rPr>
          <w:rFonts w:ascii="Calibri" w:hAnsi="Calibri" w:eastAsiaTheme="minorHAnsi" w:cstheme="minorBidi"/>
          <w:color w:val="auto"/>
          <w:sz w:val="24"/>
          <w:szCs w:val="24"/>
        </w:rPr>
      </w:pPr>
      <w:r w:rsidRPr="00A31F09">
        <w:rPr>
          <w:rFonts w:ascii="Calibri" w:hAnsi="Calibri" w:eastAsiaTheme="minorHAnsi" w:cstheme="minorBidi"/>
          <w:color w:val="auto"/>
          <w:sz w:val="24"/>
          <w:szCs w:val="24"/>
        </w:rPr>
        <w:t xml:space="preserve">By comparing equations 1 and 4, we hypothesize that there is a strong relationship between </w:t>
      </w:r>
      <w:proofErr w:type="spellStart"/>
      <w:r w:rsidRPr="00A31F09">
        <w:rPr>
          <w:rFonts w:ascii="Calibri" w:hAnsi="Calibri" w:eastAsiaTheme="minorHAnsi" w:cstheme="minorBidi"/>
          <w:color w:val="auto"/>
          <w:sz w:val="24"/>
          <w:szCs w:val="24"/>
        </w:rPr>
        <w:t>fesc</w:t>
      </w:r>
      <w:proofErr w:type="spellEnd"/>
      <w:r w:rsidRPr="00A31F09">
        <w:rPr>
          <w:rFonts w:ascii="Calibri" w:hAnsi="Calibri" w:eastAsiaTheme="minorHAnsi" w:cstheme="minorBidi"/>
          <w:color w:val="auto"/>
          <w:sz w:val="24"/>
          <w:szCs w:val="24"/>
        </w:rPr>
        <w:t xml:space="preserve"> and LUEmax. This is because changes in canopy structure, and hence </w:t>
      </w:r>
      <w:proofErr w:type="spellStart"/>
      <w:r w:rsidRPr="00A31F09">
        <w:rPr>
          <w:rFonts w:ascii="Calibri" w:hAnsi="Calibri" w:eastAsiaTheme="minorHAnsi" w:cstheme="minorBidi"/>
          <w:color w:val="auto"/>
          <w:sz w:val="24"/>
          <w:szCs w:val="24"/>
        </w:rPr>
        <w:t>fesc</w:t>
      </w:r>
      <w:proofErr w:type="spellEnd"/>
      <w:r w:rsidRPr="00A31F09">
        <w:rPr>
          <w:rFonts w:ascii="Calibri" w:hAnsi="Calibri" w:eastAsiaTheme="minorHAnsi" w:cstheme="minorBidi"/>
          <w:color w:val="auto"/>
          <w:sz w:val="24"/>
          <w:szCs w:val="24"/>
        </w:rPr>
        <w:t>, are more dominant spatially over larger domains rather than temporally over a specific site. To test this hypothesis, we utilized data from more than 270 eddy covariance sites along with remote sensing observations and investigated the relationship between the two variables across various biomes and within individual biomes</w:t>
      </w:r>
      <w:r>
        <w:rPr>
          <w:rFonts w:ascii="Calibri" w:hAnsi="Calibri" w:eastAsiaTheme="minorHAnsi" w:cstheme="minorBidi"/>
          <w:color w:val="auto"/>
          <w:sz w:val="24"/>
          <w:szCs w:val="24"/>
        </w:rPr>
        <w:t>.</w:t>
      </w:r>
    </w:p>
    <w:p w:rsidR="00F552F1" w:rsidP="00A31F09" w:rsidRDefault="00F552F1" w14:paraId="5296B145" w14:textId="4DE0D26C">
      <w:pPr>
        <w:pStyle w:val="Heading1"/>
      </w:pPr>
      <w:r w:rsidRPr="00A31F09">
        <w:t>Materials</w:t>
      </w:r>
      <w:r>
        <w:t xml:space="preserve"> and Methods</w:t>
      </w:r>
    </w:p>
    <w:p w:rsidR="00A31F09" w:rsidP="00A31F09" w:rsidRDefault="00A31F09" w14:paraId="2B739AFD" w14:textId="1918C236">
      <w:pPr>
        <w:spacing w:after="120"/>
        <w:rPr/>
      </w:pPr>
      <w:r w:rsidR="18B19F77">
        <w:rPr/>
        <w:t xml:space="preserve">The eddy covariance (EC) data used in this study comes from two global EC networks, the FLUXNET2015 Dataset and </w:t>
      </w:r>
      <w:r w:rsidR="18B19F77">
        <w:rPr/>
        <w:t>AmeriFlux</w:t>
      </w:r>
      <w:r w:rsidR="18B19F77">
        <w:rPr/>
        <w:t>. Table S1 (in the supplementary material) provides more information on all the sites used in this study. Both datasets use the same pipeline to process the data (</w:t>
      </w:r>
      <w:r w:rsidR="18B19F77">
        <w:rPr/>
        <w:t>Pastorello</w:t>
      </w:r>
      <w:r w:rsidR="18B19F77">
        <w:rPr/>
        <w:t xml:space="preserve"> et al. 2020). If a site was present in both datasets, we selected its data from </w:t>
      </w:r>
      <w:r w:rsidR="18B19F77">
        <w:rPr/>
        <w:t>AmeriFlux</w:t>
      </w:r>
      <w:r w:rsidR="18B19F77">
        <w:rPr/>
        <w:t xml:space="preserve"> since they usually include the most recent updates compared to its counterpart in FLUXNET.</w:t>
      </w:r>
    </w:p>
    <w:p w:rsidR="00A31F09" w:rsidP="00A31F09" w:rsidRDefault="00A31F09" w14:paraId="084AF4B1" w14:textId="2D994717">
      <w:pPr>
        <w:spacing w:after="120"/>
      </w:pPr>
      <w:r>
        <w:t xml:space="preserve">To calculate </w:t>
      </w:r>
      <w:proofErr w:type="spellStart"/>
      <w:r>
        <w:t>fesc</w:t>
      </w:r>
      <w:proofErr w:type="spellEnd"/>
      <w:r>
        <w:t xml:space="preserve">, we required reflectance and </w:t>
      </w:r>
      <w:proofErr w:type="spellStart"/>
      <w:r>
        <w:t>fPAR</w:t>
      </w:r>
      <w:proofErr w:type="spellEnd"/>
      <w:r>
        <w:t xml:space="preserve"> data. In this study, we used MODIS products. The reflectance data was obtained from the daily MCD43A4 Version 6.1 Nadir Bidirectional Reflectance Distribution Function (BRDF)-Adjusted Reflectance product, and the </w:t>
      </w:r>
      <w:proofErr w:type="spellStart"/>
      <w:r>
        <w:t>fPAR</w:t>
      </w:r>
      <w:proofErr w:type="spellEnd"/>
      <w:r>
        <w:t xml:space="preserve"> data was obtained from the MCD15A3H Version 6.1 Fraction of Photosynthetically Active Radiation product. Both products have a spatial resolution of 500 meters, which we assume roughly matches the footprint of the EC towers.</w:t>
      </w:r>
      <w:r>
        <w:t xml:space="preserve"> </w:t>
      </w:r>
      <w:r>
        <w:t xml:space="preserve">The </w:t>
      </w:r>
      <w:proofErr w:type="spellStart"/>
      <w:r>
        <w:t>fPAR</w:t>
      </w:r>
      <w:proofErr w:type="spellEnd"/>
      <w:r>
        <w:t xml:space="preserve"> product has a 4-day temporal resolution. To make it consistent with the daily reflectance and EC data, we resampled the </w:t>
      </w:r>
      <w:proofErr w:type="spellStart"/>
      <w:r>
        <w:t>fPAR</w:t>
      </w:r>
      <w:proofErr w:type="spellEnd"/>
      <w:r>
        <w:t xml:space="preserve"> data to daily using linear interpolation.</w:t>
      </w:r>
    </w:p>
    <w:p w:rsidR="00A31F09" w:rsidP="00A31F09" w:rsidRDefault="00A31F09" w14:paraId="090C2A33" w14:textId="22FECF6E">
      <w:pPr>
        <w:spacing w:after="120"/>
        <w:rPr>
          <w:rFonts w:eastAsiaTheme="minorEastAsia"/>
        </w:rPr>
      </w:pPr>
      <w:r>
        <w:t>From the EC data, we only used GPP and PAR data that met the following criteria: 1) 20% or less of the data was gap-filled, 2) the net ecosystem exchange (NEE) uncertainties were less than 3 g C m-2 d-1, and 3) the GPP partitioned using day- and night-time methods differed by less than 3 g C m-2 d-1. We then took the mean of the day and night GPP estimates as the daily GPP (Joiner et al. 2018; Tramontana et al. 2016; Joiner and Yoshida 2020).</w:t>
      </w:r>
      <w:r>
        <w:t xml:space="preserve"> </w:t>
      </w:r>
      <w:r>
        <w:t>For the reflectance data, we used the red and near-infrared (NIR) bands. We filtered the data to include only good quality observations where the main BRDF algorithm was used to process the data.</w:t>
      </w:r>
      <w:r>
        <w:t xml:space="preserve"> </w:t>
      </w:r>
      <w:r>
        <w:t xml:space="preserve">Similarly, for the </w:t>
      </w:r>
      <w:proofErr w:type="spellStart"/>
      <w:r>
        <w:t>fPAR</w:t>
      </w:r>
      <w:proofErr w:type="spellEnd"/>
      <w:r>
        <w:t xml:space="preserve"> data, we only included observations where the main radiative transfer algorithm was used to derive </w:t>
      </w:r>
      <w:proofErr w:type="spellStart"/>
      <w:r>
        <w:t>fPAR</w:t>
      </w:r>
      <w:proofErr w:type="spellEnd"/>
      <w:r>
        <w:t>, and there were no significant cloud cover issues in the scene.</w:t>
      </w:r>
      <w:r>
        <w:t xml:space="preserve"> </w:t>
      </w:r>
      <w:r w:rsidRPr="00A31F09">
        <w:rPr>
          <w:rFonts w:eastAsiaTheme="minorEastAsia"/>
        </w:rPr>
        <w:t>After the data pre-processing and quality filtering, we were left with 27</w:t>
      </w:r>
      <w:r>
        <w:rPr>
          <w:rFonts w:eastAsiaTheme="minorEastAsia"/>
        </w:rPr>
        <w:t>6</w:t>
      </w:r>
      <w:r w:rsidRPr="00A31F09">
        <w:rPr>
          <w:rFonts w:eastAsiaTheme="minorEastAsia"/>
        </w:rPr>
        <w:t xml:space="preserve"> sites which include 212,552 days of data across 13 different biomes (see Table 1 for details).</w:t>
      </w:r>
    </w:p>
    <w:p w:rsidR="00A31F09" w:rsidP="006B376E" w:rsidRDefault="00A31F09" w14:paraId="71554CA6" w14:textId="10D4CD89">
      <w:pPr>
        <w:pStyle w:val="Caption"/>
        <w:keepNext/>
        <w:jc w:val="center"/>
      </w:pPr>
      <w:r>
        <w:t xml:space="preserve">Table </w:t>
      </w:r>
      <w:r>
        <w:fldChar w:fldCharType="begin"/>
      </w:r>
      <w:r>
        <w:instrText xml:space="preserve"> SEQ Table \* ARABIC </w:instrText>
      </w:r>
      <w:r>
        <w:fldChar w:fldCharType="separate"/>
      </w:r>
      <w:r>
        <w:rPr>
          <w:noProof/>
        </w:rPr>
        <w:t>1</w:t>
      </w:r>
      <w:r>
        <w:fldChar w:fldCharType="end"/>
      </w:r>
      <w:r>
        <w:t xml:space="preserve">. </w:t>
      </w:r>
      <w:r w:rsidRPr="008154C5">
        <w:t>The number of site and observations for each biome.</w:t>
      </w:r>
    </w:p>
    <w:tbl>
      <w:tblPr>
        <w:tblStyle w:val="TableGrid"/>
        <w:tblW w:w="6853" w:type="dxa"/>
        <w:jc w:val="center"/>
        <w:tblLayout w:type="fixed"/>
        <w:tblLook w:val="04A0" w:firstRow="1" w:lastRow="0" w:firstColumn="1" w:lastColumn="0" w:noHBand="0" w:noVBand="1"/>
      </w:tblPr>
      <w:tblGrid>
        <w:gridCol w:w="2702"/>
        <w:gridCol w:w="1083"/>
        <w:gridCol w:w="1263"/>
        <w:gridCol w:w="1805"/>
      </w:tblGrid>
      <w:tr w:rsidR="00A31F09" w:rsidTr="006B376E" w14:paraId="7996CDFD" w14:textId="77777777">
        <w:trPr>
          <w:trHeight w:val="288"/>
          <w:jc w:val="center"/>
        </w:trPr>
        <w:tc>
          <w:tcPr>
            <w:tcW w:w="2702" w:type="dxa"/>
          </w:tcPr>
          <w:p w:rsidRPr="00E4389D" w:rsidR="00A31F09" w:rsidP="007B081F" w:rsidRDefault="00A31F09" w14:paraId="32BB9A4E" w14:textId="77777777">
            <w:pPr>
              <w:spacing w:after="120"/>
              <w:rPr>
                <w:sz w:val="16"/>
                <w:szCs w:val="16"/>
              </w:rPr>
            </w:pPr>
            <w:r w:rsidRPr="00E4389D">
              <w:rPr>
                <w:sz w:val="16"/>
                <w:szCs w:val="16"/>
              </w:rPr>
              <w:t>Biome</w:t>
            </w:r>
          </w:p>
        </w:tc>
        <w:tc>
          <w:tcPr>
            <w:tcW w:w="1083" w:type="dxa"/>
          </w:tcPr>
          <w:p w:rsidRPr="00E4389D" w:rsidR="00A31F09" w:rsidP="007B081F" w:rsidRDefault="00A31F09" w14:paraId="621B6984" w14:textId="77777777">
            <w:pPr>
              <w:spacing w:after="120"/>
              <w:rPr>
                <w:sz w:val="16"/>
                <w:szCs w:val="16"/>
              </w:rPr>
            </w:pPr>
            <w:r w:rsidRPr="00E4389D">
              <w:rPr>
                <w:sz w:val="16"/>
                <w:szCs w:val="16"/>
              </w:rPr>
              <w:t>Abbreviation</w:t>
            </w:r>
          </w:p>
        </w:tc>
        <w:tc>
          <w:tcPr>
            <w:tcW w:w="1263" w:type="dxa"/>
          </w:tcPr>
          <w:p w:rsidRPr="00E4389D" w:rsidR="00A31F09" w:rsidP="007B081F" w:rsidRDefault="00A31F09" w14:paraId="50ABDC39" w14:textId="77777777">
            <w:pPr>
              <w:spacing w:after="120"/>
              <w:rPr>
                <w:sz w:val="16"/>
                <w:szCs w:val="16"/>
              </w:rPr>
            </w:pPr>
            <w:r w:rsidRPr="00E4389D">
              <w:rPr>
                <w:sz w:val="16"/>
                <w:szCs w:val="16"/>
              </w:rPr>
              <w:t>Number of sites</w:t>
            </w:r>
          </w:p>
        </w:tc>
        <w:tc>
          <w:tcPr>
            <w:tcW w:w="1805" w:type="dxa"/>
          </w:tcPr>
          <w:p w:rsidRPr="00E4389D" w:rsidR="00A31F09" w:rsidP="007B081F" w:rsidRDefault="00A31F09" w14:paraId="6C2C466E" w14:textId="77777777">
            <w:pPr>
              <w:spacing w:after="120"/>
              <w:rPr>
                <w:sz w:val="16"/>
                <w:szCs w:val="16"/>
              </w:rPr>
            </w:pPr>
            <w:r w:rsidRPr="00E4389D">
              <w:rPr>
                <w:sz w:val="16"/>
                <w:szCs w:val="16"/>
              </w:rPr>
              <w:t>Number of observations</w:t>
            </w:r>
          </w:p>
        </w:tc>
      </w:tr>
      <w:tr w:rsidR="00A31F09" w:rsidTr="006B376E" w14:paraId="485078A3" w14:textId="77777777">
        <w:trPr>
          <w:trHeight w:val="171"/>
          <w:jc w:val="center"/>
        </w:trPr>
        <w:tc>
          <w:tcPr>
            <w:tcW w:w="2702" w:type="dxa"/>
          </w:tcPr>
          <w:p w:rsidRPr="00E4389D" w:rsidR="00A31F09" w:rsidP="007B081F" w:rsidRDefault="00A31F09" w14:paraId="29694FA2" w14:textId="77777777">
            <w:pPr>
              <w:spacing w:after="120"/>
              <w:rPr>
                <w:sz w:val="16"/>
                <w:szCs w:val="16"/>
              </w:rPr>
            </w:pPr>
            <w:r w:rsidRPr="00E4389D">
              <w:rPr>
                <w:sz w:val="16"/>
                <w:szCs w:val="16"/>
              </w:rPr>
              <w:t xml:space="preserve"> Grasslands</w:t>
            </w:r>
          </w:p>
        </w:tc>
        <w:tc>
          <w:tcPr>
            <w:tcW w:w="1083" w:type="dxa"/>
          </w:tcPr>
          <w:p w:rsidRPr="00E4389D" w:rsidR="00A31F09" w:rsidP="007B081F" w:rsidRDefault="00A31F09" w14:paraId="4820C2E8" w14:textId="77777777">
            <w:pPr>
              <w:spacing w:after="120"/>
              <w:rPr>
                <w:sz w:val="16"/>
                <w:szCs w:val="16"/>
              </w:rPr>
            </w:pPr>
            <w:r w:rsidRPr="00E4389D">
              <w:rPr>
                <w:sz w:val="16"/>
                <w:szCs w:val="16"/>
              </w:rPr>
              <w:t>GRA</w:t>
            </w:r>
          </w:p>
        </w:tc>
        <w:tc>
          <w:tcPr>
            <w:tcW w:w="1263" w:type="dxa"/>
          </w:tcPr>
          <w:p w:rsidRPr="00E4389D" w:rsidR="00A31F09" w:rsidP="007B081F" w:rsidRDefault="00A31F09" w14:paraId="2BE21BF1" w14:textId="77777777">
            <w:pPr>
              <w:spacing w:after="120"/>
              <w:rPr>
                <w:sz w:val="16"/>
                <w:szCs w:val="16"/>
              </w:rPr>
            </w:pPr>
            <w:r w:rsidRPr="00E4389D">
              <w:rPr>
                <w:sz w:val="16"/>
                <w:szCs w:val="16"/>
              </w:rPr>
              <w:t>48</w:t>
            </w:r>
          </w:p>
        </w:tc>
        <w:tc>
          <w:tcPr>
            <w:tcW w:w="1805" w:type="dxa"/>
          </w:tcPr>
          <w:p w:rsidRPr="00E4389D" w:rsidR="00A31F09" w:rsidP="007B081F" w:rsidRDefault="00A31F09" w14:paraId="1C56C857" w14:textId="77777777">
            <w:pPr>
              <w:spacing w:after="120"/>
              <w:rPr>
                <w:sz w:val="16"/>
                <w:szCs w:val="16"/>
              </w:rPr>
            </w:pPr>
            <w:r w:rsidRPr="00E4389D">
              <w:rPr>
                <w:sz w:val="16"/>
                <w:szCs w:val="16"/>
              </w:rPr>
              <w:t>36969</w:t>
            </w:r>
          </w:p>
        </w:tc>
      </w:tr>
      <w:tr w:rsidR="00A31F09" w:rsidTr="006B376E" w14:paraId="338D2C07" w14:textId="77777777">
        <w:trPr>
          <w:trHeight w:val="165"/>
          <w:jc w:val="center"/>
        </w:trPr>
        <w:tc>
          <w:tcPr>
            <w:tcW w:w="2702" w:type="dxa"/>
          </w:tcPr>
          <w:p w:rsidRPr="00E4389D" w:rsidR="00A31F09" w:rsidP="007B081F" w:rsidRDefault="00A31F09" w14:paraId="5230E68C" w14:textId="77777777">
            <w:pPr>
              <w:spacing w:after="120"/>
              <w:rPr>
                <w:sz w:val="16"/>
                <w:szCs w:val="16"/>
              </w:rPr>
            </w:pPr>
            <w:r w:rsidRPr="00E4389D">
              <w:rPr>
                <w:sz w:val="16"/>
                <w:szCs w:val="16"/>
              </w:rPr>
              <w:t xml:space="preserve"> Mixed Forests</w:t>
            </w:r>
          </w:p>
        </w:tc>
        <w:tc>
          <w:tcPr>
            <w:tcW w:w="1083" w:type="dxa"/>
          </w:tcPr>
          <w:p w:rsidRPr="00E4389D" w:rsidR="00A31F09" w:rsidP="007B081F" w:rsidRDefault="00A31F09" w14:paraId="390960D3" w14:textId="77777777">
            <w:pPr>
              <w:spacing w:after="120"/>
              <w:rPr>
                <w:sz w:val="16"/>
                <w:szCs w:val="16"/>
              </w:rPr>
            </w:pPr>
            <w:r w:rsidRPr="00E4389D">
              <w:rPr>
                <w:sz w:val="16"/>
                <w:szCs w:val="16"/>
              </w:rPr>
              <w:t>MF</w:t>
            </w:r>
          </w:p>
        </w:tc>
        <w:tc>
          <w:tcPr>
            <w:tcW w:w="1263" w:type="dxa"/>
          </w:tcPr>
          <w:p w:rsidRPr="00E4389D" w:rsidR="00A31F09" w:rsidP="007B081F" w:rsidRDefault="00A31F09" w14:paraId="37D461EF" w14:textId="77777777">
            <w:pPr>
              <w:spacing w:after="120"/>
              <w:rPr>
                <w:sz w:val="16"/>
                <w:szCs w:val="16"/>
              </w:rPr>
            </w:pPr>
            <w:r w:rsidRPr="00E4389D">
              <w:rPr>
                <w:sz w:val="16"/>
                <w:szCs w:val="16"/>
              </w:rPr>
              <w:t>9</w:t>
            </w:r>
          </w:p>
        </w:tc>
        <w:tc>
          <w:tcPr>
            <w:tcW w:w="1805" w:type="dxa"/>
          </w:tcPr>
          <w:p w:rsidRPr="00E4389D" w:rsidR="00A31F09" w:rsidP="007B081F" w:rsidRDefault="00A31F09" w14:paraId="69BDDB26" w14:textId="77777777">
            <w:pPr>
              <w:spacing w:after="120"/>
              <w:rPr>
                <w:sz w:val="16"/>
                <w:szCs w:val="16"/>
              </w:rPr>
            </w:pPr>
            <w:r w:rsidRPr="00E4389D">
              <w:rPr>
                <w:sz w:val="16"/>
                <w:szCs w:val="16"/>
              </w:rPr>
              <w:t>7272</w:t>
            </w:r>
          </w:p>
        </w:tc>
      </w:tr>
      <w:tr w:rsidR="00A31F09" w:rsidTr="006B376E" w14:paraId="54616E0D" w14:textId="77777777">
        <w:trPr>
          <w:trHeight w:val="171"/>
          <w:jc w:val="center"/>
        </w:trPr>
        <w:tc>
          <w:tcPr>
            <w:tcW w:w="2702" w:type="dxa"/>
          </w:tcPr>
          <w:p w:rsidRPr="00E4389D" w:rsidR="00A31F09" w:rsidP="007B081F" w:rsidRDefault="00A31F09" w14:paraId="49DEDF9C" w14:textId="77777777">
            <w:pPr>
              <w:spacing w:after="120"/>
              <w:rPr>
                <w:sz w:val="16"/>
                <w:szCs w:val="16"/>
              </w:rPr>
            </w:pPr>
            <w:r w:rsidRPr="00E4389D">
              <w:rPr>
                <w:sz w:val="16"/>
                <w:szCs w:val="16"/>
              </w:rPr>
              <w:t>Evergreen Needleleaf Forests</w:t>
            </w:r>
          </w:p>
        </w:tc>
        <w:tc>
          <w:tcPr>
            <w:tcW w:w="1083" w:type="dxa"/>
          </w:tcPr>
          <w:p w:rsidRPr="00E4389D" w:rsidR="00A31F09" w:rsidP="007B081F" w:rsidRDefault="00A31F09" w14:paraId="06354010" w14:textId="77777777">
            <w:pPr>
              <w:spacing w:after="120"/>
              <w:rPr>
                <w:sz w:val="16"/>
                <w:szCs w:val="16"/>
              </w:rPr>
            </w:pPr>
            <w:r w:rsidRPr="00E4389D">
              <w:rPr>
                <w:sz w:val="16"/>
                <w:szCs w:val="16"/>
              </w:rPr>
              <w:t>ENF</w:t>
            </w:r>
          </w:p>
        </w:tc>
        <w:tc>
          <w:tcPr>
            <w:tcW w:w="1263" w:type="dxa"/>
          </w:tcPr>
          <w:p w:rsidRPr="00E4389D" w:rsidR="00A31F09" w:rsidP="007B081F" w:rsidRDefault="00A31F09" w14:paraId="43E757DD" w14:textId="77777777">
            <w:pPr>
              <w:spacing w:after="120"/>
              <w:rPr>
                <w:sz w:val="16"/>
                <w:szCs w:val="16"/>
              </w:rPr>
            </w:pPr>
            <w:r w:rsidRPr="00E4389D">
              <w:rPr>
                <w:sz w:val="16"/>
                <w:szCs w:val="16"/>
              </w:rPr>
              <w:t>67</w:t>
            </w:r>
          </w:p>
        </w:tc>
        <w:tc>
          <w:tcPr>
            <w:tcW w:w="1805" w:type="dxa"/>
          </w:tcPr>
          <w:p w:rsidRPr="00E4389D" w:rsidR="00A31F09" w:rsidP="007B081F" w:rsidRDefault="00A31F09" w14:paraId="1D22A004" w14:textId="77777777">
            <w:pPr>
              <w:spacing w:after="120"/>
              <w:rPr>
                <w:sz w:val="16"/>
                <w:szCs w:val="16"/>
              </w:rPr>
            </w:pPr>
            <w:r w:rsidRPr="00E4389D">
              <w:rPr>
                <w:sz w:val="16"/>
                <w:szCs w:val="16"/>
              </w:rPr>
              <w:t>48402</w:t>
            </w:r>
          </w:p>
        </w:tc>
      </w:tr>
      <w:tr w:rsidR="00A31F09" w:rsidTr="006B376E" w14:paraId="3D4E80F0" w14:textId="77777777">
        <w:trPr>
          <w:trHeight w:val="171"/>
          <w:jc w:val="center"/>
        </w:trPr>
        <w:tc>
          <w:tcPr>
            <w:tcW w:w="2702" w:type="dxa"/>
          </w:tcPr>
          <w:p w:rsidRPr="00E4389D" w:rsidR="00A31F09" w:rsidP="007B081F" w:rsidRDefault="00A31F09" w14:paraId="38C7D632" w14:textId="77777777">
            <w:pPr>
              <w:spacing w:after="120"/>
              <w:rPr>
                <w:sz w:val="16"/>
                <w:szCs w:val="16"/>
              </w:rPr>
            </w:pPr>
            <w:r w:rsidRPr="00E4389D">
              <w:rPr>
                <w:sz w:val="16"/>
                <w:szCs w:val="16"/>
              </w:rPr>
              <w:t xml:space="preserve"> Open Shrublands</w:t>
            </w:r>
          </w:p>
        </w:tc>
        <w:tc>
          <w:tcPr>
            <w:tcW w:w="1083" w:type="dxa"/>
          </w:tcPr>
          <w:p w:rsidRPr="00E4389D" w:rsidR="00A31F09" w:rsidP="007B081F" w:rsidRDefault="00A31F09" w14:paraId="6570FE19" w14:textId="77777777">
            <w:pPr>
              <w:spacing w:after="120"/>
              <w:rPr>
                <w:sz w:val="16"/>
                <w:szCs w:val="16"/>
              </w:rPr>
            </w:pPr>
            <w:r w:rsidRPr="00E4389D">
              <w:rPr>
                <w:sz w:val="16"/>
                <w:szCs w:val="16"/>
              </w:rPr>
              <w:t>OSH</w:t>
            </w:r>
          </w:p>
        </w:tc>
        <w:tc>
          <w:tcPr>
            <w:tcW w:w="1263" w:type="dxa"/>
          </w:tcPr>
          <w:p w:rsidRPr="00E4389D" w:rsidR="00A31F09" w:rsidP="007B081F" w:rsidRDefault="00A31F09" w14:paraId="3AD0FF4A" w14:textId="77777777">
            <w:pPr>
              <w:spacing w:after="120"/>
              <w:rPr>
                <w:sz w:val="16"/>
                <w:szCs w:val="16"/>
              </w:rPr>
            </w:pPr>
            <w:r w:rsidRPr="00E4389D">
              <w:rPr>
                <w:sz w:val="16"/>
                <w:szCs w:val="16"/>
              </w:rPr>
              <w:t>25</w:t>
            </w:r>
          </w:p>
        </w:tc>
        <w:tc>
          <w:tcPr>
            <w:tcW w:w="1805" w:type="dxa"/>
          </w:tcPr>
          <w:p w:rsidRPr="00E4389D" w:rsidR="00A31F09" w:rsidP="007B081F" w:rsidRDefault="00A31F09" w14:paraId="7EDE9D89" w14:textId="77777777">
            <w:pPr>
              <w:spacing w:after="120"/>
              <w:rPr>
                <w:sz w:val="16"/>
                <w:szCs w:val="16"/>
              </w:rPr>
            </w:pPr>
            <w:r w:rsidRPr="00E4389D">
              <w:rPr>
                <w:sz w:val="16"/>
                <w:szCs w:val="16"/>
              </w:rPr>
              <w:t>18744</w:t>
            </w:r>
          </w:p>
        </w:tc>
      </w:tr>
      <w:tr w:rsidR="00A31F09" w:rsidTr="006B376E" w14:paraId="14F1F0EB" w14:textId="77777777">
        <w:trPr>
          <w:trHeight w:val="165"/>
          <w:jc w:val="center"/>
        </w:trPr>
        <w:tc>
          <w:tcPr>
            <w:tcW w:w="2702" w:type="dxa"/>
          </w:tcPr>
          <w:p w:rsidRPr="00E4389D" w:rsidR="00A31F09" w:rsidP="007B081F" w:rsidRDefault="00A31F09" w14:paraId="07B54DE2" w14:textId="77777777">
            <w:pPr>
              <w:spacing w:after="120"/>
              <w:rPr>
                <w:sz w:val="16"/>
                <w:szCs w:val="16"/>
              </w:rPr>
            </w:pPr>
            <w:r w:rsidRPr="00E4389D">
              <w:rPr>
                <w:sz w:val="16"/>
                <w:szCs w:val="16"/>
              </w:rPr>
              <w:t>Cropland/Natural Vegetation Mosaics</w:t>
            </w:r>
          </w:p>
        </w:tc>
        <w:tc>
          <w:tcPr>
            <w:tcW w:w="1083" w:type="dxa"/>
          </w:tcPr>
          <w:p w:rsidRPr="00E4389D" w:rsidR="00A31F09" w:rsidP="007B081F" w:rsidRDefault="00A31F09" w14:paraId="517990A5" w14:textId="77777777">
            <w:pPr>
              <w:spacing w:after="120"/>
              <w:rPr>
                <w:sz w:val="16"/>
                <w:szCs w:val="16"/>
              </w:rPr>
            </w:pPr>
            <w:r w:rsidRPr="00E4389D">
              <w:rPr>
                <w:sz w:val="16"/>
                <w:szCs w:val="16"/>
              </w:rPr>
              <w:t>CVM</w:t>
            </w:r>
          </w:p>
        </w:tc>
        <w:tc>
          <w:tcPr>
            <w:tcW w:w="1263" w:type="dxa"/>
          </w:tcPr>
          <w:p w:rsidRPr="00E4389D" w:rsidR="00A31F09" w:rsidP="007B081F" w:rsidRDefault="00A31F09" w14:paraId="3FAEF6F6" w14:textId="77777777">
            <w:pPr>
              <w:spacing w:after="120"/>
              <w:rPr>
                <w:sz w:val="16"/>
                <w:szCs w:val="16"/>
              </w:rPr>
            </w:pPr>
            <w:r w:rsidRPr="00E4389D">
              <w:rPr>
                <w:sz w:val="16"/>
                <w:szCs w:val="16"/>
              </w:rPr>
              <w:t>1</w:t>
            </w:r>
          </w:p>
        </w:tc>
        <w:tc>
          <w:tcPr>
            <w:tcW w:w="1805" w:type="dxa"/>
          </w:tcPr>
          <w:p w:rsidRPr="00E4389D" w:rsidR="00A31F09" w:rsidP="007B081F" w:rsidRDefault="00A31F09" w14:paraId="36452039" w14:textId="77777777">
            <w:pPr>
              <w:spacing w:after="120"/>
              <w:rPr>
                <w:sz w:val="16"/>
                <w:szCs w:val="16"/>
              </w:rPr>
            </w:pPr>
            <w:r w:rsidRPr="00E4389D">
              <w:rPr>
                <w:sz w:val="16"/>
                <w:szCs w:val="16"/>
              </w:rPr>
              <w:t>270</w:t>
            </w:r>
          </w:p>
        </w:tc>
      </w:tr>
      <w:tr w:rsidR="00A31F09" w:rsidTr="006B376E" w14:paraId="07408121" w14:textId="77777777">
        <w:trPr>
          <w:trHeight w:val="171"/>
          <w:jc w:val="center"/>
        </w:trPr>
        <w:tc>
          <w:tcPr>
            <w:tcW w:w="2702" w:type="dxa"/>
          </w:tcPr>
          <w:p w:rsidRPr="00E4389D" w:rsidR="00A31F09" w:rsidP="007B081F" w:rsidRDefault="00A31F09" w14:paraId="20B4226B" w14:textId="77777777">
            <w:pPr>
              <w:spacing w:after="120"/>
              <w:rPr>
                <w:sz w:val="16"/>
                <w:szCs w:val="16"/>
              </w:rPr>
            </w:pPr>
            <w:r w:rsidRPr="00E4389D">
              <w:rPr>
                <w:sz w:val="16"/>
                <w:szCs w:val="16"/>
              </w:rPr>
              <w:t>Permanent Wetlands</w:t>
            </w:r>
          </w:p>
        </w:tc>
        <w:tc>
          <w:tcPr>
            <w:tcW w:w="1083" w:type="dxa"/>
          </w:tcPr>
          <w:p w:rsidRPr="00E4389D" w:rsidR="00A31F09" w:rsidP="007B081F" w:rsidRDefault="00A31F09" w14:paraId="39991B71" w14:textId="77777777">
            <w:pPr>
              <w:spacing w:after="120"/>
              <w:rPr>
                <w:sz w:val="16"/>
                <w:szCs w:val="16"/>
              </w:rPr>
            </w:pPr>
            <w:r w:rsidRPr="00E4389D">
              <w:rPr>
                <w:sz w:val="16"/>
                <w:szCs w:val="16"/>
              </w:rPr>
              <w:t>WET</w:t>
            </w:r>
          </w:p>
        </w:tc>
        <w:tc>
          <w:tcPr>
            <w:tcW w:w="1263" w:type="dxa"/>
          </w:tcPr>
          <w:p w:rsidRPr="00E4389D" w:rsidR="00A31F09" w:rsidP="007B081F" w:rsidRDefault="00A31F09" w14:paraId="41BE9D36" w14:textId="77777777">
            <w:pPr>
              <w:spacing w:after="120"/>
              <w:rPr>
                <w:sz w:val="16"/>
                <w:szCs w:val="16"/>
              </w:rPr>
            </w:pPr>
            <w:r w:rsidRPr="00E4389D">
              <w:rPr>
                <w:sz w:val="16"/>
                <w:szCs w:val="16"/>
              </w:rPr>
              <w:t>29</w:t>
            </w:r>
          </w:p>
        </w:tc>
        <w:tc>
          <w:tcPr>
            <w:tcW w:w="1805" w:type="dxa"/>
          </w:tcPr>
          <w:p w:rsidRPr="00E4389D" w:rsidR="00A31F09" w:rsidP="007B081F" w:rsidRDefault="00A31F09" w14:paraId="48A1EE51" w14:textId="77777777">
            <w:pPr>
              <w:spacing w:after="120"/>
              <w:rPr>
                <w:sz w:val="16"/>
                <w:szCs w:val="16"/>
              </w:rPr>
            </w:pPr>
            <w:r w:rsidRPr="00E4389D">
              <w:rPr>
                <w:sz w:val="16"/>
                <w:szCs w:val="16"/>
              </w:rPr>
              <w:t>17134</w:t>
            </w:r>
          </w:p>
        </w:tc>
      </w:tr>
      <w:tr w:rsidR="00A31F09" w:rsidTr="006B376E" w14:paraId="56CAF4A6" w14:textId="77777777">
        <w:trPr>
          <w:trHeight w:val="171"/>
          <w:jc w:val="center"/>
        </w:trPr>
        <w:tc>
          <w:tcPr>
            <w:tcW w:w="2702" w:type="dxa"/>
          </w:tcPr>
          <w:p w:rsidRPr="00E4389D" w:rsidR="00A31F09" w:rsidP="007B081F" w:rsidRDefault="00A31F09" w14:paraId="50A69173" w14:textId="77777777">
            <w:pPr>
              <w:spacing w:after="120"/>
              <w:rPr>
                <w:sz w:val="16"/>
                <w:szCs w:val="16"/>
              </w:rPr>
            </w:pPr>
            <w:r w:rsidRPr="00E4389D">
              <w:rPr>
                <w:sz w:val="16"/>
                <w:szCs w:val="16"/>
              </w:rPr>
              <w:t>Woody Savannas</w:t>
            </w:r>
          </w:p>
        </w:tc>
        <w:tc>
          <w:tcPr>
            <w:tcW w:w="1083" w:type="dxa"/>
          </w:tcPr>
          <w:p w:rsidRPr="00E4389D" w:rsidR="00A31F09" w:rsidP="007B081F" w:rsidRDefault="00A31F09" w14:paraId="2126C70A" w14:textId="77777777">
            <w:pPr>
              <w:spacing w:after="120"/>
              <w:rPr>
                <w:sz w:val="16"/>
                <w:szCs w:val="16"/>
              </w:rPr>
            </w:pPr>
            <w:r w:rsidRPr="00E4389D">
              <w:rPr>
                <w:sz w:val="16"/>
                <w:szCs w:val="16"/>
              </w:rPr>
              <w:t>WSA</w:t>
            </w:r>
          </w:p>
        </w:tc>
        <w:tc>
          <w:tcPr>
            <w:tcW w:w="1263" w:type="dxa"/>
          </w:tcPr>
          <w:p w:rsidRPr="00E4389D" w:rsidR="00A31F09" w:rsidP="007B081F" w:rsidRDefault="00A31F09" w14:paraId="67AE9170" w14:textId="77777777">
            <w:pPr>
              <w:spacing w:after="120"/>
              <w:rPr>
                <w:sz w:val="16"/>
                <w:szCs w:val="16"/>
              </w:rPr>
            </w:pPr>
            <w:r w:rsidRPr="00E4389D">
              <w:rPr>
                <w:sz w:val="16"/>
                <w:szCs w:val="16"/>
              </w:rPr>
              <w:t>4</w:t>
            </w:r>
          </w:p>
        </w:tc>
        <w:tc>
          <w:tcPr>
            <w:tcW w:w="1805" w:type="dxa"/>
          </w:tcPr>
          <w:p w:rsidRPr="00E4389D" w:rsidR="00A31F09" w:rsidP="007B081F" w:rsidRDefault="00A31F09" w14:paraId="2F0E687B" w14:textId="77777777">
            <w:pPr>
              <w:spacing w:after="120"/>
              <w:rPr>
                <w:sz w:val="16"/>
                <w:szCs w:val="16"/>
              </w:rPr>
            </w:pPr>
            <w:r w:rsidRPr="00E4389D">
              <w:rPr>
                <w:sz w:val="16"/>
                <w:szCs w:val="16"/>
              </w:rPr>
              <w:t>12756</w:t>
            </w:r>
          </w:p>
        </w:tc>
      </w:tr>
      <w:tr w:rsidR="00A31F09" w:rsidTr="006B376E" w14:paraId="63F76FDD" w14:textId="77777777">
        <w:trPr>
          <w:trHeight w:val="165"/>
          <w:jc w:val="center"/>
        </w:trPr>
        <w:tc>
          <w:tcPr>
            <w:tcW w:w="2702" w:type="dxa"/>
          </w:tcPr>
          <w:p w:rsidRPr="00E4389D" w:rsidR="00A31F09" w:rsidP="007B081F" w:rsidRDefault="00A31F09" w14:paraId="43186676" w14:textId="77777777">
            <w:pPr>
              <w:spacing w:after="120"/>
              <w:rPr>
                <w:sz w:val="16"/>
                <w:szCs w:val="16"/>
              </w:rPr>
            </w:pPr>
            <w:r w:rsidRPr="00E4389D">
              <w:rPr>
                <w:sz w:val="16"/>
                <w:szCs w:val="16"/>
              </w:rPr>
              <w:t>Deciduous Broadleaf Forests</w:t>
            </w:r>
          </w:p>
        </w:tc>
        <w:tc>
          <w:tcPr>
            <w:tcW w:w="1083" w:type="dxa"/>
          </w:tcPr>
          <w:p w:rsidRPr="00E4389D" w:rsidR="00A31F09" w:rsidP="007B081F" w:rsidRDefault="00A31F09" w14:paraId="1A1F94C3" w14:textId="77777777">
            <w:pPr>
              <w:spacing w:after="120"/>
              <w:rPr>
                <w:sz w:val="16"/>
                <w:szCs w:val="16"/>
              </w:rPr>
            </w:pPr>
            <w:r w:rsidRPr="00E4389D">
              <w:rPr>
                <w:sz w:val="16"/>
                <w:szCs w:val="16"/>
              </w:rPr>
              <w:t>DBF</w:t>
            </w:r>
          </w:p>
        </w:tc>
        <w:tc>
          <w:tcPr>
            <w:tcW w:w="1263" w:type="dxa"/>
          </w:tcPr>
          <w:p w:rsidRPr="00E4389D" w:rsidR="00A31F09" w:rsidP="007B081F" w:rsidRDefault="00A31F09" w14:paraId="489AB2CA" w14:textId="77777777">
            <w:pPr>
              <w:spacing w:after="120"/>
              <w:rPr>
                <w:sz w:val="16"/>
                <w:szCs w:val="16"/>
              </w:rPr>
            </w:pPr>
            <w:r w:rsidRPr="00E4389D">
              <w:rPr>
                <w:sz w:val="16"/>
                <w:szCs w:val="16"/>
              </w:rPr>
              <w:t>38</w:t>
            </w:r>
          </w:p>
        </w:tc>
        <w:tc>
          <w:tcPr>
            <w:tcW w:w="1805" w:type="dxa"/>
          </w:tcPr>
          <w:p w:rsidRPr="00E4389D" w:rsidR="00A31F09" w:rsidP="007B081F" w:rsidRDefault="00A31F09" w14:paraId="71C9C0D4" w14:textId="77777777">
            <w:pPr>
              <w:spacing w:after="120"/>
              <w:rPr>
                <w:sz w:val="16"/>
                <w:szCs w:val="16"/>
              </w:rPr>
            </w:pPr>
            <w:r w:rsidRPr="00E4389D">
              <w:rPr>
                <w:sz w:val="16"/>
                <w:szCs w:val="16"/>
              </w:rPr>
              <w:t>31851</w:t>
            </w:r>
          </w:p>
        </w:tc>
      </w:tr>
      <w:tr w:rsidR="00A31F09" w:rsidTr="006B376E" w14:paraId="598EED83" w14:textId="77777777">
        <w:trPr>
          <w:trHeight w:val="171"/>
          <w:jc w:val="center"/>
        </w:trPr>
        <w:tc>
          <w:tcPr>
            <w:tcW w:w="2702" w:type="dxa"/>
          </w:tcPr>
          <w:p w:rsidRPr="00E4389D" w:rsidR="00A31F09" w:rsidP="007B081F" w:rsidRDefault="00A31F09" w14:paraId="268B4BE0" w14:textId="77777777">
            <w:pPr>
              <w:spacing w:after="120"/>
              <w:rPr>
                <w:sz w:val="16"/>
                <w:szCs w:val="16"/>
              </w:rPr>
            </w:pPr>
            <w:r w:rsidRPr="00E4389D">
              <w:rPr>
                <w:sz w:val="16"/>
                <w:szCs w:val="16"/>
              </w:rPr>
              <w:t>Croplands</w:t>
            </w:r>
          </w:p>
        </w:tc>
        <w:tc>
          <w:tcPr>
            <w:tcW w:w="1083" w:type="dxa"/>
          </w:tcPr>
          <w:p w:rsidRPr="00E4389D" w:rsidR="00A31F09" w:rsidP="007B081F" w:rsidRDefault="00A31F09" w14:paraId="48EA9B01" w14:textId="77777777">
            <w:pPr>
              <w:spacing w:after="120"/>
              <w:rPr>
                <w:sz w:val="16"/>
                <w:szCs w:val="16"/>
              </w:rPr>
            </w:pPr>
            <w:r w:rsidRPr="00E4389D">
              <w:rPr>
                <w:sz w:val="16"/>
                <w:szCs w:val="16"/>
              </w:rPr>
              <w:t>CRO</w:t>
            </w:r>
          </w:p>
        </w:tc>
        <w:tc>
          <w:tcPr>
            <w:tcW w:w="1263" w:type="dxa"/>
          </w:tcPr>
          <w:p w:rsidRPr="00E4389D" w:rsidR="00A31F09" w:rsidP="007B081F" w:rsidRDefault="00A31F09" w14:paraId="6B494BE7" w14:textId="77777777">
            <w:pPr>
              <w:spacing w:after="120"/>
              <w:rPr>
                <w:sz w:val="16"/>
                <w:szCs w:val="16"/>
              </w:rPr>
            </w:pPr>
            <w:r w:rsidRPr="00E4389D">
              <w:rPr>
                <w:sz w:val="16"/>
                <w:szCs w:val="16"/>
              </w:rPr>
              <w:t>38</w:t>
            </w:r>
          </w:p>
        </w:tc>
        <w:tc>
          <w:tcPr>
            <w:tcW w:w="1805" w:type="dxa"/>
          </w:tcPr>
          <w:p w:rsidRPr="00E4389D" w:rsidR="00A31F09" w:rsidP="007B081F" w:rsidRDefault="00A31F09" w14:paraId="75F1D540" w14:textId="77777777">
            <w:pPr>
              <w:spacing w:after="120"/>
              <w:rPr>
                <w:sz w:val="16"/>
                <w:szCs w:val="16"/>
              </w:rPr>
            </w:pPr>
            <w:r w:rsidRPr="00E4389D">
              <w:rPr>
                <w:sz w:val="16"/>
                <w:szCs w:val="16"/>
              </w:rPr>
              <w:t>24540</w:t>
            </w:r>
          </w:p>
        </w:tc>
      </w:tr>
      <w:tr w:rsidR="00A31F09" w:rsidTr="006B376E" w14:paraId="5456B74B" w14:textId="77777777">
        <w:trPr>
          <w:trHeight w:val="171"/>
          <w:jc w:val="center"/>
        </w:trPr>
        <w:tc>
          <w:tcPr>
            <w:tcW w:w="2702" w:type="dxa"/>
          </w:tcPr>
          <w:p w:rsidRPr="00E4389D" w:rsidR="00A31F09" w:rsidP="007B081F" w:rsidRDefault="00A31F09" w14:paraId="5B3A9EC5" w14:textId="77777777">
            <w:pPr>
              <w:spacing w:after="120"/>
              <w:rPr>
                <w:sz w:val="16"/>
                <w:szCs w:val="16"/>
              </w:rPr>
            </w:pPr>
            <w:r w:rsidRPr="00E4389D">
              <w:rPr>
                <w:sz w:val="16"/>
                <w:szCs w:val="16"/>
              </w:rPr>
              <w:t>Evergreen Broadleaf Forests</w:t>
            </w:r>
          </w:p>
        </w:tc>
        <w:tc>
          <w:tcPr>
            <w:tcW w:w="1083" w:type="dxa"/>
          </w:tcPr>
          <w:p w:rsidRPr="00E4389D" w:rsidR="00A31F09" w:rsidP="007B081F" w:rsidRDefault="00A31F09" w14:paraId="72E9BFC8" w14:textId="77777777">
            <w:pPr>
              <w:spacing w:after="120"/>
              <w:rPr>
                <w:sz w:val="16"/>
                <w:szCs w:val="16"/>
              </w:rPr>
            </w:pPr>
            <w:r w:rsidRPr="00E4389D">
              <w:rPr>
                <w:sz w:val="16"/>
                <w:szCs w:val="16"/>
              </w:rPr>
              <w:t>EBF</w:t>
            </w:r>
          </w:p>
        </w:tc>
        <w:tc>
          <w:tcPr>
            <w:tcW w:w="1263" w:type="dxa"/>
          </w:tcPr>
          <w:p w:rsidRPr="00E4389D" w:rsidR="00A31F09" w:rsidP="007B081F" w:rsidRDefault="00A31F09" w14:paraId="0C6F6228" w14:textId="77777777">
            <w:pPr>
              <w:spacing w:after="120"/>
              <w:rPr>
                <w:sz w:val="16"/>
                <w:szCs w:val="16"/>
              </w:rPr>
            </w:pPr>
            <w:r w:rsidRPr="00E4389D">
              <w:rPr>
                <w:sz w:val="16"/>
                <w:szCs w:val="16"/>
              </w:rPr>
              <w:t>6</w:t>
            </w:r>
          </w:p>
        </w:tc>
        <w:tc>
          <w:tcPr>
            <w:tcW w:w="1805" w:type="dxa"/>
          </w:tcPr>
          <w:p w:rsidRPr="00E4389D" w:rsidR="00A31F09" w:rsidP="007B081F" w:rsidRDefault="00A31F09" w14:paraId="28154DCF" w14:textId="77777777">
            <w:pPr>
              <w:spacing w:after="120"/>
              <w:rPr>
                <w:sz w:val="16"/>
                <w:szCs w:val="16"/>
              </w:rPr>
            </w:pPr>
            <w:r w:rsidRPr="00E4389D">
              <w:rPr>
                <w:sz w:val="16"/>
                <w:szCs w:val="16"/>
              </w:rPr>
              <w:t>4337</w:t>
            </w:r>
          </w:p>
        </w:tc>
      </w:tr>
      <w:tr w:rsidR="00A31F09" w:rsidTr="006B376E" w14:paraId="02A51827" w14:textId="77777777">
        <w:trPr>
          <w:trHeight w:val="165"/>
          <w:jc w:val="center"/>
        </w:trPr>
        <w:tc>
          <w:tcPr>
            <w:tcW w:w="2702" w:type="dxa"/>
          </w:tcPr>
          <w:p w:rsidRPr="00E4389D" w:rsidR="00A31F09" w:rsidP="007B081F" w:rsidRDefault="00A31F09" w14:paraId="1DC2A1D3" w14:textId="77777777">
            <w:pPr>
              <w:spacing w:after="120"/>
              <w:rPr>
                <w:sz w:val="16"/>
                <w:szCs w:val="16"/>
              </w:rPr>
            </w:pPr>
            <w:r w:rsidRPr="00E4389D">
              <w:rPr>
                <w:sz w:val="16"/>
                <w:szCs w:val="16"/>
              </w:rPr>
              <w:t>Closed Shrublands</w:t>
            </w:r>
          </w:p>
        </w:tc>
        <w:tc>
          <w:tcPr>
            <w:tcW w:w="1083" w:type="dxa"/>
          </w:tcPr>
          <w:p w:rsidRPr="00E4389D" w:rsidR="00A31F09" w:rsidP="007B081F" w:rsidRDefault="00A31F09" w14:paraId="4EC6CC81" w14:textId="77777777">
            <w:pPr>
              <w:spacing w:after="120"/>
              <w:rPr>
                <w:sz w:val="16"/>
                <w:szCs w:val="16"/>
              </w:rPr>
            </w:pPr>
            <w:r w:rsidRPr="00E4389D">
              <w:rPr>
                <w:sz w:val="16"/>
                <w:szCs w:val="16"/>
              </w:rPr>
              <w:t>CSH</w:t>
            </w:r>
          </w:p>
        </w:tc>
        <w:tc>
          <w:tcPr>
            <w:tcW w:w="1263" w:type="dxa"/>
          </w:tcPr>
          <w:p w:rsidRPr="00E4389D" w:rsidR="00A31F09" w:rsidP="007B081F" w:rsidRDefault="00A31F09" w14:paraId="3BA05B30" w14:textId="77777777">
            <w:pPr>
              <w:spacing w:after="120"/>
              <w:rPr>
                <w:sz w:val="16"/>
                <w:szCs w:val="16"/>
              </w:rPr>
            </w:pPr>
            <w:r w:rsidRPr="00E4389D">
              <w:rPr>
                <w:sz w:val="16"/>
                <w:szCs w:val="16"/>
              </w:rPr>
              <w:t>5</w:t>
            </w:r>
          </w:p>
        </w:tc>
        <w:tc>
          <w:tcPr>
            <w:tcW w:w="1805" w:type="dxa"/>
          </w:tcPr>
          <w:p w:rsidRPr="00E4389D" w:rsidR="00A31F09" w:rsidP="007B081F" w:rsidRDefault="00A31F09" w14:paraId="11D7109D" w14:textId="77777777">
            <w:pPr>
              <w:spacing w:after="120"/>
              <w:rPr>
                <w:sz w:val="16"/>
                <w:szCs w:val="16"/>
              </w:rPr>
            </w:pPr>
            <w:r w:rsidRPr="00E4389D">
              <w:rPr>
                <w:sz w:val="16"/>
                <w:szCs w:val="16"/>
              </w:rPr>
              <w:t>4285</w:t>
            </w:r>
          </w:p>
        </w:tc>
      </w:tr>
      <w:tr w:rsidR="00A31F09" w:rsidTr="006B376E" w14:paraId="230D71B1" w14:textId="77777777">
        <w:trPr>
          <w:trHeight w:val="45"/>
          <w:jc w:val="center"/>
        </w:trPr>
        <w:tc>
          <w:tcPr>
            <w:tcW w:w="2702" w:type="dxa"/>
          </w:tcPr>
          <w:p w:rsidRPr="00E4389D" w:rsidR="00A31F09" w:rsidP="007B081F" w:rsidRDefault="00A31F09" w14:paraId="129C3DBA" w14:textId="77777777">
            <w:pPr>
              <w:spacing w:after="120"/>
              <w:rPr>
                <w:sz w:val="16"/>
                <w:szCs w:val="16"/>
              </w:rPr>
            </w:pPr>
            <w:r w:rsidRPr="00E4389D">
              <w:rPr>
                <w:sz w:val="16"/>
                <w:szCs w:val="16"/>
              </w:rPr>
              <w:t>Savannas</w:t>
            </w:r>
          </w:p>
        </w:tc>
        <w:tc>
          <w:tcPr>
            <w:tcW w:w="1083" w:type="dxa"/>
          </w:tcPr>
          <w:p w:rsidRPr="00E4389D" w:rsidR="00A31F09" w:rsidP="007B081F" w:rsidRDefault="00A31F09" w14:paraId="0EF8CCD6" w14:textId="77777777">
            <w:pPr>
              <w:spacing w:after="120"/>
              <w:rPr>
                <w:sz w:val="16"/>
                <w:szCs w:val="16"/>
              </w:rPr>
            </w:pPr>
            <w:r w:rsidRPr="00E4389D">
              <w:rPr>
                <w:sz w:val="16"/>
                <w:szCs w:val="16"/>
              </w:rPr>
              <w:t>SAV</w:t>
            </w:r>
          </w:p>
        </w:tc>
        <w:tc>
          <w:tcPr>
            <w:tcW w:w="1263" w:type="dxa"/>
          </w:tcPr>
          <w:p w:rsidRPr="00E4389D" w:rsidR="00A31F09" w:rsidP="007B081F" w:rsidRDefault="00A31F09" w14:paraId="79D6E410" w14:textId="77777777">
            <w:pPr>
              <w:spacing w:after="120"/>
              <w:rPr>
                <w:sz w:val="16"/>
                <w:szCs w:val="16"/>
              </w:rPr>
            </w:pPr>
            <w:r w:rsidRPr="00E4389D">
              <w:rPr>
                <w:sz w:val="16"/>
                <w:szCs w:val="16"/>
              </w:rPr>
              <w:t>5</w:t>
            </w:r>
          </w:p>
        </w:tc>
        <w:tc>
          <w:tcPr>
            <w:tcW w:w="1805" w:type="dxa"/>
          </w:tcPr>
          <w:p w:rsidRPr="00E4389D" w:rsidR="00A31F09" w:rsidP="007B081F" w:rsidRDefault="00A31F09" w14:paraId="43F82E1A" w14:textId="77777777">
            <w:pPr>
              <w:spacing w:after="120"/>
              <w:rPr>
                <w:sz w:val="16"/>
                <w:szCs w:val="16"/>
              </w:rPr>
            </w:pPr>
            <w:r w:rsidRPr="00E4389D">
              <w:rPr>
                <w:sz w:val="16"/>
                <w:szCs w:val="16"/>
              </w:rPr>
              <w:t>5771</w:t>
            </w:r>
          </w:p>
        </w:tc>
      </w:tr>
      <w:tr w:rsidR="00A31F09" w:rsidTr="006B376E" w14:paraId="60649A14" w14:textId="77777777">
        <w:trPr>
          <w:trHeight w:val="45"/>
          <w:jc w:val="center"/>
        </w:trPr>
        <w:tc>
          <w:tcPr>
            <w:tcW w:w="2702" w:type="dxa"/>
          </w:tcPr>
          <w:p w:rsidRPr="00E4389D" w:rsidR="00A31F09" w:rsidP="007B081F" w:rsidRDefault="00A31F09" w14:paraId="55CF4966" w14:textId="77777777">
            <w:pPr>
              <w:spacing w:after="120"/>
              <w:rPr>
                <w:sz w:val="16"/>
                <w:szCs w:val="16"/>
              </w:rPr>
            </w:pPr>
            <w:r w:rsidRPr="00E4389D">
              <w:rPr>
                <w:sz w:val="16"/>
                <w:szCs w:val="16"/>
              </w:rPr>
              <w:t>Snow and Ice</w:t>
            </w:r>
          </w:p>
        </w:tc>
        <w:tc>
          <w:tcPr>
            <w:tcW w:w="1083" w:type="dxa"/>
          </w:tcPr>
          <w:p w:rsidRPr="00E4389D" w:rsidR="00A31F09" w:rsidP="007B081F" w:rsidRDefault="00A31F09" w14:paraId="0C3FAD71" w14:textId="77777777">
            <w:pPr>
              <w:spacing w:after="120"/>
              <w:rPr>
                <w:sz w:val="16"/>
                <w:szCs w:val="16"/>
              </w:rPr>
            </w:pPr>
            <w:r w:rsidRPr="00E4389D">
              <w:rPr>
                <w:sz w:val="16"/>
                <w:szCs w:val="16"/>
              </w:rPr>
              <w:t>SNO</w:t>
            </w:r>
          </w:p>
        </w:tc>
        <w:tc>
          <w:tcPr>
            <w:tcW w:w="1263" w:type="dxa"/>
          </w:tcPr>
          <w:p w:rsidRPr="00E4389D" w:rsidR="00A31F09" w:rsidP="007B081F" w:rsidRDefault="00A31F09" w14:paraId="01ED844C" w14:textId="77777777">
            <w:pPr>
              <w:spacing w:after="120"/>
              <w:rPr>
                <w:sz w:val="16"/>
                <w:szCs w:val="16"/>
              </w:rPr>
            </w:pPr>
            <w:r w:rsidRPr="00E4389D">
              <w:rPr>
                <w:sz w:val="16"/>
                <w:szCs w:val="16"/>
              </w:rPr>
              <w:t>1</w:t>
            </w:r>
          </w:p>
        </w:tc>
        <w:tc>
          <w:tcPr>
            <w:tcW w:w="1805" w:type="dxa"/>
          </w:tcPr>
          <w:p w:rsidRPr="00E4389D" w:rsidR="00A31F09" w:rsidP="007B081F" w:rsidRDefault="00A31F09" w14:paraId="0FF90C96" w14:textId="77777777">
            <w:pPr>
              <w:spacing w:after="120"/>
              <w:rPr>
                <w:sz w:val="16"/>
                <w:szCs w:val="16"/>
              </w:rPr>
            </w:pPr>
            <w:r w:rsidRPr="00E4389D">
              <w:rPr>
                <w:sz w:val="16"/>
                <w:szCs w:val="16"/>
              </w:rPr>
              <w:t>221</w:t>
            </w:r>
          </w:p>
        </w:tc>
      </w:tr>
    </w:tbl>
    <w:p w:rsidR="00A31F09" w:rsidP="00A31F09" w:rsidRDefault="00A31F09" w14:paraId="24F1139B" w14:textId="0E77DBF8">
      <w:pPr>
        <w:spacing w:after="120"/>
      </w:pPr>
    </w:p>
    <w:p w:rsidRPr="00A31F09" w:rsidR="00A31F09" w:rsidP="00A31F09" w:rsidRDefault="00A31F09" w14:paraId="7DF8A1AC" w14:textId="0AD66A0C">
      <w:pPr>
        <w:spacing w:after="120"/>
        <w:rPr/>
      </w:pPr>
      <w:r w:rsidRPr="00A31F09" w:rsidR="18B19F77">
        <w:rPr/>
        <w:t xml:space="preserve">To calculate the maximum </w:t>
      </w:r>
      <w:r w:rsidRPr="00A31F09" w:rsidR="18B19F77">
        <w:rPr/>
        <w:t xml:space="preserve">LUEmax</w:t>
      </w:r>
      <w:r w:rsidRPr="00A31F09" w:rsidR="18B19F77">
        <w:rPr/>
        <w:t xml:space="preserve"> for each site, we first calculated the daily </w:t>
      </w:r>
      <w:r w:rsidR="18B19F77">
        <w:rPr/>
        <w:t>LUE</w:t>
      </w:r>
      <w:r w:rsidRPr="00A31F09" w:rsidR="18B19F77">
        <w:rPr/>
        <w:t xml:space="preserve"> </w:t>
      </w:r>
      <w:r w:rsidR="18B19F77">
        <w:rPr/>
        <w:t xml:space="preserve">as: </w:t>
      </w:r>
      <m:oMath>
        <m:r>
          <w:rPr>
            <w:rFonts w:ascii="Cambria Math" w:hAnsi="Cambria Math"/>
          </w:rPr>
          <m:t xml:space="preserve">LUE = </m:t>
        </m:r>
        <m:f>
          <m:fPr>
            <m:type m:val="lin"/>
            <m:ctrlPr>
              <w:rPr>
                <w:rFonts w:ascii="Cambria Math" w:hAnsi="Cambria Math"/>
                <w:i/>
              </w:rPr>
            </m:ctrlPr>
          </m:fPr>
          <m:num>
            <m:r>
              <w:rPr>
                <w:rFonts w:ascii="Cambria Math" w:hAnsi="Cambria Math"/>
              </w:rPr>
              <m:t>GPP</m:t>
            </m:r>
          </m:num>
          <m:den>
            <m:r>
              <w:rPr>
                <w:rFonts w:ascii="Cambria Math" w:hAnsi="Cambria Math"/>
              </w:rPr>
              <m:t>PAR∙fPAR</m:t>
            </m:r>
          </m:den>
        </m:f>
      </m:oMath>
      <w:r w:rsidRPr="659C6AC8" w:rsidR="18B19F77">
        <w:rPr>
          <w:rFonts w:eastAsia="" w:eastAsiaTheme="minorEastAsia"/>
        </w:rPr>
        <w:t xml:space="preserve">.</w:t>
      </w:r>
      <w:r w:rsidRPr="659C6AC8" w:rsidR="2B1E7D5A">
        <w:rPr>
          <w:rFonts w:eastAsia="" w:eastAsiaTheme="minorEastAsia"/>
        </w:rPr>
        <w:t xml:space="preserve"> </w:t>
      </w:r>
      <w:r w:rsidR="18B19F77">
        <w:rPr/>
        <w:t xml:space="preserve">We then </w:t>
      </w:r>
      <w:r w:rsidR="18B19F77">
        <w:rPr/>
        <w:t>identified</w:t>
      </w:r>
      <w:r w:rsidR="18B19F77">
        <w:rPr/>
        <w:t xml:space="preserve"> the annual </w:t>
      </w:r>
      <w:r w:rsidR="18B19F77">
        <w:rPr/>
        <w:t>maximum</w:t>
      </w:r>
      <w:r w:rsidR="18B19F77">
        <w:rPr/>
        <w:t xml:space="preserve"> LUE value for each site by looking for the day within a year where the daily LUE was highest. If a site had data for multiple years, we took the median of the annual </w:t>
      </w:r>
      <w:r w:rsidR="18B19F77">
        <w:rPr/>
        <w:t>maximum</w:t>
      </w:r>
      <w:r w:rsidR="18B19F77">
        <w:rPr/>
        <w:t xml:space="preserve"> LUE values as the </w:t>
      </w:r>
      <w:r w:rsidR="18B19F77">
        <w:rPr/>
        <w:t>LUE</w:t>
      </w:r>
      <w:r w:rsidRPr="00A31F09" w:rsidR="18B19F77">
        <w:rPr>
          <w:vertAlign w:val="subscript"/>
        </w:rPr>
        <w:t>max</w:t>
      </w:r>
      <w:r w:rsidR="18B19F77">
        <w:rPr/>
        <w:t xml:space="preserve"> for that site.</w:t>
      </w:r>
      <w:r w:rsidR="18B19F77">
        <w:rPr/>
        <w:t xml:space="preserve"> </w:t>
      </w:r>
      <w:r w:rsidR="18B19F77">
        <w:rPr/>
        <w:t xml:space="preserve">We used Equation 3 to calculate the fraction of absorbed radiation that escapes the </w:t>
      </w:r>
      <w:r w:rsidR="18B19F77">
        <w:rPr/>
        <w:t>canopy (</w:t>
      </w:r>
      <w:r w:rsidR="18B19F77">
        <w:rPr/>
        <w:t>fesc</w:t>
      </w:r>
      <w:r w:rsidR="18B19F77">
        <w:rPr/>
        <w:t xml:space="preserve">) and chose the </w:t>
      </w:r>
      <w:r w:rsidR="18B19F77">
        <w:rPr/>
        <w:t>fesc</w:t>
      </w:r>
      <w:r w:rsidR="18B19F77">
        <w:rPr/>
        <w:t xml:space="preserve"> values corresponding to the days when the LUE was at its maximum.</w:t>
      </w:r>
      <w:r w:rsidR="18B19F77">
        <w:rPr/>
        <w:t xml:space="preserve"> </w:t>
      </w:r>
      <w:r w:rsidR="18B19F77">
        <w:rPr/>
        <w:t xml:space="preserve">Five sites showed </w:t>
      </w:r>
      <w:r w:rsidR="18B19F77">
        <w:rPr/>
        <w:t>fesc</w:t>
      </w:r>
      <w:r w:rsidR="18B19F77">
        <w:rPr/>
        <w:t xml:space="preserve"> values exceeding 1, which is theoretically impossible. We therefore dropped these sites from the analysis.</w:t>
      </w:r>
      <w:r w:rsidR="18B19F77">
        <w:rPr/>
        <w:t xml:space="preserve"> </w:t>
      </w:r>
      <w:r w:rsidR="18B19F77">
        <w:rPr/>
        <w:t xml:space="preserve">Figure 1 shows the summary distribution of these </w:t>
      </w:r>
      <w:r w:rsidR="0463D161">
        <w:rPr/>
        <w:t xml:space="preserve">LUEMax and fesc </w:t>
      </w:r>
      <w:r w:rsidR="18B19F77">
        <w:rPr/>
        <w:t>across the 271 remaining sites.</w:t>
      </w:r>
      <w:r w:rsidRPr="659C6AC8" w:rsidR="18B19F77">
        <w:rPr>
          <w:rFonts w:eastAsia="" w:eastAsiaTheme="minorEastAsia"/>
        </w:rPr>
        <w:t xml:space="preserve"> </w:t>
      </w:r>
    </w:p>
    <w:p w:rsidR="00A31F09" w:rsidP="006B376E" w:rsidRDefault="00A31F09" w14:paraId="3D8D2740" w14:textId="77777777">
      <w:pPr>
        <w:keepNext/>
        <w:spacing w:after="120"/>
        <w:jc w:val="center"/>
      </w:pPr>
      <w:r>
        <w:rPr>
          <w:b/>
          <w:bCs/>
          <w:noProof/>
        </w:rPr>
        <w:drawing>
          <wp:inline distT="0" distB="0" distL="0" distR="0" wp14:anchorId="288FD359" wp14:editId="30ABC929">
            <wp:extent cx="5214306" cy="2334764"/>
            <wp:effectExtent l="0" t="0" r="0" b="2540"/>
            <wp:docPr id="1156327042" name="Picture 4" descr="A graph of a graph with numbers an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6327042" name="Picture 4" descr="A graph of a graph with numbers and lines&#10;&#10;Description automatically generated with medium confidence"/>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4306" cy="2334764"/>
                    </a:xfrm>
                    <a:prstGeom prst="rect">
                      <a:avLst/>
                    </a:prstGeom>
                  </pic:spPr>
                </pic:pic>
              </a:graphicData>
            </a:graphic>
          </wp:inline>
        </w:drawing>
      </w:r>
    </w:p>
    <w:p w:rsidR="00A31F09" w:rsidP="006B376E" w:rsidRDefault="00A31F09" w14:paraId="687BD2D8" w14:textId="2213725A">
      <w:pPr>
        <w:pStyle w:val="Caption"/>
        <w:jc w:val="center"/>
        <w:rPr>
          <w:rFonts w:eastAsiaTheme="minorEastAsia"/>
        </w:rPr>
      </w:pPr>
      <w:r>
        <w:t xml:space="preserve">Figure </w:t>
      </w:r>
      <w:r>
        <w:fldChar w:fldCharType="begin"/>
      </w:r>
      <w:r>
        <w:instrText xml:space="preserve"> SEQ Figure \* ARABIC </w:instrText>
      </w:r>
      <w:r>
        <w:fldChar w:fldCharType="separate"/>
      </w:r>
      <w:r>
        <w:rPr>
          <w:noProof/>
        </w:rPr>
        <w:t>1</w:t>
      </w:r>
      <w:r>
        <w:fldChar w:fldCharType="end"/>
      </w:r>
      <w:r>
        <w:t xml:space="preserve">. The distribution of </w:t>
      </w:r>
      <w:proofErr w:type="spellStart"/>
      <w:r>
        <w:t>LUE</w:t>
      </w:r>
      <w:r w:rsidRPr="00A31F09">
        <w:rPr>
          <w:vertAlign w:val="subscript"/>
        </w:rPr>
        <w:t>Max</w:t>
      </w:r>
      <w:proofErr w:type="spellEnd"/>
      <w:r>
        <w:t xml:space="preserve"> and </w:t>
      </w:r>
      <w:proofErr w:type="spellStart"/>
      <w:r>
        <w:t>fesc</w:t>
      </w:r>
      <w:proofErr w:type="spellEnd"/>
      <w:r>
        <w:t xml:space="preserve"> for each biome.</w:t>
      </w:r>
    </w:p>
    <w:p w:rsidRPr="008B03E1" w:rsidR="008B03E1" w:rsidP="659C6AC8" w:rsidRDefault="00A31F09" w14:paraId="7FB92D2D" w14:textId="3B09E398">
      <w:pPr>
        <w:rPr>
          <w:rFonts w:eastAsia="" w:eastAsiaTheme="minorEastAsia"/>
        </w:rPr>
      </w:pPr>
      <w:r w:rsidRPr="659C6AC8" w:rsidR="18B19F77">
        <w:rPr>
          <w:rFonts w:eastAsia="" w:eastAsiaTheme="minorEastAsia"/>
        </w:rPr>
        <w:t>After the data pre-processing based on quality flags and calculating all the variables, we removed any outliers by calculating the standard deviation of each variable</w:t>
      </w:r>
      <w:r w:rsidRPr="659C6AC8" w:rsidR="18B19F77">
        <w:rPr>
          <w:rFonts w:eastAsia="" w:eastAsiaTheme="minorEastAsia"/>
        </w:rPr>
        <w:t xml:space="preserve"> for each site across all the days, and then only kept the data points that were within 2 standard deviations of the mean.</w:t>
      </w:r>
      <w:r w:rsidRPr="659C6AC8" w:rsidR="18B19F77">
        <w:rPr>
          <w:rFonts w:eastAsia="" w:eastAsiaTheme="minorEastAsia"/>
        </w:rPr>
        <w:t xml:space="preserve"> </w:t>
      </w:r>
      <w:r w:rsidRPr="659C6AC8" w:rsidR="18B19F77">
        <w:rPr>
          <w:rFonts w:eastAsia="" w:eastAsiaTheme="minorEastAsia"/>
        </w:rPr>
        <w:t xml:space="preserve">To examine the relationship between </w:t>
      </w:r>
      <w:r w:rsidRPr="659C6AC8" w:rsidR="18B19F77">
        <w:rPr>
          <w:rFonts w:eastAsia="" w:eastAsiaTheme="minorEastAsia"/>
        </w:rPr>
        <w:t>fesc</w:t>
      </w:r>
      <w:r w:rsidRPr="659C6AC8" w:rsidR="18B19F77">
        <w:rPr>
          <w:rFonts w:eastAsia="" w:eastAsiaTheme="minorEastAsia"/>
        </w:rPr>
        <w:t xml:space="preserve"> and </w:t>
      </w:r>
      <w:r w:rsidRPr="659C6AC8" w:rsidR="18B19F77">
        <w:rPr>
          <w:rFonts w:eastAsia="" w:eastAsiaTheme="minorEastAsia"/>
        </w:rPr>
        <w:t>LUEmax</w:t>
      </w:r>
      <w:r w:rsidRPr="659C6AC8" w:rsidR="18B19F77">
        <w:rPr>
          <w:rFonts w:eastAsia="" w:eastAsiaTheme="minorEastAsia"/>
        </w:rPr>
        <w:t xml:space="preserve"> across different biomes, we first grouped the </w:t>
      </w:r>
      <w:r w:rsidRPr="659C6AC8" w:rsidR="18B19F77">
        <w:rPr>
          <w:rFonts w:eastAsia="" w:eastAsiaTheme="minorEastAsia"/>
        </w:rPr>
        <w:t>LUEmax</w:t>
      </w:r>
      <w:r w:rsidRPr="659C6AC8" w:rsidR="18B19F77">
        <w:rPr>
          <w:rFonts w:eastAsia="" w:eastAsiaTheme="minorEastAsia"/>
        </w:rPr>
        <w:t xml:space="preserve"> and </w:t>
      </w:r>
      <w:r w:rsidRPr="659C6AC8" w:rsidR="18B19F77">
        <w:rPr>
          <w:rFonts w:eastAsia="" w:eastAsiaTheme="minorEastAsia"/>
        </w:rPr>
        <w:t>fesc</w:t>
      </w:r>
      <w:r w:rsidRPr="659C6AC8" w:rsidR="18B19F77">
        <w:rPr>
          <w:rFonts w:eastAsia="" w:eastAsiaTheme="minorEastAsia"/>
        </w:rPr>
        <w:t xml:space="preserve"> data based on their respective biomes and calculated the median value for each biome group. We also investigated the relationship between </w:t>
      </w:r>
      <w:r w:rsidRPr="659C6AC8" w:rsidR="18B19F77">
        <w:rPr>
          <w:rFonts w:eastAsia="" w:eastAsiaTheme="minorEastAsia"/>
        </w:rPr>
        <w:t>fesc</w:t>
      </w:r>
      <w:r w:rsidRPr="659C6AC8" w:rsidR="18B19F77">
        <w:rPr>
          <w:rFonts w:eastAsia="" w:eastAsiaTheme="minorEastAsia"/>
        </w:rPr>
        <w:t xml:space="preserve"> and </w:t>
      </w:r>
      <w:r w:rsidRPr="659C6AC8" w:rsidR="18B19F77">
        <w:rPr>
          <w:rFonts w:eastAsia="" w:eastAsiaTheme="minorEastAsia"/>
        </w:rPr>
        <w:t>LUEmax</w:t>
      </w:r>
      <w:r w:rsidRPr="659C6AC8" w:rsidR="18B19F77">
        <w:rPr>
          <w:rFonts w:eastAsia="" w:eastAsiaTheme="minorEastAsia"/>
        </w:rPr>
        <w:t xml:space="preserve"> for individual sites within each biome.</w:t>
      </w:r>
      <w:r w:rsidRPr="659C6AC8" w:rsidR="18B19F77">
        <w:rPr>
          <w:rFonts w:eastAsia="" w:eastAsiaTheme="minorEastAsia"/>
        </w:rPr>
        <w:t xml:space="preserve"> </w:t>
      </w:r>
      <w:r w:rsidRPr="659C6AC8" w:rsidR="18B19F77">
        <w:rPr>
          <w:rFonts w:eastAsia="" w:eastAsiaTheme="minorEastAsia"/>
        </w:rPr>
        <w:t xml:space="preserve">Additionally, we estimated the standard error for the </w:t>
      </w:r>
      <w:r w:rsidRPr="659C6AC8" w:rsidR="18B19F77">
        <w:rPr>
          <w:rFonts w:eastAsia="" w:eastAsiaTheme="minorEastAsia"/>
        </w:rPr>
        <w:t>LUEmax</w:t>
      </w:r>
      <w:r w:rsidRPr="659C6AC8" w:rsidR="18B19F77">
        <w:rPr>
          <w:rFonts w:eastAsia="" w:eastAsiaTheme="minorEastAsia"/>
        </w:rPr>
        <w:t xml:space="preserve"> values by dividing the standard deviation of the </w:t>
      </w:r>
      <w:r w:rsidRPr="659C6AC8" w:rsidR="18B19F77">
        <w:rPr>
          <w:rFonts w:eastAsia="" w:eastAsiaTheme="minorEastAsia"/>
        </w:rPr>
        <w:t>LUEmax</w:t>
      </w:r>
      <w:r w:rsidRPr="659C6AC8" w:rsidR="18B19F77">
        <w:rPr>
          <w:rFonts w:eastAsia="" w:eastAsiaTheme="minorEastAsia"/>
        </w:rPr>
        <w:t xml:space="preserve"> values by the square root of the number of observations presented in each biome or site. This provided a measure of the uncertainty associated with the </w:t>
      </w:r>
      <w:r w:rsidRPr="659C6AC8" w:rsidR="18B19F77">
        <w:rPr>
          <w:rFonts w:eastAsia="" w:eastAsiaTheme="minorEastAsia"/>
        </w:rPr>
        <w:t>LUEmax</w:t>
      </w:r>
      <w:r w:rsidRPr="659C6AC8" w:rsidR="18B19F77">
        <w:rPr>
          <w:rFonts w:eastAsia="" w:eastAsiaTheme="minorEastAsia"/>
        </w:rPr>
        <w:t xml:space="preserve"> estimates</w:t>
      </w:r>
      <w:r w:rsidRPr="659C6AC8" w:rsidR="18B19F77">
        <w:rPr>
          <w:rFonts w:eastAsia="" w:eastAsiaTheme="minorEastAsia"/>
        </w:rPr>
        <w:t>.</w:t>
      </w:r>
      <w:r w:rsidRPr="659C6AC8" w:rsidR="2525C354">
        <w:rPr>
          <w:rFonts w:eastAsia="" w:eastAsiaTheme="minorEastAsia"/>
        </w:rPr>
        <w:t xml:space="preserve">  </w:t>
      </w:r>
      <w:r w:rsidRPr="659C6AC8" w:rsidR="2525C354">
        <w:rPr>
          <w:rFonts w:eastAsia="" w:eastAsiaTheme="minorEastAsia"/>
        </w:rPr>
        <w:t xml:space="preserve"> </w:t>
      </w:r>
    </w:p>
    <w:p w:rsidR="00F552F1" w:rsidP="00A31F09" w:rsidRDefault="00F552F1" w14:paraId="0E35FBDE" w14:textId="72B7587F">
      <w:pPr>
        <w:pStyle w:val="Heading1"/>
      </w:pPr>
      <w:r w:rsidRPr="000177B3">
        <w:t>Results</w:t>
      </w:r>
    </w:p>
    <w:p w:rsidR="00E4389D" w:rsidP="006B376E" w:rsidRDefault="006B376E" w14:paraId="09420AA0" w14:textId="6F96F0B1">
      <w:pPr>
        <w:rPr/>
      </w:pPr>
      <w:r w:rsidR="7F908B5A">
        <w:rPr/>
        <w:t xml:space="preserve">Figure 2 shows a strong linear association between the biome-level median values of </w:t>
      </w:r>
      <w:r w:rsidR="7F908B5A">
        <w:rPr/>
        <w:t>LUEmax</w:t>
      </w:r>
      <w:r w:rsidR="7F908B5A">
        <w:rPr/>
        <w:t xml:space="preserve"> and </w:t>
      </w:r>
      <w:r w:rsidR="7F908B5A">
        <w:rPr/>
        <w:t>fesc</w:t>
      </w:r>
      <w:r w:rsidR="7F908B5A">
        <w:rPr/>
        <w:t xml:space="preserve"> (R2 = 0.86). As </w:t>
      </w:r>
      <w:r w:rsidR="7F908B5A">
        <w:rPr/>
        <w:t>fesc</w:t>
      </w:r>
      <w:r w:rsidR="7F908B5A">
        <w:rPr/>
        <w:t xml:space="preserve"> increases, the corresponding </w:t>
      </w:r>
      <w:r w:rsidR="7F908B5A">
        <w:rPr/>
        <w:t>LUEmax</w:t>
      </w:r>
      <w:r w:rsidR="7F908B5A">
        <w:rPr/>
        <w:t xml:space="preserve"> also tends to increase. A clear pattern </w:t>
      </w:r>
      <w:r w:rsidR="7F908B5A">
        <w:rPr/>
        <w:t>emerges</w:t>
      </w:r>
      <w:r w:rsidR="7F908B5A">
        <w:rPr/>
        <w:t xml:space="preserve">, where biomes with more open canopies, such as open shrublands and savannas, </w:t>
      </w:r>
      <w:r w:rsidR="7F908B5A">
        <w:rPr/>
        <w:t xml:space="preserve">generally </w:t>
      </w:r>
      <w:r w:rsidR="7F908B5A">
        <w:rPr/>
        <w:t>exhibit</w:t>
      </w:r>
      <w:r w:rsidR="7F908B5A">
        <w:rPr/>
        <w:t xml:space="preserve"> lower values of both </w:t>
      </w:r>
      <w:r w:rsidR="7F908B5A">
        <w:rPr/>
        <w:t>fesc</w:t>
      </w:r>
      <w:r w:rsidR="7F908B5A">
        <w:rPr/>
        <w:t xml:space="preserve"> and </w:t>
      </w:r>
      <w:r w:rsidR="7F908B5A">
        <w:rPr/>
        <w:t>LUEmax</w:t>
      </w:r>
      <w:r w:rsidR="7F908B5A">
        <w:rPr/>
        <w:t xml:space="preserve">. In contrast, biomes with denser canopies, such as forested ecosystems, tend to have higher values of both </w:t>
      </w:r>
      <w:r w:rsidR="7F908B5A">
        <w:rPr/>
        <w:t>fesc</w:t>
      </w:r>
      <w:r w:rsidR="7F908B5A">
        <w:rPr/>
        <w:t xml:space="preserve"> and </w:t>
      </w:r>
      <w:r w:rsidR="7F908B5A">
        <w:rPr/>
        <w:t>LUEmax</w:t>
      </w:r>
      <w:r w:rsidR="7F908B5A">
        <w:rPr/>
        <w:t>.</w:t>
      </w:r>
      <w:r w:rsidR="7F908B5A">
        <w:rPr/>
        <w:t xml:space="preserve"> </w:t>
      </w:r>
      <w:r w:rsidR="7F908B5A">
        <w:rPr/>
        <w:t xml:space="preserve">Compared to the findings of </w:t>
      </w:r>
      <w:r w:rsidR="7F908B5A">
        <w:rPr/>
        <w:t>Dechant</w:t>
      </w:r>
      <w:r w:rsidR="7F908B5A">
        <w:rPr/>
        <w:t xml:space="preserve"> et al., the relationship </w:t>
      </w:r>
      <w:r w:rsidR="7F908B5A">
        <w:rPr/>
        <w:t>observed</w:t>
      </w:r>
      <w:r w:rsidR="7F908B5A">
        <w:rPr/>
        <w:t xml:space="preserve"> in this study is much stronger. Indeed, when we correlated the daily LUE and </w:t>
      </w:r>
      <w:r w:rsidR="7F908B5A">
        <w:rPr/>
        <w:t>fesc</w:t>
      </w:r>
      <w:r w:rsidR="7F908B5A">
        <w:rPr/>
        <w:t xml:space="preserve"> for all sites (e</w:t>
      </w:r>
      <w:r w:rsidR="62A200B7">
        <w:rPr/>
        <w:t xml:space="preserve">xcept for </w:t>
      </w:r>
      <w:r w:rsidR="7F908B5A">
        <w:rPr/>
        <w:t xml:space="preserve">evergreen forests and closed shrublands), the R2 values are </w:t>
      </w:r>
      <w:r w:rsidR="7F908B5A">
        <w:rPr/>
        <w:t>generally less</w:t>
      </w:r>
      <w:r w:rsidR="7F908B5A">
        <w:rPr/>
        <w:t xml:space="preserve"> than 0.5, with an average of around 0.3</w:t>
      </w:r>
      <w:r w:rsidR="7F908B5A">
        <w:rPr/>
        <w:t xml:space="preserve"> (Figure </w:t>
      </w:r>
      <w:r w:rsidR="7F908B5A">
        <w:rPr/>
        <w:t>sXXX</w:t>
      </w:r>
      <w:r w:rsidR="7F908B5A">
        <w:rPr/>
        <w:t>)</w:t>
      </w:r>
      <w:r w:rsidR="7F908B5A">
        <w:rPr/>
        <w:t xml:space="preserve">. This suggests that the temporal correlation between LUE and </w:t>
      </w:r>
      <w:r w:rsidR="7F908B5A">
        <w:rPr/>
        <w:t>fesc</w:t>
      </w:r>
      <w:r w:rsidR="7F908B5A">
        <w:rPr/>
        <w:t xml:space="preserve"> </w:t>
      </w:r>
      <w:r w:rsidR="776C1E32">
        <w:rPr/>
        <w:t>is</w:t>
      </w:r>
      <w:r w:rsidR="7F908B5A">
        <w:rPr/>
        <w:t xml:space="preserve"> weak across </w:t>
      </w:r>
      <w:r w:rsidR="7F908B5A">
        <w:rPr/>
        <w:t>the majority of</w:t>
      </w:r>
      <w:r w:rsidR="7F908B5A">
        <w:rPr/>
        <w:t xml:space="preserve"> sites.</w:t>
      </w:r>
      <w:r w:rsidR="7F908B5A">
        <w:rPr/>
        <w:t xml:space="preserve"> </w:t>
      </w:r>
    </w:p>
    <w:p w:rsidR="00E4389D" w:rsidP="00E4389D" w:rsidRDefault="00E4389D" w14:paraId="39B50884" w14:textId="77777777"/>
    <w:p w:rsidRPr="00E4389D" w:rsidR="00E4389D" w:rsidP="00E4389D" w:rsidRDefault="00E4389D" w14:paraId="7BE01CFF" w14:textId="77777777"/>
    <w:p w:rsidR="00A31F09" w:rsidP="006B376E" w:rsidRDefault="00E4389D" w14:paraId="5C0B09D4" w14:textId="77777777">
      <w:pPr>
        <w:keepNext/>
        <w:jc w:val="center"/>
      </w:pPr>
      <w:r>
        <w:rPr>
          <w:noProof/>
        </w:rPr>
        <w:drawing>
          <wp:inline distT="0" distB="0" distL="0" distR="0" wp14:anchorId="2A40C6A5" wp14:editId="0262AC07">
            <wp:extent cx="2517820" cy="2402938"/>
            <wp:effectExtent l="0" t="0" r="0" b="0"/>
            <wp:docPr id="192347715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477150" name="Picture 2"/>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45270" cy="2429135"/>
                    </a:xfrm>
                    <a:prstGeom prst="rect">
                      <a:avLst/>
                    </a:prstGeom>
                  </pic:spPr>
                </pic:pic>
              </a:graphicData>
            </a:graphic>
          </wp:inline>
        </w:drawing>
      </w:r>
    </w:p>
    <w:p w:rsidR="0056464B" w:rsidP="006B376E" w:rsidRDefault="00A31F09" w14:paraId="3477DE1A" w14:textId="3B73918F">
      <w:pPr>
        <w:pStyle w:val="Caption"/>
        <w:jc w:val="center"/>
      </w:pPr>
      <w:r>
        <w:t xml:space="preserve">Figure </w:t>
      </w:r>
      <w:r>
        <w:fldChar w:fldCharType="begin"/>
      </w:r>
      <w:r>
        <w:instrText xml:space="preserve"> SEQ Figure \* ARABIC </w:instrText>
      </w:r>
      <w:r>
        <w:fldChar w:fldCharType="separate"/>
      </w:r>
      <w:r>
        <w:rPr>
          <w:noProof/>
        </w:rPr>
        <w:t>2</w:t>
      </w:r>
      <w:r>
        <w:fldChar w:fldCharType="end"/>
      </w:r>
      <w:r>
        <w:t xml:space="preserve">. Relationship between </w:t>
      </w:r>
      <w:proofErr w:type="spellStart"/>
      <w:r>
        <w:t>fesc</w:t>
      </w:r>
      <w:proofErr w:type="spellEnd"/>
      <w:r>
        <w:t xml:space="preserve"> and </w:t>
      </w:r>
      <w:proofErr w:type="spellStart"/>
      <w:r>
        <w:t>LUEMax</w:t>
      </w:r>
      <w:proofErr w:type="spellEnd"/>
      <w:r>
        <w:t xml:space="preserve"> across various biomes. Refer to Table 1 for the definition of each biome abbreviation.</w:t>
      </w:r>
    </w:p>
    <w:p w:rsidR="002C2021" w:rsidP="659C6AC8" w:rsidRDefault="00A31F09" w14:paraId="10C2F1D6" w14:textId="6ED51605">
      <w:pPr>
        <w:pStyle w:val="Normal"/>
        <w:rPr/>
      </w:pPr>
      <w:r w:rsidR="18B19F77">
        <w:rPr/>
        <w:t xml:space="preserve">Figure 3 reveals a </w:t>
      </w:r>
      <w:r w:rsidR="18B19F77">
        <w:rPr/>
        <w:t>predominantly positive</w:t>
      </w:r>
      <w:r w:rsidR="18B19F77">
        <w:rPr/>
        <w:t xml:space="preserve"> association between </w:t>
      </w:r>
      <w:r w:rsidR="18B19F77">
        <w:rPr/>
        <w:t>LUEmax</w:t>
      </w:r>
      <w:r w:rsidR="18B19F77">
        <w:rPr/>
        <w:t xml:space="preserve"> and </w:t>
      </w:r>
      <w:r w:rsidR="18B19F77">
        <w:rPr/>
        <w:t>fesc</w:t>
      </w:r>
      <w:r w:rsidR="18B19F77">
        <w:rPr/>
        <w:t xml:space="preserve"> </w:t>
      </w:r>
      <w:r w:rsidR="18B19F77">
        <w:rPr/>
        <w:t>when examined at the individual site level within each biome.</w:t>
      </w:r>
      <w:r w:rsidR="722C7855">
        <w:rPr/>
        <w:t xml:space="preserve"> </w:t>
      </w:r>
      <w:r w:rsidRPr="659C6AC8" w:rsidR="2CBF6847">
        <w:rPr>
          <w:rFonts w:ascii="system-ui" w:hAnsi="system-ui" w:eastAsia="system-ui" w:cs="system-ui"/>
          <w:b w:val="0"/>
          <w:bCs w:val="0"/>
          <w:i w:val="0"/>
          <w:iCs w:val="0"/>
          <w:caps w:val="0"/>
          <w:smallCaps w:val="0"/>
          <w:noProof w:val="0"/>
          <w:color w:val="0D0D0D" w:themeColor="text1" w:themeTint="F2" w:themeShade="FF"/>
          <w:sz w:val="24"/>
          <w:szCs w:val="24"/>
          <w:lang w:val="en-US"/>
        </w:rPr>
        <w:t>In this analysis, we excluded the CVM and SNO biomes due to their single-site representation.</w:t>
      </w:r>
      <w:r w:rsidR="18B19F77">
        <w:rPr/>
        <w:t xml:space="preserve"> </w:t>
      </w:r>
      <w:r w:rsidR="18B19F77">
        <w:rPr/>
        <w:t>This tren</w:t>
      </w:r>
      <w:r w:rsidR="18B19F77">
        <w:rPr/>
        <w:t>d is</w:t>
      </w:r>
      <w:r w:rsidR="18B19F77">
        <w:rPr/>
        <w:t xml:space="preserve"> </w:t>
      </w:r>
      <w:r w:rsidR="18B19F77">
        <w:rPr/>
        <w:t>eviden</w:t>
      </w:r>
      <w:r w:rsidR="18B19F77">
        <w:rPr/>
        <w:t>t</w:t>
      </w:r>
      <w:r w:rsidR="18B19F77">
        <w:rPr/>
        <w:t xml:space="preserve"> across most biomes. For example, closed shrublands and woody savannas</w:t>
      </w:r>
      <w:r w:rsidR="18B19F77">
        <w:rPr/>
        <w:t xml:space="preserve"> </w:t>
      </w:r>
      <w:r w:rsidR="18B19F77">
        <w:rPr/>
        <w:t>exhibi</w:t>
      </w:r>
      <w:r w:rsidR="18B19F77">
        <w:rPr/>
        <w:t>t</w:t>
      </w:r>
      <w:r w:rsidR="18B19F77">
        <w:rPr/>
        <w:t xml:space="preserve"> a remarkably strong linear relationship, reflected by R² values exceeding 0.96. This signifies a robust positive correlation between these variables within these specific biome types.</w:t>
      </w:r>
      <w:r w:rsidR="18B19F77">
        <w:rPr/>
        <w:t xml:space="preserve"> </w:t>
      </w:r>
      <w:r w:rsidR="18B19F77">
        <w:rPr/>
        <w:t>Within the forested biomes, evergreen broadleaf sites display the strongest positive correlation</w:t>
      </w:r>
      <w:r w:rsidR="18B19F77">
        <w:rPr/>
        <w:t>.</w:t>
      </w:r>
      <w:r w:rsidR="18B19F77">
        <w:rPr/>
        <w:t xml:space="preserve"> </w:t>
      </w:r>
      <w:r w:rsidR="18B19F77">
        <w:rPr/>
        <w:t>It'</w:t>
      </w:r>
      <w:r w:rsidR="18B19F77">
        <w:rPr/>
        <w:t>s</w:t>
      </w:r>
      <w:r w:rsidR="18B19F77">
        <w:rPr/>
        <w:t xml:space="preserve"> important to note, however, that the number of sites represented within each biome is uneven. Consequently, directly comparing the strength of these relationships across biomes might be misleading due to variations in sample sizes.</w:t>
      </w:r>
      <w:r w:rsidR="18B19F77">
        <w:rPr/>
        <w:t xml:space="preserve"> </w:t>
      </w:r>
      <w:r w:rsidR="18B19F77">
        <w:rPr/>
        <w:t>Rather, the positive relationship should be paid attention to within each biome, as it suggests a consistent association between canopy structure (as captured by</w:t>
      </w:r>
      <w:r w:rsidR="18B19F77">
        <w:rPr/>
        <w:t xml:space="preserve"> </w:t>
      </w:r>
      <w:r w:rsidR="18B19F77">
        <w:rPr/>
        <w:t>fes</w:t>
      </w:r>
      <w:r w:rsidR="18B19F77">
        <w:rPr/>
        <w:t>c</w:t>
      </w:r>
      <w:r w:rsidR="18B19F77">
        <w:rPr/>
        <w:t xml:space="preserve">) and </w:t>
      </w:r>
      <w:r w:rsidR="18B19F77">
        <w:rPr/>
        <w:t>LUEma</w:t>
      </w:r>
      <w:r w:rsidR="18B19F77">
        <w:rPr/>
        <w:t>x</w:t>
      </w:r>
      <w:r w:rsidR="18B19F77">
        <w:rPr/>
        <w:t xml:space="preserve"> at the site level.</w:t>
      </w:r>
      <w:r w:rsidR="523AC749">
        <w:rPr/>
        <w:t xml:space="preserve"> </w:t>
      </w:r>
    </w:p>
    <w:p w:rsidR="00A31F09" w:rsidP="00A31F09" w:rsidRDefault="00E4389D" w14:paraId="49D8F870" w14:textId="77777777">
      <w:pPr>
        <w:keepNext/>
      </w:pPr>
      <w:r>
        <w:rPr>
          <w:noProof/>
        </w:rPr>
        <w:drawing>
          <wp:inline distT="0" distB="0" distL="0" distR="0" wp14:anchorId="26E23C16" wp14:editId="273BE591">
            <wp:extent cx="4876409" cy="4896869"/>
            <wp:effectExtent l="0" t="0" r="635" b="5715"/>
            <wp:docPr id="203133168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1331684" name="Picture 5"/>
                    <pic:cNvPicPr/>
                  </pic:nvPicPr>
                  <pic:blipFill>
                    <a:blip r:embed="rId9" cstate="print">
                      <a:extLst>
                        <a:ext uri="{28A0092B-C50C-407E-A947-70E740481C1C}">
                          <a14:useLocalDpi xmlns:a14="http://schemas.microsoft.com/office/drawing/2010/main" val="0"/>
                        </a:ext>
                      </a:extLst>
                    </a:blip>
                    <a:stretch>
                      <a:fillRect/>
                    </a:stretch>
                  </pic:blipFill>
                  <pic:spPr>
                    <a:xfrm>
                      <a:off x="0" y="0"/>
                      <a:ext cx="4876409" cy="4896869"/>
                    </a:xfrm>
                    <a:prstGeom prst="rect">
                      <a:avLst/>
                    </a:prstGeom>
                  </pic:spPr>
                </pic:pic>
              </a:graphicData>
            </a:graphic>
          </wp:inline>
        </w:drawing>
      </w:r>
    </w:p>
    <w:p w:rsidR="002C2021" w:rsidP="00A31F09" w:rsidRDefault="00A31F09" w14:paraId="0F171641" w14:textId="25CC9FA4">
      <w:pPr>
        <w:pStyle w:val="Caption"/>
      </w:pPr>
      <w:r>
        <w:t xml:space="preserve">Figure </w:t>
      </w:r>
      <w:r>
        <w:fldChar w:fldCharType="begin"/>
      </w:r>
      <w:r>
        <w:instrText xml:space="preserve"> SEQ Figure \* ARABIC </w:instrText>
      </w:r>
      <w:r>
        <w:fldChar w:fldCharType="separate"/>
      </w:r>
      <w:r>
        <w:rPr>
          <w:noProof/>
        </w:rPr>
        <w:t>3</w:t>
      </w:r>
      <w:r>
        <w:fldChar w:fldCharType="end"/>
      </w:r>
      <w:r>
        <w:t xml:space="preserve">. The relationship between </w:t>
      </w:r>
      <w:proofErr w:type="spellStart"/>
      <w:r>
        <w:t>fesc</w:t>
      </w:r>
      <w:proofErr w:type="spellEnd"/>
      <w:r>
        <w:t xml:space="preserve"> and </w:t>
      </w:r>
      <w:proofErr w:type="spellStart"/>
      <w:r>
        <w:t>LUEMax</w:t>
      </w:r>
      <w:proofErr w:type="spellEnd"/>
      <w:r>
        <w:t xml:space="preserve"> across different sites within each biome.</w:t>
      </w:r>
    </w:p>
    <w:p w:rsidR="00ED53FF" w:rsidP="002C2021" w:rsidRDefault="002C2021" w14:paraId="36620D57" w14:textId="5EE0FBAE">
      <w:pPr>
        <w:pStyle w:val="Heading1"/>
        <w:spacing w:after="120"/>
        <w:rPr/>
      </w:pPr>
      <w:r w:rsidR="523AC749">
        <w:rPr/>
        <w:t>D</w:t>
      </w:r>
      <w:r w:rsidR="521CFD95">
        <w:rPr/>
        <w:t>iscussion</w:t>
      </w:r>
    </w:p>
    <w:p w:rsidR="006B376E" w:rsidP="659C6AC8" w:rsidRDefault="006B376E" w14:paraId="6F0606F6" w14:textId="2BD4C071">
      <w:pPr>
        <w:pStyle w:val="Normal"/>
        <w:rPr>
          <w:rFonts w:ascii="Calibri" w:hAnsi="Calibri" w:eastAsia="Calibri" w:cs="Calibri"/>
          <w:noProof w:val="0"/>
          <w:sz w:val="24"/>
          <w:szCs w:val="24"/>
          <w:lang w:val="en-US"/>
        </w:rPr>
      </w:pPr>
      <w:r w:rsidRPr="659C6AC8" w:rsidR="217D6CC1">
        <w:rPr>
          <w:rFonts w:ascii="Calibri" w:hAnsi="Calibri" w:eastAsia="Calibri" w:cs="Calibri"/>
          <w:noProof w:val="0"/>
          <w:sz w:val="24"/>
          <w:szCs w:val="24"/>
          <w:lang w:val="en-US"/>
        </w:rPr>
        <w:t xml:space="preserve">Our study builds upon prior research that found a positive link between temporal LUE and </w:t>
      </w:r>
      <w:r w:rsidRPr="659C6AC8" w:rsidR="217D6CC1">
        <w:rPr>
          <w:rFonts w:ascii="Calibri" w:hAnsi="Calibri" w:eastAsia="Calibri" w:cs="Calibri"/>
          <w:noProof w:val="0"/>
          <w:sz w:val="24"/>
          <w:szCs w:val="24"/>
          <w:lang w:val="en-US"/>
        </w:rPr>
        <w:t>fesc</w:t>
      </w:r>
      <w:r w:rsidRPr="659C6AC8" w:rsidR="217D6CC1">
        <w:rPr>
          <w:rFonts w:ascii="Calibri" w:hAnsi="Calibri" w:eastAsia="Calibri" w:cs="Calibri"/>
          <w:noProof w:val="0"/>
          <w:sz w:val="24"/>
          <w:szCs w:val="24"/>
          <w:lang w:val="en-US"/>
        </w:rPr>
        <w:t xml:space="preserve"> (Dechant et al.). However, we </w:t>
      </w:r>
      <w:r w:rsidRPr="659C6AC8" w:rsidR="217D6CC1">
        <w:rPr>
          <w:rFonts w:ascii="Calibri" w:hAnsi="Calibri" w:eastAsia="Calibri" w:cs="Calibri"/>
          <w:noProof w:val="0"/>
          <w:sz w:val="24"/>
          <w:szCs w:val="24"/>
          <w:lang w:val="en-US"/>
        </w:rPr>
        <w:t>demonstrate</w:t>
      </w:r>
      <w:r w:rsidRPr="659C6AC8" w:rsidR="217D6CC1">
        <w:rPr>
          <w:rFonts w:ascii="Calibri" w:hAnsi="Calibri" w:eastAsia="Calibri" w:cs="Calibri"/>
          <w:noProof w:val="0"/>
          <w:sz w:val="24"/>
          <w:szCs w:val="24"/>
          <w:lang w:val="en-US"/>
        </w:rPr>
        <w:t xml:space="preserve"> a significantly stronger and more informative relationship by focusing on two key aspects: 1) using </w:t>
      </w:r>
      <w:r w:rsidRPr="659C6AC8" w:rsidR="217D6CC1">
        <w:rPr>
          <w:rFonts w:ascii="Calibri" w:hAnsi="Calibri" w:eastAsia="Calibri" w:cs="Calibri"/>
          <w:noProof w:val="0"/>
          <w:sz w:val="24"/>
          <w:szCs w:val="24"/>
          <w:lang w:val="en-US"/>
        </w:rPr>
        <w:t>LUEmax</w:t>
      </w:r>
      <w:r w:rsidRPr="659C6AC8" w:rsidR="217D6CC1">
        <w:rPr>
          <w:rFonts w:ascii="Calibri" w:hAnsi="Calibri" w:eastAsia="Calibri" w:cs="Calibri"/>
          <w:noProof w:val="0"/>
          <w:sz w:val="24"/>
          <w:szCs w:val="24"/>
          <w:lang w:val="en-US"/>
        </w:rPr>
        <w:t xml:space="preserve">, the annual peak in light use efficiency, as a more robust and stable metric, and 2) analyzing the connection across both different biomes and individual sites within each biome. By comparing the relationship between biomes (Figure 2) and within biomes (Figure 3), we can see that the relationship is </w:t>
      </w:r>
      <w:r w:rsidRPr="659C6AC8" w:rsidR="217D6CC1">
        <w:rPr>
          <w:rFonts w:ascii="Calibri" w:hAnsi="Calibri" w:eastAsia="Calibri" w:cs="Calibri"/>
          <w:noProof w:val="0"/>
          <w:sz w:val="24"/>
          <w:szCs w:val="24"/>
          <w:lang w:val="en-US"/>
        </w:rPr>
        <w:t>generally stronger</w:t>
      </w:r>
      <w:r w:rsidRPr="659C6AC8" w:rsidR="217D6CC1">
        <w:rPr>
          <w:rFonts w:ascii="Calibri" w:hAnsi="Calibri" w:eastAsia="Calibri" w:cs="Calibri"/>
          <w:noProof w:val="0"/>
          <w:sz w:val="24"/>
          <w:szCs w:val="24"/>
          <w:lang w:val="en-US"/>
        </w:rPr>
        <w:t xml:space="preserve"> at the biome level. This comparison, coupled with the clear trend from open canopies to closed canopies, highlights the fact that the relationship between </w:t>
      </w:r>
      <w:r w:rsidRPr="659C6AC8" w:rsidR="217D6CC1">
        <w:rPr>
          <w:rFonts w:ascii="Calibri" w:hAnsi="Calibri" w:eastAsia="Calibri" w:cs="Calibri"/>
          <w:noProof w:val="0"/>
          <w:sz w:val="24"/>
          <w:szCs w:val="24"/>
          <w:lang w:val="en-US"/>
        </w:rPr>
        <w:t>fesc</w:t>
      </w:r>
      <w:r w:rsidRPr="659C6AC8" w:rsidR="217D6CC1">
        <w:rPr>
          <w:rFonts w:ascii="Calibri" w:hAnsi="Calibri" w:eastAsia="Calibri" w:cs="Calibri"/>
          <w:noProof w:val="0"/>
          <w:sz w:val="24"/>
          <w:szCs w:val="24"/>
          <w:lang w:val="en-US"/>
        </w:rPr>
        <w:t xml:space="preserve"> and </w:t>
      </w:r>
      <w:r w:rsidRPr="659C6AC8" w:rsidR="217D6CC1">
        <w:rPr>
          <w:rFonts w:ascii="Calibri" w:hAnsi="Calibri" w:eastAsia="Calibri" w:cs="Calibri"/>
          <w:noProof w:val="0"/>
          <w:sz w:val="24"/>
          <w:szCs w:val="24"/>
          <w:lang w:val="en-US"/>
        </w:rPr>
        <w:t>LUEmax</w:t>
      </w:r>
      <w:r w:rsidRPr="659C6AC8" w:rsidR="217D6CC1">
        <w:rPr>
          <w:rFonts w:ascii="Calibri" w:hAnsi="Calibri" w:eastAsia="Calibri" w:cs="Calibri"/>
          <w:noProof w:val="0"/>
          <w:sz w:val="24"/>
          <w:szCs w:val="24"/>
          <w:lang w:val="en-US"/>
        </w:rPr>
        <w:t xml:space="preserve"> is best captured at larger, biome-level scales, confirming our hypothesis. </w:t>
      </w:r>
      <w:r w:rsidRPr="659C6AC8" w:rsidR="217D6CC1">
        <w:rPr>
          <w:rFonts w:ascii="Calibri" w:hAnsi="Calibri" w:eastAsia="Calibri" w:cs="Calibri"/>
          <w:noProof w:val="0"/>
          <w:sz w:val="24"/>
          <w:szCs w:val="24"/>
          <w:lang w:val="en-US"/>
        </w:rPr>
        <w:t xml:space="preserve">To our knowledge, this is the first study to </w:t>
      </w:r>
      <w:r w:rsidRPr="659C6AC8" w:rsidR="217D6CC1">
        <w:rPr>
          <w:rFonts w:ascii="Calibri" w:hAnsi="Calibri" w:eastAsia="Calibri" w:cs="Calibri"/>
          <w:noProof w:val="0"/>
          <w:sz w:val="24"/>
          <w:szCs w:val="24"/>
          <w:lang w:val="en-US"/>
        </w:rPr>
        <w:t>directly link</w:t>
      </w:r>
      <w:r w:rsidRPr="659C6AC8" w:rsidR="217D6CC1">
        <w:rPr>
          <w:rFonts w:ascii="Calibri" w:hAnsi="Calibri" w:eastAsia="Calibri" w:cs="Calibri"/>
          <w:noProof w:val="0"/>
          <w:sz w:val="24"/>
          <w:szCs w:val="24"/>
          <w:lang w:val="en-US"/>
        </w:rPr>
        <w:t xml:space="preserve"> </w:t>
      </w:r>
      <w:r w:rsidRPr="659C6AC8" w:rsidR="217D6CC1">
        <w:rPr>
          <w:rFonts w:ascii="Calibri" w:hAnsi="Calibri" w:eastAsia="Calibri" w:cs="Calibri"/>
          <w:noProof w:val="0"/>
          <w:sz w:val="24"/>
          <w:szCs w:val="24"/>
          <w:lang w:val="en-US"/>
        </w:rPr>
        <w:t>fesc</w:t>
      </w:r>
      <w:r w:rsidRPr="659C6AC8" w:rsidR="217D6CC1">
        <w:rPr>
          <w:rFonts w:ascii="Calibri" w:hAnsi="Calibri" w:eastAsia="Calibri" w:cs="Calibri"/>
          <w:noProof w:val="0"/>
          <w:sz w:val="24"/>
          <w:szCs w:val="24"/>
          <w:lang w:val="en-US"/>
        </w:rPr>
        <w:t xml:space="preserve"> with </w:t>
      </w:r>
      <w:r w:rsidRPr="659C6AC8" w:rsidR="217D6CC1">
        <w:rPr>
          <w:rFonts w:ascii="Calibri" w:hAnsi="Calibri" w:eastAsia="Calibri" w:cs="Calibri"/>
          <w:noProof w:val="0"/>
          <w:sz w:val="24"/>
          <w:szCs w:val="24"/>
          <w:lang w:val="en-US"/>
        </w:rPr>
        <w:t>LUEmax</w:t>
      </w:r>
      <w:r w:rsidRPr="659C6AC8" w:rsidR="217D6CC1">
        <w:rPr>
          <w:rFonts w:ascii="Calibri" w:hAnsi="Calibri" w:eastAsia="Calibri" w:cs="Calibri"/>
          <w:noProof w:val="0"/>
          <w:sz w:val="24"/>
          <w:szCs w:val="24"/>
          <w:lang w:val="en-US"/>
        </w:rPr>
        <w:t xml:space="preserve"> across a vast number of sites (&gt;270) spanning diverse biomes. The observed strong linear association, particularly at the biome level, offers valuable insights into how variations in canopy structure influence the maximum light-use efficiency of different ecosystems. These findings underscore the importance of considering </w:t>
      </w:r>
      <w:r w:rsidRPr="659C6AC8" w:rsidR="4F66EF9A">
        <w:rPr>
          <w:rFonts w:ascii="Calibri" w:hAnsi="Calibri" w:eastAsia="Calibri" w:cs="Calibri"/>
          <w:noProof w:val="0"/>
          <w:sz w:val="24"/>
          <w:szCs w:val="24"/>
          <w:lang w:val="en-US"/>
        </w:rPr>
        <w:t>differences in biome</w:t>
      </w:r>
      <w:r w:rsidRPr="659C6AC8" w:rsidR="217D6CC1">
        <w:rPr>
          <w:rFonts w:ascii="Calibri" w:hAnsi="Calibri" w:eastAsia="Calibri" w:cs="Calibri"/>
          <w:noProof w:val="0"/>
          <w:sz w:val="24"/>
          <w:szCs w:val="24"/>
          <w:lang w:val="en-US"/>
        </w:rPr>
        <w:t xml:space="preserve"> when investigating the links between canopy</w:t>
      </w:r>
      <w:r w:rsidRPr="659C6AC8" w:rsidR="505153AE">
        <w:rPr>
          <w:rFonts w:ascii="Calibri" w:hAnsi="Calibri" w:eastAsia="Calibri" w:cs="Calibri"/>
          <w:noProof w:val="0"/>
          <w:sz w:val="24"/>
          <w:szCs w:val="24"/>
          <w:lang w:val="en-US"/>
        </w:rPr>
        <w:t xml:space="preserve"> structure</w:t>
      </w:r>
      <w:r w:rsidRPr="659C6AC8" w:rsidR="217D6CC1">
        <w:rPr>
          <w:rFonts w:ascii="Calibri" w:hAnsi="Calibri" w:eastAsia="Calibri" w:cs="Calibri"/>
          <w:noProof w:val="0"/>
          <w:sz w:val="24"/>
          <w:szCs w:val="24"/>
          <w:lang w:val="en-US"/>
        </w:rPr>
        <w:t xml:space="preserve"> </w:t>
      </w:r>
      <w:r w:rsidRPr="659C6AC8" w:rsidR="217D6CC1">
        <w:rPr>
          <w:rFonts w:ascii="Calibri" w:hAnsi="Calibri" w:eastAsia="Calibri" w:cs="Calibri"/>
          <w:noProof w:val="0"/>
          <w:sz w:val="24"/>
          <w:szCs w:val="24"/>
          <w:lang w:val="en-US"/>
        </w:rPr>
        <w:t xml:space="preserve">and </w:t>
      </w:r>
      <w:r w:rsidRPr="659C6AC8" w:rsidR="49848B58">
        <w:rPr>
          <w:rFonts w:ascii="Calibri" w:hAnsi="Calibri" w:eastAsia="Calibri" w:cs="Calibri"/>
          <w:noProof w:val="0"/>
          <w:sz w:val="24"/>
          <w:szCs w:val="24"/>
          <w:lang w:val="en-US"/>
        </w:rPr>
        <w:t>light use efficiency</w:t>
      </w:r>
      <w:r w:rsidRPr="659C6AC8" w:rsidR="217D6CC1">
        <w:rPr>
          <w:rFonts w:ascii="Calibri" w:hAnsi="Calibri" w:eastAsia="Calibri" w:cs="Calibri"/>
          <w:noProof w:val="0"/>
          <w:sz w:val="24"/>
          <w:szCs w:val="24"/>
          <w:lang w:val="en-US"/>
        </w:rPr>
        <w:t>.</w:t>
      </w:r>
    </w:p>
    <w:p w:rsidR="006B376E" w:rsidP="659C6AC8" w:rsidRDefault="006B376E" w14:paraId="65603158" w14:textId="455B83FC">
      <w:pPr>
        <w:pStyle w:val="Normal"/>
        <w:rPr>
          <w:rFonts w:ascii="Calibri" w:hAnsi="Calibri" w:eastAsia="Calibri" w:cs="Calibri"/>
          <w:noProof w:val="0"/>
          <w:sz w:val="24"/>
          <w:szCs w:val="24"/>
          <w:lang w:val="en-US"/>
        </w:rPr>
      </w:pPr>
    </w:p>
    <w:p w:rsidR="006B376E" w:rsidP="659C6AC8" w:rsidRDefault="006B376E" w14:paraId="2B79A68C" w14:textId="46B0C2F4">
      <w:pPr>
        <w:spacing w:before="0" w:beforeAutospacing="off" w:after="0" w:afterAutospacing="off"/>
        <w:rPr>
          <w:rFonts w:ascii="Calibri" w:hAnsi="Calibri" w:eastAsia="Calibri" w:cs="Calibri"/>
          <w:noProof w:val="0"/>
          <w:sz w:val="24"/>
          <w:szCs w:val="24"/>
          <w:lang w:val="en-US"/>
        </w:rPr>
      </w:pPr>
      <w:r w:rsidRPr="659C6AC8" w:rsidR="1CA03E7C">
        <w:rPr>
          <w:rFonts w:ascii="Calibri" w:hAnsi="Calibri" w:eastAsia="Calibri" w:cs="Calibri"/>
          <w:noProof w:val="0"/>
          <w:sz w:val="24"/>
          <w:szCs w:val="24"/>
          <w:lang w:val="en-US"/>
        </w:rPr>
        <w:t>The pattern observed in the relationship between LUEmax and fesc can be explained from both remote sensing and plant physiological perspectives. In the lower left quadrant of Figure 2, we observe biomes with open canopies. These open canopy systems are generally not limited by light availability, resulting in a lower overall LUEmax. Additionally, the increased light penetration through open canopies potentially leads to more frequent multiple scattering of photons within the canopy, causing more photons to escape the canopy in various directions and reducing the number of photons that ultimately reach the sensor, as captured by the lower fesc values.</w:t>
      </w:r>
    </w:p>
    <w:p w:rsidR="006B376E" w:rsidP="659C6AC8" w:rsidRDefault="006B376E" w14:paraId="799AE84C" w14:textId="45326D9D">
      <w:pPr>
        <w:pStyle w:val="Normal"/>
        <w:spacing w:before="0" w:beforeAutospacing="off" w:after="0" w:afterAutospacing="off"/>
        <w:rPr>
          <w:rFonts w:ascii="Calibri" w:hAnsi="Calibri" w:eastAsia="Calibri" w:cs="Calibri"/>
          <w:noProof w:val="0"/>
          <w:sz w:val="24"/>
          <w:szCs w:val="24"/>
          <w:lang w:val="en-US"/>
        </w:rPr>
      </w:pPr>
      <w:r w:rsidRPr="659C6AC8" w:rsidR="57D9941B">
        <w:rPr>
          <w:rFonts w:ascii="Calibri" w:hAnsi="Calibri" w:eastAsia="Calibri" w:cs="Calibri"/>
          <w:noProof w:val="0"/>
          <w:sz w:val="24"/>
          <w:szCs w:val="24"/>
          <w:lang w:val="en-US"/>
        </w:rPr>
        <w:t xml:space="preserve"> </w:t>
      </w:r>
    </w:p>
    <w:p w:rsidR="006B376E" w:rsidP="659C6AC8" w:rsidRDefault="006B376E" w14:paraId="67B94A10" w14:textId="157935A9">
      <w:pPr>
        <w:pStyle w:val="Normal"/>
        <w:rPr>
          <w:rFonts w:ascii="Calibri" w:hAnsi="Calibri" w:eastAsia="Calibri" w:cs="Calibri"/>
          <w:noProof w:val="0"/>
          <w:sz w:val="24"/>
          <w:szCs w:val="24"/>
          <w:lang w:val="en-US"/>
        </w:rPr>
      </w:pPr>
      <w:r w:rsidRPr="659C6AC8" w:rsidR="5F12CA78">
        <w:rPr>
          <w:rFonts w:ascii="Calibri" w:hAnsi="Calibri" w:eastAsia="Calibri" w:cs="Calibri"/>
          <w:noProof w:val="0"/>
          <w:sz w:val="24"/>
          <w:szCs w:val="24"/>
          <w:lang w:val="en-US"/>
        </w:rPr>
        <w:t>In contrast, denser canopies such as evergreen broadleaf forests represent closed canopy systems. In these environments, a significant portion of incoming photons is reflected from the top layers of the canopy toward the sensor without much multiple scattering in the lower canopy layers, leading to a higher fesc value. Additionally, leaves in the lower layers of such dense canopies often experience light limitation, indicating a greater capacity for converting the absorbed light into energy, resulting in higher LUEmax. The findings of this study underscore the significant link between canopy structure and optics, and canopy physiology, emphasizing the need for more explicit investigations that integrate both remote sensing observations and process-based models. Such studies could leverage 3D models of radiative transfer model with intergraded with plant physiology models, to further elucidate the mechanisms behind the observed fesc-LUEmax relationship across different biomes.</w:t>
      </w:r>
    </w:p>
    <w:p w:rsidR="006B376E" w:rsidP="659C6AC8" w:rsidRDefault="006B376E" w14:paraId="63B1F51C" w14:textId="08DD8EB5">
      <w:pPr>
        <w:pStyle w:val="Normal"/>
        <w:rPr>
          <w:rFonts w:ascii="Calibri" w:hAnsi="Calibri" w:eastAsia="Calibri" w:cs="Calibri"/>
          <w:noProof w:val="0"/>
          <w:sz w:val="24"/>
          <w:szCs w:val="24"/>
          <w:lang w:val="en-US"/>
        </w:rPr>
      </w:pPr>
    </w:p>
    <w:p w:rsidR="006B376E" w:rsidP="659C6AC8" w:rsidRDefault="006B376E" w14:paraId="6B48987B" w14:textId="64C096B7">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24"/>
          <w:szCs w:val="24"/>
          <w:lang w:val="en-US"/>
        </w:rPr>
      </w:pPr>
      <w:r w:rsidRPr="659C6AC8" w:rsidR="1CA87E47">
        <w:rPr>
          <w:rFonts w:ascii="Calibri" w:hAnsi="Calibri" w:eastAsia="Calibri" w:cs="Calibri"/>
          <w:noProof w:val="0"/>
          <w:sz w:val="24"/>
          <w:szCs w:val="24"/>
          <w:lang w:val="en-US"/>
        </w:rPr>
        <w:t>It's</w:t>
      </w:r>
      <w:r w:rsidRPr="659C6AC8" w:rsidR="1CA87E47">
        <w:rPr>
          <w:rFonts w:ascii="Calibri" w:hAnsi="Calibri" w:eastAsia="Calibri" w:cs="Calibri"/>
          <w:noProof w:val="0"/>
          <w:sz w:val="24"/>
          <w:szCs w:val="24"/>
          <w:lang w:val="en-US"/>
        </w:rPr>
        <w:t xml:space="preserve"> important to emphasize that our study is observational in nature. While we report a strong positive relationship between </w:t>
      </w:r>
      <w:r w:rsidRPr="659C6AC8" w:rsidR="1CA87E47">
        <w:rPr>
          <w:rFonts w:ascii="Calibri" w:hAnsi="Calibri" w:eastAsia="Calibri" w:cs="Calibri"/>
          <w:noProof w:val="0"/>
          <w:sz w:val="24"/>
          <w:szCs w:val="24"/>
          <w:lang w:val="en-US"/>
        </w:rPr>
        <w:t>LUEmax</w:t>
      </w:r>
      <w:r w:rsidRPr="659C6AC8" w:rsidR="1CA87E47">
        <w:rPr>
          <w:rFonts w:ascii="Calibri" w:hAnsi="Calibri" w:eastAsia="Calibri" w:cs="Calibri"/>
          <w:noProof w:val="0"/>
          <w:sz w:val="24"/>
          <w:szCs w:val="24"/>
          <w:lang w:val="en-US"/>
        </w:rPr>
        <w:t xml:space="preserve"> and </w:t>
      </w:r>
      <w:r w:rsidRPr="659C6AC8" w:rsidR="1CA87E47">
        <w:rPr>
          <w:rFonts w:ascii="Calibri" w:hAnsi="Calibri" w:eastAsia="Calibri" w:cs="Calibri"/>
          <w:noProof w:val="0"/>
          <w:sz w:val="24"/>
          <w:szCs w:val="24"/>
          <w:lang w:val="en-US"/>
        </w:rPr>
        <w:t>fesc</w:t>
      </w:r>
      <w:r w:rsidRPr="659C6AC8" w:rsidR="1CA87E47">
        <w:rPr>
          <w:rFonts w:ascii="Calibri" w:hAnsi="Calibri" w:eastAsia="Calibri" w:cs="Calibri"/>
          <w:noProof w:val="0"/>
          <w:sz w:val="24"/>
          <w:szCs w:val="24"/>
          <w:lang w:val="en-US"/>
        </w:rPr>
        <w:t xml:space="preserve">, this correlation does not necessarily imply direct causation. We cannot definitively say that changes in </w:t>
      </w:r>
      <w:r w:rsidRPr="659C6AC8" w:rsidR="1CA87E47">
        <w:rPr>
          <w:rFonts w:ascii="Calibri" w:hAnsi="Calibri" w:eastAsia="Calibri" w:cs="Calibri"/>
          <w:noProof w:val="0"/>
          <w:sz w:val="24"/>
          <w:szCs w:val="24"/>
          <w:lang w:val="en-US"/>
        </w:rPr>
        <w:t>fesc</w:t>
      </w:r>
      <w:r w:rsidRPr="659C6AC8" w:rsidR="1CA87E47">
        <w:rPr>
          <w:rFonts w:ascii="Calibri" w:hAnsi="Calibri" w:eastAsia="Calibri" w:cs="Calibri"/>
          <w:noProof w:val="0"/>
          <w:sz w:val="24"/>
          <w:szCs w:val="24"/>
          <w:lang w:val="en-US"/>
        </w:rPr>
        <w:t xml:space="preserve"> directly cause changes in </w:t>
      </w:r>
      <w:r w:rsidRPr="659C6AC8" w:rsidR="1CA87E47">
        <w:rPr>
          <w:rFonts w:ascii="Calibri" w:hAnsi="Calibri" w:eastAsia="Calibri" w:cs="Calibri"/>
          <w:noProof w:val="0"/>
          <w:sz w:val="24"/>
          <w:szCs w:val="24"/>
          <w:lang w:val="en-US"/>
        </w:rPr>
        <w:t>LUEmax</w:t>
      </w:r>
      <w:r w:rsidRPr="659C6AC8" w:rsidR="1CA87E47">
        <w:rPr>
          <w:rFonts w:ascii="Calibri" w:hAnsi="Calibri" w:eastAsia="Calibri" w:cs="Calibri"/>
          <w:noProof w:val="0"/>
          <w:sz w:val="24"/>
          <w:szCs w:val="24"/>
          <w:lang w:val="en-US"/>
        </w:rPr>
        <w:t xml:space="preserve">, or vice versa, without further elucidating the underlying mechanisms driving this relationship. However, the observed strong association between these variables across various biomes can still be </w:t>
      </w:r>
      <w:r w:rsidRPr="659C6AC8" w:rsidR="1CA87E47">
        <w:rPr>
          <w:rFonts w:ascii="Calibri" w:hAnsi="Calibri" w:eastAsia="Calibri" w:cs="Calibri"/>
          <w:noProof w:val="0"/>
          <w:sz w:val="24"/>
          <w:szCs w:val="24"/>
          <w:lang w:val="en-US"/>
        </w:rPr>
        <w:t>leveraged</w:t>
      </w:r>
      <w:r w:rsidRPr="659C6AC8" w:rsidR="1CA87E47">
        <w:rPr>
          <w:rFonts w:ascii="Calibri" w:hAnsi="Calibri" w:eastAsia="Calibri" w:cs="Calibri"/>
          <w:noProof w:val="0"/>
          <w:sz w:val="24"/>
          <w:szCs w:val="24"/>
          <w:lang w:val="en-US"/>
        </w:rPr>
        <w:t xml:space="preserve"> to improve the estimation of </w:t>
      </w:r>
      <w:r w:rsidRPr="659C6AC8" w:rsidR="1CA87E47">
        <w:rPr>
          <w:rFonts w:ascii="Calibri" w:hAnsi="Calibri" w:eastAsia="Calibri" w:cs="Calibri"/>
          <w:noProof w:val="0"/>
          <w:sz w:val="24"/>
          <w:szCs w:val="24"/>
          <w:lang w:val="en-US"/>
        </w:rPr>
        <w:t>LUEmax</w:t>
      </w:r>
      <w:r w:rsidRPr="659C6AC8" w:rsidR="1CA87E47">
        <w:rPr>
          <w:rFonts w:ascii="Calibri" w:hAnsi="Calibri" w:eastAsia="Calibri" w:cs="Calibri"/>
          <w:noProof w:val="0"/>
          <w:sz w:val="24"/>
          <w:szCs w:val="24"/>
          <w:lang w:val="en-US"/>
        </w:rPr>
        <w:t xml:space="preserve"> for various applications. For example, many LUE-based algorithms to estimate GPP, such as the MODIS GPP algorithm, often rely on fixed values of </w:t>
      </w:r>
      <w:r w:rsidRPr="659C6AC8" w:rsidR="1CA87E47">
        <w:rPr>
          <w:rFonts w:ascii="Calibri" w:hAnsi="Calibri" w:eastAsia="Calibri" w:cs="Calibri"/>
          <w:noProof w:val="0"/>
          <w:sz w:val="24"/>
          <w:szCs w:val="24"/>
          <w:lang w:val="en-US"/>
        </w:rPr>
        <w:t>LUEmax</w:t>
      </w:r>
      <w:r w:rsidRPr="659C6AC8" w:rsidR="1CA87E47">
        <w:rPr>
          <w:rFonts w:ascii="Calibri" w:hAnsi="Calibri" w:eastAsia="Calibri" w:cs="Calibri"/>
          <w:noProof w:val="0"/>
          <w:sz w:val="24"/>
          <w:szCs w:val="24"/>
          <w:lang w:val="en-US"/>
        </w:rPr>
        <w:t xml:space="preserve"> for different plant functional types based on land cover data. Our results suggest this approach may be problematic, as </w:t>
      </w:r>
      <w:r w:rsidRPr="659C6AC8" w:rsidR="1CA87E47">
        <w:rPr>
          <w:rFonts w:ascii="Calibri" w:hAnsi="Calibri" w:eastAsia="Calibri" w:cs="Calibri"/>
          <w:noProof w:val="0"/>
          <w:sz w:val="24"/>
          <w:szCs w:val="24"/>
          <w:lang w:val="en-US"/>
        </w:rPr>
        <w:t>LUEmax</w:t>
      </w:r>
      <w:r w:rsidRPr="659C6AC8" w:rsidR="1CA87E47">
        <w:rPr>
          <w:rFonts w:ascii="Calibri" w:hAnsi="Calibri" w:eastAsia="Calibri" w:cs="Calibri"/>
          <w:noProof w:val="0"/>
          <w:sz w:val="24"/>
          <w:szCs w:val="24"/>
          <w:lang w:val="en-US"/>
        </w:rPr>
        <w:t xml:space="preserve"> can vary significantly </w:t>
      </w:r>
      <w:r w:rsidRPr="659C6AC8" w:rsidR="489DD26E">
        <w:rPr>
          <w:rFonts w:ascii="Calibri" w:hAnsi="Calibri" w:eastAsia="Calibri" w:cs="Calibri"/>
          <w:noProof w:val="0"/>
          <w:sz w:val="24"/>
          <w:szCs w:val="24"/>
          <w:lang w:val="en-US"/>
        </w:rPr>
        <w:t xml:space="preserve">between sites </w:t>
      </w:r>
      <w:r w:rsidRPr="659C6AC8" w:rsidR="1CA87E47">
        <w:rPr>
          <w:rFonts w:ascii="Calibri" w:hAnsi="Calibri" w:eastAsia="Calibri" w:cs="Calibri"/>
          <w:noProof w:val="0"/>
          <w:sz w:val="24"/>
          <w:szCs w:val="24"/>
          <w:lang w:val="en-US"/>
        </w:rPr>
        <w:t xml:space="preserve">within the same biome due to changes in canopy structure. Instead, canopy structure, and the remotely </w:t>
      </w:r>
      <w:r w:rsidRPr="659C6AC8" w:rsidR="1CA87E47">
        <w:rPr>
          <w:rFonts w:ascii="Calibri" w:hAnsi="Calibri" w:eastAsia="Calibri" w:cs="Calibri"/>
          <w:noProof w:val="0"/>
          <w:sz w:val="24"/>
          <w:szCs w:val="24"/>
          <w:lang w:val="en-US"/>
        </w:rPr>
        <w:t xml:space="preserve">sensed </w:t>
      </w:r>
      <w:r w:rsidRPr="659C6AC8" w:rsidR="1CA87E47">
        <w:rPr>
          <w:rFonts w:ascii="Calibri" w:hAnsi="Calibri" w:eastAsia="Calibri" w:cs="Calibri"/>
          <w:noProof w:val="0"/>
          <w:sz w:val="24"/>
          <w:szCs w:val="24"/>
          <w:lang w:val="en-US"/>
        </w:rPr>
        <w:t>fesc</w:t>
      </w:r>
      <w:r w:rsidRPr="659C6AC8" w:rsidR="1CA87E47">
        <w:rPr>
          <w:rFonts w:ascii="Calibri" w:hAnsi="Calibri" w:eastAsia="Calibri" w:cs="Calibri"/>
          <w:noProof w:val="0"/>
          <w:sz w:val="24"/>
          <w:szCs w:val="24"/>
          <w:lang w:val="en-US"/>
        </w:rPr>
        <w:t xml:space="preserve"> in particular, may be a more suitable variable for constraining estimates of </w:t>
      </w:r>
      <w:r w:rsidRPr="659C6AC8" w:rsidR="1CA87E47">
        <w:rPr>
          <w:rFonts w:ascii="Calibri" w:hAnsi="Calibri" w:eastAsia="Calibri" w:cs="Calibri"/>
          <w:noProof w:val="0"/>
          <w:sz w:val="24"/>
          <w:szCs w:val="24"/>
          <w:lang w:val="en-US"/>
        </w:rPr>
        <w:t>LUEmax</w:t>
      </w:r>
      <w:r w:rsidRPr="659C6AC8" w:rsidR="1CA87E47">
        <w:rPr>
          <w:rFonts w:ascii="Calibri" w:hAnsi="Calibri" w:eastAsia="Calibri" w:cs="Calibri"/>
          <w:noProof w:val="0"/>
          <w:sz w:val="24"/>
          <w:szCs w:val="24"/>
          <w:lang w:val="en-US"/>
        </w:rPr>
        <w:t xml:space="preserve"> across different ecosystems. </w:t>
      </w:r>
    </w:p>
    <w:p w:rsidR="002C2021" w:rsidP="659C6AC8" w:rsidRDefault="002C2021" w14:paraId="7BD5D3FE" w14:textId="488C6720">
      <w:pPr>
        <w:pStyle w:val="Normal"/>
        <w:suppressLineNumbers w:val="0"/>
        <w:bidi w:val="0"/>
        <w:spacing w:before="0" w:beforeAutospacing="off" w:after="0" w:afterAutospacing="off" w:line="259" w:lineRule="auto"/>
        <w:ind w:left="0" w:right="0"/>
        <w:jc w:val="left"/>
        <w:rPr>
          <w:rFonts w:ascii="Calibri" w:hAnsi="Calibri" w:eastAsia="Calibri" w:cs="Calibri"/>
          <w:noProof w:val="0"/>
          <w:sz w:val="24"/>
          <w:szCs w:val="24"/>
          <w:lang w:val="en-US"/>
        </w:rPr>
      </w:pPr>
    </w:p>
    <w:p w:rsidR="002C2021" w:rsidP="659C6AC8" w:rsidRDefault="002C2021" w14:paraId="0B94F36F" w14:textId="175E2BF1">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29261B"/>
          <w:sz w:val="24"/>
          <w:szCs w:val="24"/>
          <w:lang w:val="en-US"/>
        </w:rPr>
      </w:pPr>
      <w:r w:rsidRPr="659C6AC8" w:rsidR="65834E9C">
        <w:rPr>
          <w:rFonts w:ascii="Calibri" w:hAnsi="Calibri" w:eastAsia="Calibri" w:cs="Calibri"/>
          <w:noProof w:val="0"/>
          <w:sz w:val="24"/>
          <w:szCs w:val="24"/>
          <w:lang w:val="en-US"/>
        </w:rPr>
        <w:t xml:space="preserve">There are several challenges and limitations associated with this study that present opportunities for future research. Firstly, while </w:t>
      </w:r>
      <w:r w:rsidRPr="659C6AC8" w:rsidR="65834E9C">
        <w:rPr>
          <w:rFonts w:ascii="Calibri" w:hAnsi="Calibri" w:eastAsia="Calibri" w:cs="Calibri"/>
          <w:noProof w:val="0"/>
          <w:sz w:val="24"/>
          <w:szCs w:val="24"/>
          <w:lang w:val="en-US"/>
        </w:rPr>
        <w:t>fesc</w:t>
      </w:r>
      <w:r w:rsidRPr="659C6AC8" w:rsidR="65834E9C">
        <w:rPr>
          <w:rFonts w:ascii="Calibri" w:hAnsi="Calibri" w:eastAsia="Calibri" w:cs="Calibri"/>
          <w:noProof w:val="0"/>
          <w:sz w:val="24"/>
          <w:szCs w:val="24"/>
          <w:lang w:val="en-US"/>
        </w:rPr>
        <w:t xml:space="preserve"> is commonly used as an indicator of canopy structure, its approximation using the ratio of </w:t>
      </w:r>
      <w:r w:rsidRPr="659C6AC8" w:rsidR="65834E9C">
        <w:rPr>
          <w:rFonts w:ascii="Calibri" w:hAnsi="Calibri" w:eastAsia="Calibri" w:cs="Calibri"/>
          <w:noProof w:val="0"/>
          <w:sz w:val="24"/>
          <w:szCs w:val="24"/>
          <w:lang w:val="en-US"/>
        </w:rPr>
        <w:t>NIRv</w:t>
      </w:r>
      <w:r w:rsidRPr="659C6AC8" w:rsidR="65834E9C">
        <w:rPr>
          <w:rFonts w:ascii="Calibri" w:hAnsi="Calibri" w:eastAsia="Calibri" w:cs="Calibri"/>
          <w:noProof w:val="0"/>
          <w:sz w:val="24"/>
          <w:szCs w:val="24"/>
          <w:lang w:val="en-US"/>
        </w:rPr>
        <w:t xml:space="preserve"> to </w:t>
      </w:r>
      <w:r w:rsidRPr="659C6AC8" w:rsidR="65834E9C">
        <w:rPr>
          <w:rFonts w:ascii="Calibri" w:hAnsi="Calibri" w:eastAsia="Calibri" w:cs="Calibri"/>
          <w:noProof w:val="0"/>
          <w:sz w:val="24"/>
          <w:szCs w:val="24"/>
          <w:lang w:val="en-US"/>
        </w:rPr>
        <w:t>fPAR</w:t>
      </w:r>
      <w:r w:rsidRPr="659C6AC8" w:rsidR="65834E9C">
        <w:rPr>
          <w:rFonts w:ascii="Calibri" w:hAnsi="Calibri" w:eastAsia="Calibri" w:cs="Calibri"/>
          <w:noProof w:val="0"/>
          <w:sz w:val="24"/>
          <w:szCs w:val="24"/>
          <w:lang w:val="en-US"/>
        </w:rPr>
        <w:t xml:space="preserve"> has certain inherent constraints. Ideally, </w:t>
      </w:r>
      <w:r w:rsidRPr="659C6AC8" w:rsidR="65834E9C">
        <w:rPr>
          <w:rFonts w:ascii="Calibri" w:hAnsi="Calibri" w:eastAsia="Calibri" w:cs="Calibri"/>
          <w:noProof w:val="0"/>
          <w:sz w:val="24"/>
          <w:szCs w:val="24"/>
          <w:lang w:val="en-US"/>
        </w:rPr>
        <w:t>fesc</w:t>
      </w:r>
      <w:r w:rsidRPr="659C6AC8" w:rsidR="65834E9C">
        <w:rPr>
          <w:rFonts w:ascii="Calibri" w:hAnsi="Calibri" w:eastAsia="Calibri" w:cs="Calibri"/>
          <w:noProof w:val="0"/>
          <w:sz w:val="24"/>
          <w:szCs w:val="24"/>
          <w:lang w:val="en-US"/>
        </w:rPr>
        <w:t xml:space="preserve"> should always be less than one, as it </w:t>
      </w:r>
      <w:r w:rsidRPr="659C6AC8" w:rsidR="65834E9C">
        <w:rPr>
          <w:rFonts w:ascii="Calibri" w:hAnsi="Calibri" w:eastAsia="Calibri" w:cs="Calibri"/>
          <w:noProof w:val="0"/>
          <w:sz w:val="24"/>
          <w:szCs w:val="24"/>
          <w:lang w:val="en-US"/>
        </w:rPr>
        <w:t>represents</w:t>
      </w:r>
      <w:r w:rsidRPr="659C6AC8" w:rsidR="65834E9C">
        <w:rPr>
          <w:rFonts w:ascii="Calibri" w:hAnsi="Calibri" w:eastAsia="Calibri" w:cs="Calibri"/>
          <w:noProof w:val="0"/>
          <w:sz w:val="24"/>
          <w:szCs w:val="24"/>
          <w:lang w:val="en-US"/>
        </w:rPr>
        <w:t xml:space="preserve"> the fraction of photons escaping the canopy which cannot exceed the total incoming photons. However, during our analysis, we </w:t>
      </w:r>
      <w:r w:rsidRPr="659C6AC8" w:rsidR="65834E9C">
        <w:rPr>
          <w:rFonts w:ascii="Calibri" w:hAnsi="Calibri" w:eastAsia="Calibri" w:cs="Calibri"/>
          <w:noProof w:val="0"/>
          <w:sz w:val="24"/>
          <w:szCs w:val="24"/>
          <w:lang w:val="en-US"/>
        </w:rPr>
        <w:t>encounter</w:t>
      </w:r>
      <w:r w:rsidRPr="659C6AC8" w:rsidR="65834E9C">
        <w:rPr>
          <w:rFonts w:ascii="Calibri" w:hAnsi="Calibri" w:eastAsia="Calibri" w:cs="Calibri"/>
          <w:noProof w:val="0"/>
          <w:sz w:val="24"/>
          <w:szCs w:val="24"/>
          <w:lang w:val="en-US"/>
        </w:rPr>
        <w:t>ed</w:t>
      </w:r>
      <w:r w:rsidRPr="659C6AC8" w:rsidR="65834E9C">
        <w:rPr>
          <w:rFonts w:ascii="Calibri" w:hAnsi="Calibri" w:eastAsia="Calibri" w:cs="Calibri"/>
          <w:noProof w:val="0"/>
          <w:sz w:val="24"/>
          <w:szCs w:val="24"/>
          <w:lang w:val="en-US"/>
        </w:rPr>
        <w:t xml:space="preserve"> a few sites where </w:t>
      </w:r>
      <w:r w:rsidRPr="659C6AC8" w:rsidR="65834E9C">
        <w:rPr>
          <w:rFonts w:ascii="Calibri" w:hAnsi="Calibri" w:eastAsia="Calibri" w:cs="Calibri"/>
          <w:noProof w:val="0"/>
          <w:sz w:val="24"/>
          <w:szCs w:val="24"/>
          <w:lang w:val="en-US"/>
        </w:rPr>
        <w:t>fesc</w:t>
      </w:r>
      <w:r w:rsidRPr="659C6AC8" w:rsidR="65834E9C">
        <w:rPr>
          <w:rFonts w:ascii="Calibri" w:hAnsi="Calibri" w:eastAsia="Calibri" w:cs="Calibri"/>
          <w:noProof w:val="0"/>
          <w:sz w:val="24"/>
          <w:szCs w:val="24"/>
          <w:lang w:val="en-US"/>
        </w:rPr>
        <w:t xml:space="preserve"> values exceeded one. This discrepancy could stem from </w:t>
      </w:r>
      <w:r w:rsidRPr="659C6AC8" w:rsidR="65834E9C">
        <w:rPr>
          <w:rFonts w:ascii="Calibri" w:hAnsi="Calibri" w:eastAsia="Calibri" w:cs="Calibri"/>
          <w:noProof w:val="0"/>
          <w:sz w:val="24"/>
          <w:szCs w:val="24"/>
          <w:lang w:val="en-US"/>
        </w:rPr>
        <w:t>various factors</w:t>
      </w:r>
      <w:r w:rsidRPr="659C6AC8" w:rsidR="65834E9C">
        <w:rPr>
          <w:rFonts w:ascii="Calibri" w:hAnsi="Calibri" w:eastAsia="Calibri" w:cs="Calibri"/>
          <w:noProof w:val="0"/>
          <w:sz w:val="24"/>
          <w:szCs w:val="24"/>
          <w:lang w:val="en-US"/>
        </w:rPr>
        <w:t xml:space="preserve">, ranging from data quality issues to underlying assumptions in the </w:t>
      </w:r>
      <w:r w:rsidRPr="659C6AC8" w:rsidR="65834E9C">
        <w:rPr>
          <w:rFonts w:ascii="Calibri" w:hAnsi="Calibri" w:eastAsia="Calibri" w:cs="Calibri"/>
          <w:noProof w:val="0"/>
          <w:sz w:val="24"/>
          <w:szCs w:val="24"/>
          <w:lang w:val="en-US"/>
        </w:rPr>
        <w:t>fesc</w:t>
      </w:r>
      <w:r w:rsidRPr="659C6AC8" w:rsidR="65834E9C">
        <w:rPr>
          <w:rFonts w:ascii="Calibri" w:hAnsi="Calibri" w:eastAsia="Calibri" w:cs="Calibri"/>
          <w:noProof w:val="0"/>
          <w:sz w:val="24"/>
          <w:szCs w:val="24"/>
          <w:lang w:val="en-US"/>
        </w:rPr>
        <w:t xml:space="preserve"> estimation.</w:t>
      </w:r>
      <w:r w:rsidRPr="659C6AC8" w:rsidR="2E7FD7F2">
        <w:rPr>
          <w:rFonts w:ascii="Calibri" w:hAnsi="Calibri" w:eastAsia="Calibri" w:cs="Calibri"/>
          <w:noProof w:val="0"/>
          <w:sz w:val="24"/>
          <w:szCs w:val="24"/>
          <w:lang w:val="en-US"/>
        </w:rPr>
        <w:t xml:space="preserve"> For instance, </w:t>
      </w:r>
      <w:r w:rsidRPr="659C6AC8" w:rsidR="2E7FD7F2">
        <w:rPr>
          <w:rFonts w:ascii="Calibri" w:hAnsi="Calibri" w:eastAsia="Calibri" w:cs="Calibri"/>
          <w:noProof w:val="0"/>
          <w:sz w:val="24"/>
          <w:szCs w:val="24"/>
          <w:lang w:val="en-US"/>
        </w:rPr>
        <w:t>it's</w:t>
      </w:r>
      <w:r w:rsidRPr="659C6AC8" w:rsidR="2E7FD7F2">
        <w:rPr>
          <w:rFonts w:ascii="Calibri" w:hAnsi="Calibri" w:eastAsia="Calibri" w:cs="Calibri"/>
          <w:noProof w:val="0"/>
          <w:sz w:val="24"/>
          <w:szCs w:val="24"/>
          <w:lang w:val="en-US"/>
        </w:rPr>
        <w:t xml:space="preserve"> conceivable that a site with a closed canopy might experience some level of stress, reducing its chlorophyll content and affecting </w:t>
      </w:r>
      <w:r w:rsidRPr="659C6AC8" w:rsidR="2E7FD7F2">
        <w:rPr>
          <w:rFonts w:ascii="Calibri" w:hAnsi="Calibri" w:eastAsia="Calibri" w:cs="Calibri"/>
          <w:noProof w:val="0"/>
          <w:sz w:val="24"/>
          <w:szCs w:val="24"/>
          <w:lang w:val="en-US"/>
        </w:rPr>
        <w:t>fPAR</w:t>
      </w:r>
      <w:r w:rsidRPr="659C6AC8" w:rsidR="2E7FD7F2">
        <w:rPr>
          <w:rFonts w:ascii="Calibri" w:hAnsi="Calibri" w:eastAsia="Calibri" w:cs="Calibri"/>
          <w:noProof w:val="0"/>
          <w:sz w:val="24"/>
          <w:szCs w:val="24"/>
          <w:lang w:val="en-US"/>
        </w:rPr>
        <w:t xml:space="preserve">, while simultaneously </w:t>
      </w:r>
      <w:r w:rsidRPr="659C6AC8" w:rsidR="2E7FD7F2">
        <w:rPr>
          <w:rFonts w:ascii="Calibri" w:hAnsi="Calibri" w:eastAsia="Calibri" w:cs="Calibri"/>
          <w:noProof w:val="0"/>
          <w:sz w:val="24"/>
          <w:szCs w:val="24"/>
          <w:lang w:val="en-US"/>
        </w:rPr>
        <w:t>exhibiting</w:t>
      </w:r>
      <w:r w:rsidRPr="659C6AC8" w:rsidR="2E7FD7F2">
        <w:rPr>
          <w:rFonts w:ascii="Calibri" w:hAnsi="Calibri" w:eastAsia="Calibri" w:cs="Calibri"/>
          <w:noProof w:val="0"/>
          <w:sz w:val="24"/>
          <w:szCs w:val="24"/>
          <w:lang w:val="en-US"/>
        </w:rPr>
        <w:t xml:space="preserve"> high </w:t>
      </w:r>
      <w:r w:rsidRPr="659C6AC8" w:rsidR="2E7FD7F2">
        <w:rPr>
          <w:rFonts w:ascii="Calibri" w:hAnsi="Calibri" w:eastAsia="Calibri" w:cs="Calibri"/>
          <w:noProof w:val="0"/>
          <w:sz w:val="24"/>
          <w:szCs w:val="24"/>
          <w:lang w:val="en-US"/>
        </w:rPr>
        <w:t>NIRv</w:t>
      </w:r>
      <w:r w:rsidRPr="659C6AC8" w:rsidR="2E7FD7F2">
        <w:rPr>
          <w:rFonts w:ascii="Calibri" w:hAnsi="Calibri" w:eastAsia="Calibri" w:cs="Calibri"/>
          <w:noProof w:val="0"/>
          <w:sz w:val="24"/>
          <w:szCs w:val="24"/>
          <w:lang w:val="en-US"/>
        </w:rPr>
        <w:t xml:space="preserve"> values, leading to </w:t>
      </w:r>
      <w:r w:rsidRPr="659C6AC8" w:rsidR="2E7FD7F2">
        <w:rPr>
          <w:rFonts w:ascii="Calibri" w:hAnsi="Calibri" w:eastAsia="Calibri" w:cs="Calibri"/>
          <w:noProof w:val="0"/>
          <w:sz w:val="24"/>
          <w:szCs w:val="24"/>
          <w:lang w:val="en-US"/>
        </w:rPr>
        <w:t>fesc</w:t>
      </w:r>
      <w:r w:rsidRPr="659C6AC8" w:rsidR="2E7FD7F2">
        <w:rPr>
          <w:rFonts w:ascii="Calibri" w:hAnsi="Calibri" w:eastAsia="Calibri" w:cs="Calibri"/>
          <w:noProof w:val="0"/>
          <w:sz w:val="24"/>
          <w:szCs w:val="24"/>
          <w:lang w:val="en-US"/>
        </w:rPr>
        <w:t xml:space="preserve"> values greater than one. Furthermore, in calculating </w:t>
      </w:r>
      <w:r w:rsidRPr="659C6AC8" w:rsidR="2E7FD7F2">
        <w:rPr>
          <w:rFonts w:ascii="Calibri" w:hAnsi="Calibri" w:eastAsia="Calibri" w:cs="Calibri"/>
          <w:noProof w:val="0"/>
          <w:sz w:val="24"/>
          <w:szCs w:val="24"/>
          <w:lang w:val="en-US"/>
        </w:rPr>
        <w:t>fesc</w:t>
      </w:r>
      <w:r w:rsidRPr="659C6AC8" w:rsidR="2E7FD7F2">
        <w:rPr>
          <w:rFonts w:ascii="Calibri" w:hAnsi="Calibri" w:eastAsia="Calibri" w:cs="Calibri"/>
          <w:noProof w:val="0"/>
          <w:sz w:val="24"/>
          <w:szCs w:val="24"/>
          <w:lang w:val="en-US"/>
        </w:rPr>
        <w:t xml:space="preserve">, we assume that soil does not contribute, and that red reflectance values of plants in the scene can be approximated using NDVI*NIR (Yang and van der Tol 2018; Zeng et al. 2019). However, these assumptions may not hold true in scenarios such as sparse canopy cover, where soil can </w:t>
      </w:r>
      <w:r w:rsidRPr="659C6AC8" w:rsidR="2E7FD7F2">
        <w:rPr>
          <w:rFonts w:ascii="Calibri" w:hAnsi="Calibri" w:eastAsia="Calibri" w:cs="Calibri"/>
          <w:noProof w:val="0"/>
          <w:sz w:val="24"/>
          <w:szCs w:val="24"/>
          <w:lang w:val="en-US"/>
        </w:rPr>
        <w:t>impact</w:t>
      </w:r>
      <w:r w:rsidRPr="659C6AC8" w:rsidR="2E7FD7F2">
        <w:rPr>
          <w:rFonts w:ascii="Calibri" w:hAnsi="Calibri" w:eastAsia="Calibri" w:cs="Calibri"/>
          <w:noProof w:val="0"/>
          <w:sz w:val="24"/>
          <w:szCs w:val="24"/>
          <w:lang w:val="en-US"/>
        </w:rPr>
        <w:t xml:space="preserve"> both NDVI and NIR. </w:t>
      </w:r>
      <w:r w:rsidRPr="659C6AC8" w:rsidR="50ECC5B5">
        <w:rPr>
          <w:rFonts w:ascii="Calibri" w:hAnsi="Calibri" w:eastAsia="Calibri" w:cs="Calibri"/>
          <w:b w:val="0"/>
          <w:bCs w:val="0"/>
          <w:i w:val="0"/>
          <w:iCs w:val="0"/>
          <w:caps w:val="0"/>
          <w:smallCaps w:val="0"/>
          <w:noProof w:val="0"/>
          <w:color w:val="29261B"/>
          <w:sz w:val="24"/>
          <w:szCs w:val="24"/>
          <w:lang w:val="en-US"/>
        </w:rPr>
        <w:t xml:space="preserve">Additionally, it is important to note that in the hotspot angular region, the reflectance can potentially exceed 1 due to coherent backscattering, specular reflections, and multiple scattering effects (Hapke 1993; Verhoef and Bach 2007). This could lead to </w:t>
      </w:r>
      <w:r w:rsidRPr="659C6AC8" w:rsidR="50ECC5B5">
        <w:rPr>
          <w:rFonts w:ascii="Calibri" w:hAnsi="Calibri" w:eastAsia="Calibri" w:cs="Calibri"/>
          <w:b w:val="0"/>
          <w:bCs w:val="0"/>
          <w:i w:val="0"/>
          <w:iCs w:val="0"/>
          <w:caps w:val="0"/>
          <w:smallCaps w:val="0"/>
          <w:noProof w:val="0"/>
          <w:color w:val="29261B"/>
          <w:sz w:val="24"/>
          <w:szCs w:val="24"/>
          <w:lang w:val="en-US"/>
        </w:rPr>
        <w:t>fesc</w:t>
      </w:r>
      <w:r w:rsidRPr="659C6AC8" w:rsidR="50ECC5B5">
        <w:rPr>
          <w:rFonts w:ascii="Calibri" w:hAnsi="Calibri" w:eastAsia="Calibri" w:cs="Calibri"/>
          <w:b w:val="0"/>
          <w:bCs w:val="0"/>
          <w:i w:val="0"/>
          <w:iCs w:val="0"/>
          <w:caps w:val="0"/>
          <w:smallCaps w:val="0"/>
          <w:noProof w:val="0"/>
          <w:color w:val="29261B"/>
          <w:sz w:val="24"/>
          <w:szCs w:val="24"/>
          <w:lang w:val="en-US"/>
        </w:rPr>
        <w:t xml:space="preserve"> values greater than 1 in the hotspot direction, even if the overall canopy reflectance is less than 1. More theoretical work is needed to fully understand the impact of various canopy elements and structural characteristics on the </w:t>
      </w:r>
      <w:r w:rsidRPr="659C6AC8" w:rsidR="50ECC5B5">
        <w:rPr>
          <w:rFonts w:ascii="Calibri" w:hAnsi="Calibri" w:eastAsia="Calibri" w:cs="Calibri"/>
          <w:b w:val="0"/>
          <w:bCs w:val="0"/>
          <w:i w:val="0"/>
          <w:iCs w:val="0"/>
          <w:caps w:val="0"/>
          <w:smallCaps w:val="0"/>
          <w:noProof w:val="0"/>
          <w:color w:val="29261B"/>
          <w:sz w:val="24"/>
          <w:szCs w:val="24"/>
          <w:lang w:val="en-US"/>
        </w:rPr>
        <w:t>fesc</w:t>
      </w:r>
      <w:r w:rsidRPr="659C6AC8" w:rsidR="50ECC5B5">
        <w:rPr>
          <w:rFonts w:ascii="Calibri" w:hAnsi="Calibri" w:eastAsia="Calibri" w:cs="Calibri"/>
          <w:b w:val="0"/>
          <w:bCs w:val="0"/>
          <w:i w:val="0"/>
          <w:iCs w:val="0"/>
          <w:caps w:val="0"/>
          <w:smallCaps w:val="0"/>
          <w:noProof w:val="0"/>
          <w:color w:val="29261B"/>
          <w:sz w:val="24"/>
          <w:szCs w:val="24"/>
          <w:lang w:val="en-US"/>
        </w:rPr>
        <w:t xml:space="preserve"> metric.</w:t>
      </w:r>
    </w:p>
    <w:p w:rsidR="002C2021" w:rsidP="659C6AC8" w:rsidRDefault="002C2021" w14:paraId="3E433A38" w14:textId="08AE60C4">
      <w:pPr>
        <w:pStyle w:val="Normal"/>
        <w:suppressLineNumbers w:val="0"/>
        <w:bidi w:val="0"/>
        <w:spacing w:before="0" w:beforeAutospacing="off" w:after="0" w:afterAutospacing="off" w:line="259" w:lineRule="auto"/>
        <w:ind w:left="0" w:right="0"/>
        <w:jc w:val="left"/>
        <w:rPr/>
      </w:pPr>
    </w:p>
    <w:p w:rsidR="002C2021" w:rsidP="659C6AC8" w:rsidRDefault="002C2021" w14:paraId="0E2BCA2E" w14:textId="6494CF5C">
      <w:pPr>
        <w:pStyle w:val="Normal"/>
        <w:suppressLineNumbers w:val="0"/>
        <w:bidi w:val="0"/>
        <w:spacing w:before="0" w:beforeAutospacing="off" w:after="0" w:afterAutospacing="off" w:line="259" w:lineRule="auto"/>
        <w:ind w:left="0" w:right="0"/>
        <w:jc w:val="left"/>
        <w:rPr>
          <w:rFonts w:ascii="Calibri" w:hAnsi="Calibri" w:eastAsia="Calibri" w:cs="Calibri"/>
          <w:b w:val="0"/>
          <w:bCs w:val="0"/>
          <w:i w:val="0"/>
          <w:iCs w:val="0"/>
          <w:caps w:val="0"/>
          <w:smallCaps w:val="0"/>
          <w:noProof w:val="0"/>
          <w:color w:val="29261B"/>
          <w:sz w:val="24"/>
          <w:szCs w:val="24"/>
          <w:lang w:val="en-US"/>
        </w:rPr>
      </w:pPr>
      <w:r w:rsidR="096660B4">
        <w:rPr/>
        <w:t xml:space="preserve">Similarly, the definition and estimation of </w:t>
      </w:r>
      <w:r w:rsidR="096660B4">
        <w:rPr/>
        <w:t>maximum</w:t>
      </w:r>
      <w:r w:rsidR="096660B4">
        <w:rPr/>
        <w:t xml:space="preserve"> LUE (</w:t>
      </w:r>
      <w:r w:rsidR="096660B4">
        <w:rPr/>
        <w:t>LUEmax</w:t>
      </w:r>
      <w:r w:rsidR="096660B4">
        <w:rPr/>
        <w:t xml:space="preserve">) poses its own challenges. In this study, we simply chose the median of annual </w:t>
      </w:r>
      <w:r w:rsidR="096660B4">
        <w:rPr/>
        <w:t>maximum</w:t>
      </w:r>
      <w:r w:rsidR="096660B4">
        <w:rPr/>
        <w:t xml:space="preserve"> LUE values for each site as the representative </w:t>
      </w:r>
      <w:r w:rsidR="096660B4">
        <w:rPr/>
        <w:t>LUEmax</w:t>
      </w:r>
      <w:r w:rsidR="096660B4">
        <w:rPr/>
        <w:t xml:space="preserve">. However, this approach may overlook year-to-year variations in </w:t>
      </w:r>
      <w:r w:rsidR="096660B4">
        <w:rPr/>
        <w:t>LUEmax</w:t>
      </w:r>
      <w:r w:rsidR="096660B4">
        <w:rPr/>
        <w:t xml:space="preserve"> due to factors such as environmental stress. Nonetheless, we assume that given the </w:t>
      </w:r>
      <w:r w:rsidR="096660B4">
        <w:rPr/>
        <w:t>large number</w:t>
      </w:r>
      <w:r w:rsidR="096660B4">
        <w:rPr/>
        <w:t xml:space="preserve"> of sites included in our analysis, the impact of such inter-annual variations would be minimal.</w:t>
      </w:r>
    </w:p>
    <w:p w:rsidR="002C2021" w:rsidP="659C6AC8" w:rsidRDefault="002C2021" w14:paraId="7DD37B07" w14:textId="1FF97771">
      <w:pPr>
        <w:pStyle w:val="Normal"/>
        <w:spacing w:after="120"/>
        <w:rPr/>
      </w:pPr>
    </w:p>
    <w:p w:rsidR="002C2021" w:rsidP="659C6AC8" w:rsidRDefault="002C2021" w14:paraId="1DF27100" w14:textId="79450C27">
      <w:pPr>
        <w:pStyle w:val="Normal"/>
        <w:spacing w:after="120"/>
        <w:rPr/>
      </w:pPr>
      <w:r w:rsidR="096660B4">
        <w:rPr/>
        <w:t>Despite these limitations, we believe our results open new windows toward bridging our understanding of plant physiolog</w:t>
      </w:r>
      <w:r w:rsidR="5CC263E6">
        <w:rPr/>
        <w:t>y and structure</w:t>
      </w:r>
      <w:r w:rsidR="096660B4">
        <w:rPr/>
        <w:t xml:space="preserve"> with their optical properties as</w:t>
      </w:r>
      <w:r w:rsidR="096660B4">
        <w:rPr/>
        <w:t xml:space="preserve"> </w:t>
      </w:r>
      <w:r w:rsidR="096660B4">
        <w:rPr/>
        <w:t>observed</w:t>
      </w:r>
      <w:r w:rsidR="096660B4">
        <w:rPr/>
        <w:t xml:space="preserve"> from remote sensing. Further refinements in the estimation of key variables like </w:t>
      </w:r>
      <w:r w:rsidR="096660B4">
        <w:rPr/>
        <w:t>fesc</w:t>
      </w:r>
      <w:r w:rsidR="096660B4">
        <w:rPr/>
        <w:t xml:space="preserve"> and </w:t>
      </w:r>
      <w:r w:rsidR="096660B4">
        <w:rPr/>
        <w:t>LUEmax</w:t>
      </w:r>
      <w:r w:rsidR="096660B4">
        <w:rPr/>
        <w:t>, as well as the integration of process-based models, can help elucidate the mechanisms underlying the observed relationships.</w:t>
      </w:r>
    </w:p>
    <w:p w:rsidR="002C2021" w:rsidP="006B376E" w:rsidRDefault="002C2021" w14:paraId="20F63B6B" w14:textId="42D64D0E">
      <w:pPr>
        <w:pStyle w:val="Heading1"/>
      </w:pPr>
      <w:r>
        <w:t>References</w:t>
      </w:r>
    </w:p>
    <w:p w:rsidRPr="00A31F09" w:rsidR="00A31F09" w:rsidP="00A31F09" w:rsidRDefault="002C2021" w14:paraId="086AE989" w14:textId="77777777">
      <w:pPr>
        <w:pStyle w:val="Bibliography"/>
        <w:rPr>
          <w:rFonts w:cs="Calibri"/>
        </w:rPr>
      </w:pPr>
      <w:r>
        <w:fldChar w:fldCharType="begin"/>
      </w:r>
      <w:r>
        <w:instrText xml:space="preserve"> ADDIN ZOTERO_BIBL {"uncited":[],"omitted":[],"custom":[]} CSL_BIBLIOGRAPHY </w:instrText>
      </w:r>
      <w:r>
        <w:fldChar w:fldCharType="separate"/>
      </w:r>
      <w:proofErr w:type="spellStart"/>
      <w:r w:rsidRPr="00A31F09" w:rsidR="00A31F09">
        <w:rPr>
          <w:rFonts w:cs="Calibri"/>
        </w:rPr>
        <w:t>Dechant</w:t>
      </w:r>
      <w:proofErr w:type="spellEnd"/>
      <w:r w:rsidRPr="00A31F09" w:rsidR="00A31F09">
        <w:rPr>
          <w:rFonts w:cs="Calibri"/>
        </w:rPr>
        <w:t xml:space="preserve">, Benjamin, </w:t>
      </w:r>
      <w:proofErr w:type="spellStart"/>
      <w:r w:rsidRPr="00A31F09" w:rsidR="00A31F09">
        <w:rPr>
          <w:rFonts w:cs="Calibri"/>
        </w:rPr>
        <w:t>Youngryel</w:t>
      </w:r>
      <w:proofErr w:type="spellEnd"/>
      <w:r w:rsidRPr="00A31F09" w:rsidR="00A31F09">
        <w:rPr>
          <w:rFonts w:cs="Calibri"/>
        </w:rPr>
        <w:t xml:space="preserve"> Ryu, Grayson </w:t>
      </w:r>
      <w:proofErr w:type="spellStart"/>
      <w:r w:rsidRPr="00A31F09" w:rsidR="00A31F09">
        <w:rPr>
          <w:rFonts w:cs="Calibri"/>
        </w:rPr>
        <w:t>Badgley</w:t>
      </w:r>
      <w:proofErr w:type="spellEnd"/>
      <w:r w:rsidRPr="00A31F09" w:rsidR="00A31F09">
        <w:rPr>
          <w:rFonts w:cs="Calibri"/>
        </w:rPr>
        <w:t xml:space="preserve">, </w:t>
      </w:r>
      <w:proofErr w:type="spellStart"/>
      <w:r w:rsidRPr="00A31F09" w:rsidR="00A31F09">
        <w:rPr>
          <w:rFonts w:cs="Calibri"/>
        </w:rPr>
        <w:t>Yelu</w:t>
      </w:r>
      <w:proofErr w:type="spellEnd"/>
      <w:r w:rsidRPr="00A31F09" w:rsidR="00A31F09">
        <w:rPr>
          <w:rFonts w:cs="Calibri"/>
        </w:rPr>
        <w:t xml:space="preserve"> Zeng, Joseph A. Berry, </w:t>
      </w:r>
      <w:proofErr w:type="spellStart"/>
      <w:r w:rsidRPr="00A31F09" w:rsidR="00A31F09">
        <w:rPr>
          <w:rFonts w:cs="Calibri"/>
        </w:rPr>
        <w:t>Yongguang</w:t>
      </w:r>
      <w:proofErr w:type="spellEnd"/>
      <w:r w:rsidRPr="00A31F09" w:rsidR="00A31F09">
        <w:rPr>
          <w:rFonts w:cs="Calibri"/>
        </w:rPr>
        <w:t xml:space="preserve"> Zhang, Yves </w:t>
      </w:r>
      <w:proofErr w:type="spellStart"/>
      <w:r w:rsidRPr="00A31F09" w:rsidR="00A31F09">
        <w:rPr>
          <w:rFonts w:cs="Calibri"/>
        </w:rPr>
        <w:t>Goulas</w:t>
      </w:r>
      <w:proofErr w:type="spellEnd"/>
      <w:r w:rsidRPr="00A31F09" w:rsidR="00A31F09">
        <w:rPr>
          <w:rFonts w:cs="Calibri"/>
        </w:rPr>
        <w:t xml:space="preserve">, et al. 2020. “Canopy Structure Explains the Relationship between Photosynthesis and Sun-Induced Chlorophyll Fluorescence in Crops.” </w:t>
      </w:r>
      <w:r w:rsidRPr="00A31F09" w:rsidR="00A31F09">
        <w:rPr>
          <w:rFonts w:cs="Calibri"/>
          <w:i/>
          <w:iCs/>
        </w:rPr>
        <w:t>Remote Sensing of Environment</w:t>
      </w:r>
      <w:r w:rsidRPr="00A31F09" w:rsidR="00A31F09">
        <w:rPr>
          <w:rFonts w:cs="Calibri"/>
        </w:rPr>
        <w:t xml:space="preserve"> 241 (May): 111733. https://doi.org/10.1016/j.rse.2020.111733.</w:t>
      </w:r>
    </w:p>
    <w:p w:rsidRPr="00A31F09" w:rsidR="00A31F09" w:rsidP="00A31F09" w:rsidRDefault="00A31F09" w14:paraId="088DDF6D" w14:textId="77777777">
      <w:pPr>
        <w:pStyle w:val="Bibliography"/>
        <w:rPr>
          <w:rFonts w:cs="Calibri"/>
        </w:rPr>
      </w:pPr>
      <w:proofErr w:type="spellStart"/>
      <w:r w:rsidRPr="00A31F09">
        <w:rPr>
          <w:rFonts w:cs="Calibri"/>
        </w:rPr>
        <w:t>Gamon</w:t>
      </w:r>
      <w:proofErr w:type="spellEnd"/>
      <w:r w:rsidRPr="00A31F09">
        <w:rPr>
          <w:rFonts w:cs="Calibri"/>
        </w:rPr>
        <w:t xml:space="preserve">, J.A., and J.A. Berry. 2012. “Facultative and Constitutive Pigment Effects on the Photochemical Reflectance Index (PRI) in Sun and Shade Conifer Needles.” </w:t>
      </w:r>
      <w:r w:rsidRPr="00A31F09">
        <w:rPr>
          <w:rFonts w:cs="Calibri"/>
          <w:i/>
          <w:iCs/>
        </w:rPr>
        <w:t>Israel Journal of Plant Sciences</w:t>
      </w:r>
      <w:r w:rsidRPr="00A31F09">
        <w:rPr>
          <w:rFonts w:cs="Calibri"/>
        </w:rPr>
        <w:t xml:space="preserve"> 60 (1–2): 85–95. https://doi.org/10.1560/IJPS.60.1-2.85.</w:t>
      </w:r>
    </w:p>
    <w:p w:rsidRPr="00A31F09" w:rsidR="00A31F09" w:rsidP="00A31F09" w:rsidRDefault="00A31F09" w14:paraId="45C11AFA" w14:textId="77777777">
      <w:pPr>
        <w:pStyle w:val="Bibliography"/>
        <w:rPr>
          <w:rFonts w:cs="Calibri"/>
        </w:rPr>
      </w:pPr>
      <w:proofErr w:type="spellStart"/>
      <w:r w:rsidRPr="00A31F09">
        <w:rPr>
          <w:rFonts w:cs="Calibri"/>
        </w:rPr>
        <w:t>Gitelson</w:t>
      </w:r>
      <w:proofErr w:type="spellEnd"/>
      <w:r w:rsidRPr="00A31F09">
        <w:rPr>
          <w:rFonts w:cs="Calibri"/>
        </w:rPr>
        <w:t xml:space="preserve">, Anatoly A., Timothy J. </w:t>
      </w:r>
      <w:proofErr w:type="spellStart"/>
      <w:r w:rsidRPr="00A31F09">
        <w:rPr>
          <w:rFonts w:cs="Calibri"/>
        </w:rPr>
        <w:t>Arkebauer</w:t>
      </w:r>
      <w:proofErr w:type="spellEnd"/>
      <w:r w:rsidRPr="00A31F09">
        <w:rPr>
          <w:rFonts w:cs="Calibri"/>
        </w:rPr>
        <w:t xml:space="preserve">, and Andrew E. </w:t>
      </w:r>
      <w:proofErr w:type="spellStart"/>
      <w:r w:rsidRPr="00A31F09">
        <w:rPr>
          <w:rFonts w:cs="Calibri"/>
        </w:rPr>
        <w:t>Suyker</w:t>
      </w:r>
      <w:proofErr w:type="spellEnd"/>
      <w:r w:rsidRPr="00A31F09">
        <w:rPr>
          <w:rFonts w:cs="Calibri"/>
        </w:rPr>
        <w:t xml:space="preserve">. 2018. “Convergence of Daily Light Use Efficiency in Irrigated and Rainfed C3 and C4 Crops.” </w:t>
      </w:r>
      <w:r w:rsidRPr="00A31F09">
        <w:rPr>
          <w:rFonts w:cs="Calibri"/>
          <w:i/>
          <w:iCs/>
        </w:rPr>
        <w:t>Remote Sensing of Environment</w:t>
      </w:r>
      <w:r w:rsidRPr="00A31F09">
        <w:rPr>
          <w:rFonts w:cs="Calibri"/>
        </w:rPr>
        <w:t xml:space="preserve"> 217 (November): 30–37. https://doi.org/10.1016/j.rse.2018.08.007.</w:t>
      </w:r>
    </w:p>
    <w:p w:rsidRPr="00A31F09" w:rsidR="00A31F09" w:rsidP="00A31F09" w:rsidRDefault="00A31F09" w14:paraId="1C34B0DB" w14:textId="77777777">
      <w:pPr>
        <w:pStyle w:val="Bibliography"/>
        <w:rPr>
          <w:rFonts w:cs="Calibri"/>
        </w:rPr>
      </w:pPr>
      <w:proofErr w:type="spellStart"/>
      <w:r w:rsidRPr="00A31F09">
        <w:rPr>
          <w:rFonts w:cs="Calibri"/>
        </w:rPr>
        <w:t>Gitelson</w:t>
      </w:r>
      <w:proofErr w:type="spellEnd"/>
      <w:r w:rsidRPr="00A31F09">
        <w:rPr>
          <w:rFonts w:cs="Calibri"/>
        </w:rPr>
        <w:t xml:space="preserve">, Anatoly A., and John A. </w:t>
      </w:r>
      <w:proofErr w:type="spellStart"/>
      <w:r w:rsidRPr="00A31F09">
        <w:rPr>
          <w:rFonts w:cs="Calibri"/>
        </w:rPr>
        <w:t>Gamon</w:t>
      </w:r>
      <w:proofErr w:type="spellEnd"/>
      <w:r w:rsidRPr="00A31F09">
        <w:rPr>
          <w:rFonts w:cs="Calibri"/>
        </w:rPr>
        <w:t xml:space="preserve">. 2015. “The Need for a Common Basis for Defining Light-Use Efficiency: Implications for Productivity Estimation.” </w:t>
      </w:r>
      <w:r w:rsidRPr="00A31F09">
        <w:rPr>
          <w:rFonts w:cs="Calibri"/>
          <w:i/>
          <w:iCs/>
        </w:rPr>
        <w:t>Remote Sensing of Environment</w:t>
      </w:r>
      <w:r w:rsidRPr="00A31F09">
        <w:rPr>
          <w:rFonts w:cs="Calibri"/>
        </w:rPr>
        <w:t xml:space="preserve"> 156 (January): 196–201. https://doi.org/10.1016/j.rse.2014.09.017.</w:t>
      </w:r>
    </w:p>
    <w:p w:rsidRPr="00A31F09" w:rsidR="00A31F09" w:rsidP="00A31F09" w:rsidRDefault="00A31F09" w14:paraId="2C7191CF" w14:textId="77777777">
      <w:pPr>
        <w:pStyle w:val="Bibliography"/>
        <w:rPr>
          <w:rFonts w:cs="Calibri"/>
        </w:rPr>
      </w:pPr>
      <w:r w:rsidRPr="00A31F09">
        <w:rPr>
          <w:rFonts w:cs="Calibri"/>
        </w:rPr>
        <w:t xml:space="preserve">Joiner, Joanna, and Yasuko Yoshida. 2020. “Satellite-Based </w:t>
      </w:r>
      <w:proofErr w:type="spellStart"/>
      <w:r w:rsidRPr="00A31F09">
        <w:rPr>
          <w:rFonts w:cs="Calibri"/>
        </w:rPr>
        <w:t>Reflectances</w:t>
      </w:r>
      <w:proofErr w:type="spellEnd"/>
      <w:r w:rsidRPr="00A31F09">
        <w:rPr>
          <w:rFonts w:cs="Calibri"/>
        </w:rPr>
        <w:t xml:space="preserve"> Capture Large Fraction of Variability in Global Gross Primary Production (GPP) at Weekly Time Scales.” </w:t>
      </w:r>
      <w:r w:rsidRPr="00A31F09">
        <w:rPr>
          <w:rFonts w:cs="Calibri"/>
          <w:i/>
          <w:iCs/>
        </w:rPr>
        <w:t>Agricultural and Forest Meteorology</w:t>
      </w:r>
      <w:r w:rsidRPr="00A31F09">
        <w:rPr>
          <w:rFonts w:cs="Calibri"/>
        </w:rPr>
        <w:t xml:space="preserve"> 291 (September): 108092. https://doi.org/10.1016/j.agrformet.2020.108092.</w:t>
      </w:r>
    </w:p>
    <w:p w:rsidRPr="00A31F09" w:rsidR="00A31F09" w:rsidP="00A31F09" w:rsidRDefault="00A31F09" w14:paraId="1BF37A48" w14:textId="77777777">
      <w:pPr>
        <w:pStyle w:val="Bibliography"/>
        <w:rPr>
          <w:rFonts w:cs="Calibri"/>
        </w:rPr>
      </w:pPr>
      <w:r w:rsidRPr="00A31F09">
        <w:rPr>
          <w:rFonts w:cs="Calibri"/>
        </w:rPr>
        <w:t xml:space="preserve">Joiner, Joanna, Yasuko Yoshida, Yao Zhang, Gregory </w:t>
      </w:r>
      <w:proofErr w:type="spellStart"/>
      <w:r w:rsidRPr="00A31F09">
        <w:rPr>
          <w:rFonts w:cs="Calibri"/>
        </w:rPr>
        <w:t>Duveiller</w:t>
      </w:r>
      <w:proofErr w:type="spellEnd"/>
      <w:r w:rsidRPr="00A31F09">
        <w:rPr>
          <w:rFonts w:cs="Calibri"/>
        </w:rPr>
        <w:t xml:space="preserve">, Martin Jung, Alexei </w:t>
      </w:r>
      <w:proofErr w:type="spellStart"/>
      <w:r w:rsidRPr="00A31F09">
        <w:rPr>
          <w:rFonts w:cs="Calibri"/>
        </w:rPr>
        <w:t>Lyapustin</w:t>
      </w:r>
      <w:proofErr w:type="spellEnd"/>
      <w:r w:rsidRPr="00A31F09">
        <w:rPr>
          <w:rFonts w:cs="Calibri"/>
        </w:rPr>
        <w:t xml:space="preserve">, </w:t>
      </w:r>
      <w:proofErr w:type="spellStart"/>
      <w:r w:rsidRPr="00A31F09">
        <w:rPr>
          <w:rFonts w:cs="Calibri"/>
        </w:rPr>
        <w:t>Yujie</w:t>
      </w:r>
      <w:proofErr w:type="spellEnd"/>
      <w:r w:rsidRPr="00A31F09">
        <w:rPr>
          <w:rFonts w:cs="Calibri"/>
        </w:rPr>
        <w:t xml:space="preserve"> Wang, and Compton J. Tucker. 2018. “Estimation of Terrestrial Global Gross Primary Production (GPP) with Satellite Data-Driven Models and Eddy Covariance Flux Data.” </w:t>
      </w:r>
      <w:r w:rsidRPr="00A31F09">
        <w:rPr>
          <w:rFonts w:cs="Calibri"/>
          <w:i/>
          <w:iCs/>
        </w:rPr>
        <w:t>Remote Sensing</w:t>
      </w:r>
      <w:r w:rsidRPr="00A31F09">
        <w:rPr>
          <w:rFonts w:cs="Calibri"/>
        </w:rPr>
        <w:t xml:space="preserve"> 10 (9): 1346. https://doi.org/10.3390/rs10091346.</w:t>
      </w:r>
    </w:p>
    <w:p w:rsidRPr="00A31F09" w:rsidR="00A31F09" w:rsidP="00A31F09" w:rsidRDefault="00A31F09" w14:paraId="66A6EBF4" w14:textId="77777777">
      <w:pPr>
        <w:pStyle w:val="Bibliography"/>
        <w:rPr>
          <w:rFonts w:cs="Calibri"/>
        </w:rPr>
      </w:pPr>
      <w:proofErr w:type="spellStart"/>
      <w:r w:rsidRPr="00A31F09">
        <w:rPr>
          <w:rFonts w:cs="Calibri"/>
        </w:rPr>
        <w:t>Knyazikhin</w:t>
      </w:r>
      <w:proofErr w:type="spellEnd"/>
      <w:r w:rsidRPr="00A31F09">
        <w:rPr>
          <w:rFonts w:cs="Calibri"/>
        </w:rPr>
        <w:t xml:space="preserve">, Yuri, Mitchell A. Schull, Pauline Stenberg, Matti </w:t>
      </w:r>
      <w:proofErr w:type="spellStart"/>
      <w:r w:rsidRPr="00A31F09">
        <w:rPr>
          <w:rFonts w:cs="Calibri"/>
        </w:rPr>
        <w:t>Mõttus</w:t>
      </w:r>
      <w:proofErr w:type="spellEnd"/>
      <w:r w:rsidRPr="00A31F09">
        <w:rPr>
          <w:rFonts w:cs="Calibri"/>
        </w:rPr>
        <w:t xml:space="preserve">, </w:t>
      </w:r>
      <w:proofErr w:type="spellStart"/>
      <w:r w:rsidRPr="00A31F09">
        <w:rPr>
          <w:rFonts w:cs="Calibri"/>
        </w:rPr>
        <w:t>Miina</w:t>
      </w:r>
      <w:proofErr w:type="spellEnd"/>
      <w:r w:rsidRPr="00A31F09">
        <w:rPr>
          <w:rFonts w:cs="Calibri"/>
        </w:rPr>
        <w:t xml:space="preserve"> </w:t>
      </w:r>
      <w:proofErr w:type="spellStart"/>
      <w:r w:rsidRPr="00A31F09">
        <w:rPr>
          <w:rFonts w:cs="Calibri"/>
        </w:rPr>
        <w:t>Rautiainen</w:t>
      </w:r>
      <w:proofErr w:type="spellEnd"/>
      <w:r w:rsidRPr="00A31F09">
        <w:rPr>
          <w:rFonts w:cs="Calibri"/>
        </w:rPr>
        <w:t xml:space="preserve">, Yan Yang, Alexander </w:t>
      </w:r>
      <w:proofErr w:type="spellStart"/>
      <w:r w:rsidRPr="00A31F09">
        <w:rPr>
          <w:rFonts w:cs="Calibri"/>
        </w:rPr>
        <w:t>Marshak</w:t>
      </w:r>
      <w:proofErr w:type="spellEnd"/>
      <w:r w:rsidRPr="00A31F09">
        <w:rPr>
          <w:rFonts w:cs="Calibri"/>
        </w:rPr>
        <w:t xml:space="preserve">, et al. 2013. “Hyperspectral Remote Sensing of Foliar Nitrogen Content.” </w:t>
      </w:r>
      <w:r w:rsidRPr="00A31F09">
        <w:rPr>
          <w:rFonts w:cs="Calibri"/>
          <w:i/>
          <w:iCs/>
        </w:rPr>
        <w:t>Proceedings of the National Academy of Sciences</w:t>
      </w:r>
      <w:r w:rsidRPr="00A31F09">
        <w:rPr>
          <w:rFonts w:cs="Calibri"/>
        </w:rPr>
        <w:t xml:space="preserve"> 110 (3): E185–92. https://doi.org/10.1073/pnas.1210196109.</w:t>
      </w:r>
    </w:p>
    <w:p w:rsidRPr="00A31F09" w:rsidR="00A31F09" w:rsidP="00A31F09" w:rsidRDefault="00A31F09" w14:paraId="2CB6DAA4" w14:textId="77777777">
      <w:pPr>
        <w:pStyle w:val="Bibliography"/>
        <w:rPr>
          <w:rFonts w:cs="Calibri"/>
        </w:rPr>
      </w:pPr>
      <w:r w:rsidRPr="00A31F09">
        <w:rPr>
          <w:rFonts w:cs="Calibri"/>
        </w:rPr>
        <w:t xml:space="preserve">Mattos, Eduardo M. de, Dan Binkley, </w:t>
      </w:r>
      <w:proofErr w:type="spellStart"/>
      <w:r w:rsidRPr="00A31F09">
        <w:rPr>
          <w:rFonts w:cs="Calibri"/>
        </w:rPr>
        <w:t>Otavio</w:t>
      </w:r>
      <w:proofErr w:type="spellEnd"/>
      <w:r w:rsidRPr="00A31F09">
        <w:rPr>
          <w:rFonts w:cs="Calibri"/>
        </w:rPr>
        <w:t xml:space="preserve"> C. </w:t>
      </w:r>
      <w:proofErr w:type="spellStart"/>
      <w:r w:rsidRPr="00A31F09">
        <w:rPr>
          <w:rFonts w:cs="Calibri"/>
        </w:rPr>
        <w:t>Campoe</w:t>
      </w:r>
      <w:proofErr w:type="spellEnd"/>
      <w:r w:rsidRPr="00A31F09">
        <w:rPr>
          <w:rFonts w:cs="Calibri"/>
        </w:rPr>
        <w:t xml:space="preserve">, Clayton A. </w:t>
      </w:r>
      <w:proofErr w:type="spellStart"/>
      <w:r w:rsidRPr="00A31F09">
        <w:rPr>
          <w:rFonts w:cs="Calibri"/>
        </w:rPr>
        <w:t>Alvares</w:t>
      </w:r>
      <w:proofErr w:type="spellEnd"/>
      <w:r w:rsidRPr="00A31F09">
        <w:rPr>
          <w:rFonts w:cs="Calibri"/>
        </w:rPr>
        <w:t xml:space="preserve">, and Jose L. </w:t>
      </w:r>
      <w:proofErr w:type="spellStart"/>
      <w:r w:rsidRPr="00A31F09">
        <w:rPr>
          <w:rFonts w:cs="Calibri"/>
        </w:rPr>
        <w:t>Stape</w:t>
      </w:r>
      <w:proofErr w:type="spellEnd"/>
      <w:r w:rsidRPr="00A31F09">
        <w:rPr>
          <w:rFonts w:cs="Calibri"/>
        </w:rPr>
        <w:t xml:space="preserve">. 2020. “Variation in Canopy Structure, Leaf Area, Light Interception and Light Use Efficiency among Eucalyptus Clones.” </w:t>
      </w:r>
      <w:r w:rsidRPr="00A31F09">
        <w:rPr>
          <w:rFonts w:cs="Calibri"/>
          <w:i/>
          <w:iCs/>
        </w:rPr>
        <w:t>Forest Ecology and Management</w:t>
      </w:r>
      <w:r w:rsidRPr="00A31F09">
        <w:rPr>
          <w:rFonts w:cs="Calibri"/>
        </w:rPr>
        <w:t xml:space="preserve"> 463 (May): 118038. https://doi.org/10.1016/j.foreco.2020.118038.</w:t>
      </w:r>
    </w:p>
    <w:p w:rsidRPr="00A31F09" w:rsidR="00A31F09" w:rsidP="00A31F09" w:rsidRDefault="00A31F09" w14:paraId="7DEE87BD" w14:textId="77777777">
      <w:pPr>
        <w:pStyle w:val="Bibliography"/>
        <w:rPr>
          <w:rFonts w:cs="Calibri"/>
        </w:rPr>
      </w:pPr>
      <w:proofErr w:type="spellStart"/>
      <w:r w:rsidRPr="00A31F09">
        <w:rPr>
          <w:rFonts w:cs="Calibri"/>
        </w:rPr>
        <w:t>Medlyn</w:t>
      </w:r>
      <w:proofErr w:type="spellEnd"/>
      <w:r w:rsidRPr="00A31F09">
        <w:rPr>
          <w:rFonts w:cs="Calibri"/>
        </w:rPr>
        <w:t xml:space="preserve">, Belinda E. 1998. “Physiological Basis of the Light Use Efficiency Model.” </w:t>
      </w:r>
      <w:r w:rsidRPr="00A31F09">
        <w:rPr>
          <w:rFonts w:cs="Calibri"/>
          <w:i/>
          <w:iCs/>
        </w:rPr>
        <w:t>Tree Physiology</w:t>
      </w:r>
      <w:r w:rsidRPr="00A31F09">
        <w:rPr>
          <w:rFonts w:cs="Calibri"/>
        </w:rPr>
        <w:t xml:space="preserve"> 18 (3): 167–76. https://doi.org/10.1093/treephys/18.3.167.</w:t>
      </w:r>
    </w:p>
    <w:p w:rsidRPr="00A31F09" w:rsidR="00A31F09" w:rsidP="00A31F09" w:rsidRDefault="00A31F09" w14:paraId="42DA4669" w14:textId="77777777">
      <w:pPr>
        <w:pStyle w:val="Bibliography"/>
        <w:rPr>
          <w:rFonts w:cs="Calibri"/>
        </w:rPr>
      </w:pPr>
      <w:r w:rsidRPr="00A31F09">
        <w:rPr>
          <w:rFonts w:cs="Calibri"/>
        </w:rPr>
        <w:t xml:space="preserve">Monteith, J. L. 1972. “Solar Radiation and Productivity in Tropical Ecosystems.” </w:t>
      </w:r>
      <w:r w:rsidRPr="00A31F09">
        <w:rPr>
          <w:rFonts w:cs="Calibri"/>
          <w:i/>
          <w:iCs/>
        </w:rPr>
        <w:t>Journal of Applied Ecology</w:t>
      </w:r>
      <w:r w:rsidRPr="00A31F09">
        <w:rPr>
          <w:rFonts w:cs="Calibri"/>
        </w:rPr>
        <w:t xml:space="preserve"> 9 (3): 747–66. https://doi.org/10.2307/2401901.</w:t>
      </w:r>
    </w:p>
    <w:p w:rsidRPr="00A31F09" w:rsidR="00A31F09" w:rsidP="00A31F09" w:rsidRDefault="00A31F09" w14:paraId="4ACC0170" w14:textId="77777777">
      <w:pPr>
        <w:pStyle w:val="Bibliography"/>
        <w:rPr>
          <w:rFonts w:cs="Calibri"/>
        </w:rPr>
      </w:pPr>
      <w:r w:rsidRPr="00A31F09">
        <w:rPr>
          <w:rFonts w:cs="Calibri"/>
        </w:rPr>
        <w:t xml:space="preserve">Tramontana, G., M. Jung, C.R. </w:t>
      </w:r>
      <w:proofErr w:type="spellStart"/>
      <w:r w:rsidRPr="00A31F09">
        <w:rPr>
          <w:rFonts w:cs="Calibri"/>
        </w:rPr>
        <w:t>Schwalm</w:t>
      </w:r>
      <w:proofErr w:type="spellEnd"/>
      <w:r w:rsidRPr="00A31F09">
        <w:rPr>
          <w:rFonts w:cs="Calibri"/>
        </w:rPr>
        <w:t xml:space="preserve">, K. </w:t>
      </w:r>
      <w:proofErr w:type="spellStart"/>
      <w:r w:rsidRPr="00A31F09">
        <w:rPr>
          <w:rFonts w:cs="Calibri"/>
        </w:rPr>
        <w:t>Ichii</w:t>
      </w:r>
      <w:proofErr w:type="spellEnd"/>
      <w:r w:rsidRPr="00A31F09">
        <w:rPr>
          <w:rFonts w:cs="Calibri"/>
        </w:rPr>
        <w:t xml:space="preserve">, G. Camps-Valls, B. </w:t>
      </w:r>
      <w:proofErr w:type="spellStart"/>
      <w:r w:rsidRPr="00A31F09">
        <w:rPr>
          <w:rFonts w:cs="Calibri"/>
        </w:rPr>
        <w:t>Ráduly</w:t>
      </w:r>
      <w:proofErr w:type="spellEnd"/>
      <w:r w:rsidRPr="00A31F09">
        <w:rPr>
          <w:rFonts w:cs="Calibri"/>
        </w:rPr>
        <w:t xml:space="preserve">, M. Reichstein, et al. 2016. “Predicting Carbon Dioxide and Energy Fluxes across Global FLUXNET Sites with Regression Algorithms.” </w:t>
      </w:r>
      <w:proofErr w:type="spellStart"/>
      <w:r w:rsidRPr="00A31F09">
        <w:rPr>
          <w:rFonts w:cs="Calibri"/>
          <w:i/>
          <w:iCs/>
        </w:rPr>
        <w:t>Biogeosciences</w:t>
      </w:r>
      <w:proofErr w:type="spellEnd"/>
      <w:r w:rsidRPr="00A31F09">
        <w:rPr>
          <w:rFonts w:cs="Calibri"/>
        </w:rPr>
        <w:t xml:space="preserve"> 13 (14): 4291–4313. https://doi.org/10.5194/bg-13-4291-2016.</w:t>
      </w:r>
    </w:p>
    <w:p w:rsidRPr="00A31F09" w:rsidR="00A31F09" w:rsidP="00A31F09" w:rsidRDefault="00A31F09" w14:paraId="0F5FF09E" w14:textId="77777777">
      <w:pPr>
        <w:pStyle w:val="Bibliography"/>
        <w:rPr>
          <w:rFonts w:cs="Calibri"/>
        </w:rPr>
      </w:pPr>
      <w:r w:rsidRPr="00A31F09">
        <w:rPr>
          <w:rFonts w:cs="Calibri"/>
        </w:rPr>
        <w:t xml:space="preserve">Yang, </w:t>
      </w:r>
      <w:proofErr w:type="spellStart"/>
      <w:r w:rsidRPr="00A31F09">
        <w:rPr>
          <w:rFonts w:cs="Calibri"/>
        </w:rPr>
        <w:t>Peiqi</w:t>
      </w:r>
      <w:proofErr w:type="spellEnd"/>
      <w:r w:rsidRPr="00A31F09">
        <w:rPr>
          <w:rFonts w:cs="Calibri"/>
        </w:rPr>
        <w:t xml:space="preserve">, and Christiaan van der Tol. 2018. “Linking Canopy Scattering of Far-Red Sun-Induced Chlorophyll Fluorescence with Reflectance.” </w:t>
      </w:r>
      <w:r w:rsidRPr="00A31F09">
        <w:rPr>
          <w:rFonts w:cs="Calibri"/>
          <w:i/>
          <w:iCs/>
        </w:rPr>
        <w:t>Remote Sensing of Environment</w:t>
      </w:r>
      <w:r w:rsidRPr="00A31F09">
        <w:rPr>
          <w:rFonts w:cs="Calibri"/>
        </w:rPr>
        <w:t xml:space="preserve"> 209 (May): 456–67. https://doi.org/10.1016/j.rse.2018.02.029.</w:t>
      </w:r>
    </w:p>
    <w:p w:rsidRPr="00A31F09" w:rsidR="00A31F09" w:rsidP="00A31F09" w:rsidRDefault="00A31F09" w14:paraId="6E9EA973" w14:textId="77777777">
      <w:pPr>
        <w:pStyle w:val="Bibliography"/>
        <w:rPr>
          <w:rFonts w:cs="Calibri"/>
        </w:rPr>
      </w:pPr>
      <w:r w:rsidRPr="00A31F09">
        <w:rPr>
          <w:rFonts w:cs="Calibri"/>
        </w:rPr>
        <w:t xml:space="preserve">Zeng, </w:t>
      </w:r>
      <w:proofErr w:type="spellStart"/>
      <w:r w:rsidRPr="00A31F09">
        <w:rPr>
          <w:rFonts w:cs="Calibri"/>
        </w:rPr>
        <w:t>Yelu</w:t>
      </w:r>
      <w:proofErr w:type="spellEnd"/>
      <w:r w:rsidRPr="00A31F09">
        <w:rPr>
          <w:rFonts w:cs="Calibri"/>
        </w:rPr>
        <w:t xml:space="preserve">, Grayson </w:t>
      </w:r>
      <w:proofErr w:type="spellStart"/>
      <w:r w:rsidRPr="00A31F09">
        <w:rPr>
          <w:rFonts w:cs="Calibri"/>
        </w:rPr>
        <w:t>Badgley</w:t>
      </w:r>
      <w:proofErr w:type="spellEnd"/>
      <w:r w:rsidRPr="00A31F09">
        <w:rPr>
          <w:rFonts w:cs="Calibri"/>
        </w:rPr>
        <w:t xml:space="preserve">, Benjamin </w:t>
      </w:r>
      <w:proofErr w:type="spellStart"/>
      <w:r w:rsidRPr="00A31F09">
        <w:rPr>
          <w:rFonts w:cs="Calibri"/>
        </w:rPr>
        <w:t>Dechant</w:t>
      </w:r>
      <w:proofErr w:type="spellEnd"/>
      <w:r w:rsidRPr="00A31F09">
        <w:rPr>
          <w:rFonts w:cs="Calibri"/>
        </w:rPr>
        <w:t xml:space="preserve">, </w:t>
      </w:r>
      <w:proofErr w:type="spellStart"/>
      <w:r w:rsidRPr="00A31F09">
        <w:rPr>
          <w:rFonts w:cs="Calibri"/>
        </w:rPr>
        <w:t>Youngryel</w:t>
      </w:r>
      <w:proofErr w:type="spellEnd"/>
      <w:r w:rsidRPr="00A31F09">
        <w:rPr>
          <w:rFonts w:cs="Calibri"/>
        </w:rPr>
        <w:t xml:space="preserve"> Ryu, Min Chen, and J. A. Berry. 2019. “A Practical Approach for Estimating the Escape Ratio of Near-Infrared Solar-Induced </w:t>
      </w:r>
      <w:r w:rsidRPr="00A31F09">
        <w:rPr>
          <w:rFonts w:cs="Calibri"/>
        </w:rPr>
        <w:t xml:space="preserve">Chlorophyll Fluorescence.” </w:t>
      </w:r>
      <w:r w:rsidRPr="00A31F09">
        <w:rPr>
          <w:rFonts w:cs="Calibri"/>
          <w:i/>
          <w:iCs/>
        </w:rPr>
        <w:t>Remote Sensing of Environment</w:t>
      </w:r>
      <w:r w:rsidRPr="00A31F09">
        <w:rPr>
          <w:rFonts w:cs="Calibri"/>
        </w:rPr>
        <w:t xml:space="preserve"> 232 (October): 111209. https://doi.org/10.1016/j.rse.2019.05.028.</w:t>
      </w:r>
    </w:p>
    <w:p w:rsidR="002C2021" w:rsidP="000177B3" w:rsidRDefault="002C2021" w14:paraId="48D1555C" w14:textId="02A158E4">
      <w:pPr>
        <w:spacing w:after="120"/>
      </w:pPr>
      <w:r>
        <w:fldChar w:fldCharType="end"/>
      </w:r>
    </w:p>
    <w:sectPr w:rsidR="002C2021">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0E4D" w:rsidP="00AB5107" w:rsidRDefault="009F0E4D" w14:paraId="1FC0A87F" w14:textId="77777777">
      <w:r>
        <w:separator/>
      </w:r>
    </w:p>
  </w:endnote>
  <w:endnote w:type="continuationSeparator" w:id="0">
    <w:p w:rsidR="009F0E4D" w:rsidP="00AB5107" w:rsidRDefault="009F0E4D" w14:paraId="306550EE"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0E4D" w:rsidP="00AB5107" w:rsidRDefault="009F0E4D" w14:paraId="4CDDA86F" w14:textId="77777777">
      <w:r>
        <w:separator/>
      </w:r>
    </w:p>
  </w:footnote>
  <w:footnote w:type="continuationSeparator" w:id="0">
    <w:p w:rsidR="009F0E4D" w:rsidP="00AB5107" w:rsidRDefault="009F0E4D" w14:paraId="2AEEE031" w14:textId="7777777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xmlns:w="http://schemas.openxmlformats.org/wordprocessingml/2006/main" w:abstractNumId="9">
    <w:nsid w:val="54b8e51e"/>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nsid w:val="3b222e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2e89be6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13ecb97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nsid w:val="868ebab"/>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nsid w:val="4b950b8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nsid w:val="5ec97b3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386f894d"/>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w:abstractNumId="0" w15:restartNumberingAfterBreak="0">
    <w:nsid w:val="06F633DF"/>
    <w:multiLevelType w:val="hybridMultilevel"/>
    <w:tmpl w:val="94BC63DC"/>
    <w:lvl w:ilvl="0" w:tplc="8ED03318">
      <w:numFmt w:val="bullet"/>
      <w:lvlText w:val="-"/>
      <w:lvlJc w:val="left"/>
      <w:pPr>
        <w:ind w:left="720" w:hanging="360"/>
      </w:pPr>
      <w:rPr>
        <w:rFonts w:hint="default" w:ascii="Calibri" w:hAnsi="Calibri" w:cs="Calibri" w:eastAsiaTheme="minorHAnsi"/>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420C0F87"/>
    <w:multiLevelType w:val="hybridMultilevel"/>
    <w:tmpl w:val="F8407A6E"/>
    <w:lvl w:ilvl="0" w:tplc="4EF6940C">
      <w:numFmt w:val="bullet"/>
      <w:lvlText w:val="-"/>
      <w:lvlJc w:val="left"/>
      <w:pPr>
        <w:ind w:left="720" w:hanging="360"/>
      </w:pPr>
      <w:rPr>
        <w:rFonts w:hint="default" w:ascii="Helvetica" w:hAnsi="Helvetica" w:eastAsiaTheme="minorHAnsi" w:cstheme="minorBidi"/>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1" w16cid:durableId="1651250798">
    <w:abstractNumId w:val="1"/>
  </w:num>
  <w:num w:numId="2" w16cid:durableId="290668499">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97"/>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4626"/>
    <w:rsid w:val="000177B3"/>
    <w:rsid w:val="00090D3C"/>
    <w:rsid w:val="000A16A8"/>
    <w:rsid w:val="00156AE0"/>
    <w:rsid w:val="00244B28"/>
    <w:rsid w:val="002A10AE"/>
    <w:rsid w:val="002C2021"/>
    <w:rsid w:val="002D6380"/>
    <w:rsid w:val="0034324A"/>
    <w:rsid w:val="00370A42"/>
    <w:rsid w:val="00397713"/>
    <w:rsid w:val="003A1625"/>
    <w:rsid w:val="0044541A"/>
    <w:rsid w:val="004767DD"/>
    <w:rsid w:val="00554626"/>
    <w:rsid w:val="0056464B"/>
    <w:rsid w:val="005A000C"/>
    <w:rsid w:val="006309D4"/>
    <w:rsid w:val="00636F1B"/>
    <w:rsid w:val="006B376E"/>
    <w:rsid w:val="006C6A0B"/>
    <w:rsid w:val="007119F3"/>
    <w:rsid w:val="00820191"/>
    <w:rsid w:val="008251EF"/>
    <w:rsid w:val="008B03E1"/>
    <w:rsid w:val="008E14D9"/>
    <w:rsid w:val="0097193E"/>
    <w:rsid w:val="009A171F"/>
    <w:rsid w:val="009B77A3"/>
    <w:rsid w:val="009F0E4D"/>
    <w:rsid w:val="00A31F09"/>
    <w:rsid w:val="00AB5107"/>
    <w:rsid w:val="00AC12A2"/>
    <w:rsid w:val="00AE5B73"/>
    <w:rsid w:val="00AF0CCC"/>
    <w:rsid w:val="00B06BBF"/>
    <w:rsid w:val="00B60CF7"/>
    <w:rsid w:val="00B83C7E"/>
    <w:rsid w:val="00B93077"/>
    <w:rsid w:val="00BC552C"/>
    <w:rsid w:val="00C120A0"/>
    <w:rsid w:val="00C609BE"/>
    <w:rsid w:val="00C62943"/>
    <w:rsid w:val="00D0160E"/>
    <w:rsid w:val="00DE6154"/>
    <w:rsid w:val="00E4389D"/>
    <w:rsid w:val="00E85B15"/>
    <w:rsid w:val="00ED2F1F"/>
    <w:rsid w:val="00ED53FF"/>
    <w:rsid w:val="00EF3FF6"/>
    <w:rsid w:val="00F113C2"/>
    <w:rsid w:val="00F12BE5"/>
    <w:rsid w:val="00F552F1"/>
    <w:rsid w:val="00F5538D"/>
    <w:rsid w:val="00F57750"/>
    <w:rsid w:val="00F91F4B"/>
    <w:rsid w:val="00F966F1"/>
    <w:rsid w:val="00FA02B1"/>
    <w:rsid w:val="0108633C"/>
    <w:rsid w:val="022168FC"/>
    <w:rsid w:val="02F262AD"/>
    <w:rsid w:val="04374292"/>
    <w:rsid w:val="0463D161"/>
    <w:rsid w:val="07E6FEE3"/>
    <w:rsid w:val="096660B4"/>
    <w:rsid w:val="0CDA55FE"/>
    <w:rsid w:val="0CFE3805"/>
    <w:rsid w:val="0F30DAFD"/>
    <w:rsid w:val="10A3DBC1"/>
    <w:rsid w:val="10F402CC"/>
    <w:rsid w:val="15ABFA83"/>
    <w:rsid w:val="181BD9B5"/>
    <w:rsid w:val="18B19F77"/>
    <w:rsid w:val="1A95776D"/>
    <w:rsid w:val="1AAFD1DC"/>
    <w:rsid w:val="1B3E80FA"/>
    <w:rsid w:val="1CA03E7C"/>
    <w:rsid w:val="1CA87E47"/>
    <w:rsid w:val="20A7C895"/>
    <w:rsid w:val="2133CB57"/>
    <w:rsid w:val="217D6CC1"/>
    <w:rsid w:val="21D6921B"/>
    <w:rsid w:val="23AB799A"/>
    <w:rsid w:val="241D03BD"/>
    <w:rsid w:val="2525C354"/>
    <w:rsid w:val="25EF1FEC"/>
    <w:rsid w:val="26AA033E"/>
    <w:rsid w:val="29968F6D"/>
    <w:rsid w:val="2B01F832"/>
    <w:rsid w:val="2B1E7D5A"/>
    <w:rsid w:val="2B3A590A"/>
    <w:rsid w:val="2B644C04"/>
    <w:rsid w:val="2CBF6847"/>
    <w:rsid w:val="2E7FD7F2"/>
    <w:rsid w:val="2FAB0742"/>
    <w:rsid w:val="31AA8C15"/>
    <w:rsid w:val="31ADE614"/>
    <w:rsid w:val="35B00B2A"/>
    <w:rsid w:val="35D621A0"/>
    <w:rsid w:val="380E1A58"/>
    <w:rsid w:val="3A56365D"/>
    <w:rsid w:val="3A6D6F4E"/>
    <w:rsid w:val="3D0178C3"/>
    <w:rsid w:val="3E23D827"/>
    <w:rsid w:val="412750D3"/>
    <w:rsid w:val="428083E9"/>
    <w:rsid w:val="4499C216"/>
    <w:rsid w:val="45E2B816"/>
    <w:rsid w:val="47850B43"/>
    <w:rsid w:val="489DD26E"/>
    <w:rsid w:val="492221E1"/>
    <w:rsid w:val="49848B58"/>
    <w:rsid w:val="4DE80A1E"/>
    <w:rsid w:val="4F66EF9A"/>
    <w:rsid w:val="4FE2E3DC"/>
    <w:rsid w:val="505153AE"/>
    <w:rsid w:val="509C5571"/>
    <w:rsid w:val="50ECC5B5"/>
    <w:rsid w:val="50FFCF80"/>
    <w:rsid w:val="5160891A"/>
    <w:rsid w:val="521CFD95"/>
    <w:rsid w:val="523AC749"/>
    <w:rsid w:val="529B9FE1"/>
    <w:rsid w:val="52A53729"/>
    <w:rsid w:val="52EC42FC"/>
    <w:rsid w:val="531A849E"/>
    <w:rsid w:val="53BB80DD"/>
    <w:rsid w:val="572EEB05"/>
    <w:rsid w:val="57D9941B"/>
    <w:rsid w:val="58CABB66"/>
    <w:rsid w:val="5AEAC93C"/>
    <w:rsid w:val="5CB50E10"/>
    <w:rsid w:val="5CC263E6"/>
    <w:rsid w:val="5EF1F0DB"/>
    <w:rsid w:val="5F12CA78"/>
    <w:rsid w:val="62A200B7"/>
    <w:rsid w:val="64755CF2"/>
    <w:rsid w:val="64870708"/>
    <w:rsid w:val="65211582"/>
    <w:rsid w:val="65701AE9"/>
    <w:rsid w:val="65834E9C"/>
    <w:rsid w:val="659C6AC8"/>
    <w:rsid w:val="6742E3C0"/>
    <w:rsid w:val="6838D1C2"/>
    <w:rsid w:val="68709064"/>
    <w:rsid w:val="689C6A89"/>
    <w:rsid w:val="6928F2B5"/>
    <w:rsid w:val="693B0B15"/>
    <w:rsid w:val="6AD55C6D"/>
    <w:rsid w:val="6B9262C8"/>
    <w:rsid w:val="6D1B9691"/>
    <w:rsid w:val="6D234033"/>
    <w:rsid w:val="6DDC030E"/>
    <w:rsid w:val="704BF86B"/>
    <w:rsid w:val="70FE44B1"/>
    <w:rsid w:val="720519AF"/>
    <w:rsid w:val="722C7855"/>
    <w:rsid w:val="7266975E"/>
    <w:rsid w:val="72D49A58"/>
    <w:rsid w:val="776C1E32"/>
    <w:rsid w:val="781390CD"/>
    <w:rsid w:val="782FFAA0"/>
    <w:rsid w:val="79CBCB01"/>
    <w:rsid w:val="7A494930"/>
    <w:rsid w:val="7A5880E6"/>
    <w:rsid w:val="7B07E462"/>
    <w:rsid w:val="7B1459DC"/>
    <w:rsid w:val="7C14CEB7"/>
    <w:rsid w:val="7E2B7F45"/>
    <w:rsid w:val="7F4C6F79"/>
    <w:rsid w:val="7F908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65E9"/>
  <w15:chartTrackingRefBased/>
  <w15:docId w15:val="{12A1EE75-65CF-A84C-98E7-5C88DF2349DC}"/>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A31F09"/>
    <w:rPr>
      <w:rFonts w:ascii="Calibri" w:hAnsi="Calibri"/>
    </w:rPr>
  </w:style>
  <w:style w:type="paragraph" w:styleId="Heading1">
    <w:name w:val="heading 1"/>
    <w:basedOn w:val="Normal"/>
    <w:next w:val="Normal"/>
    <w:link w:val="Heading1Char"/>
    <w:uiPriority w:val="9"/>
    <w:qFormat/>
    <w:rsid w:val="00F552F1"/>
    <w:pPr>
      <w:keepNext/>
      <w:keepLines/>
      <w:spacing w:before="360" w:after="80"/>
      <w:outlineLvl w:val="0"/>
    </w:pPr>
    <w:rPr>
      <w:rFonts w:ascii="Helvetica" w:hAnsi="Helvetica" w:eastAsiaTheme="majorEastAsia" w:cstheme="majorBidi"/>
      <w:color w:val="000000" w:themeColor="text1"/>
      <w:sz w:val="28"/>
      <w:szCs w:val="40"/>
    </w:rPr>
  </w:style>
  <w:style w:type="paragraph" w:styleId="Heading2">
    <w:name w:val="heading 2"/>
    <w:basedOn w:val="Normal"/>
    <w:next w:val="Normal"/>
    <w:link w:val="Heading2Char"/>
    <w:uiPriority w:val="9"/>
    <w:semiHidden/>
    <w:unhideWhenUsed/>
    <w:qFormat/>
    <w:rsid w:val="00554626"/>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54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54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54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5462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5462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5462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54626"/>
    <w:pPr>
      <w:keepNext/>
      <w:keepLines/>
      <w:outlineLvl w:val="8"/>
    </w:pPr>
    <w:rPr>
      <w:rFonts w:eastAsiaTheme="majorEastAsia" w:cstheme="majorBidi"/>
      <w:color w:val="272727" w:themeColor="text1" w:themeTint="D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F552F1"/>
    <w:rPr>
      <w:rFonts w:ascii="Helvetica" w:hAnsi="Helvetica" w:eastAsiaTheme="majorEastAsia" w:cstheme="majorBidi"/>
      <w:color w:val="000000" w:themeColor="text1"/>
      <w:sz w:val="28"/>
      <w:szCs w:val="40"/>
    </w:rPr>
  </w:style>
  <w:style w:type="character" w:styleId="Heading2Char" w:customStyle="1">
    <w:name w:val="Heading 2 Char"/>
    <w:basedOn w:val="DefaultParagraphFont"/>
    <w:link w:val="Heading2"/>
    <w:uiPriority w:val="9"/>
    <w:semiHidden/>
    <w:rsid w:val="00554626"/>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554626"/>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554626"/>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554626"/>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554626"/>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554626"/>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554626"/>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554626"/>
    <w:rPr>
      <w:rFonts w:eastAsiaTheme="majorEastAsia" w:cstheme="majorBidi"/>
      <w:color w:val="272727" w:themeColor="text1" w:themeTint="D8"/>
    </w:rPr>
  </w:style>
  <w:style w:type="paragraph" w:styleId="Title">
    <w:name w:val="Title"/>
    <w:basedOn w:val="Normal"/>
    <w:next w:val="Normal"/>
    <w:link w:val="TitleChar"/>
    <w:uiPriority w:val="10"/>
    <w:qFormat/>
    <w:rsid w:val="00F552F1"/>
    <w:pPr>
      <w:spacing w:after="80"/>
      <w:contextualSpacing/>
      <w:jc w:val="center"/>
    </w:pPr>
    <w:rPr>
      <w:rFonts w:ascii="Helvetica" w:hAnsi="Helvetica" w:eastAsiaTheme="majorEastAsia" w:cstheme="majorBidi"/>
      <w:spacing w:val="-10"/>
      <w:kern w:val="28"/>
      <w:sz w:val="44"/>
      <w:szCs w:val="56"/>
    </w:rPr>
  </w:style>
  <w:style w:type="character" w:styleId="TitleChar" w:customStyle="1">
    <w:name w:val="Title Char"/>
    <w:basedOn w:val="DefaultParagraphFont"/>
    <w:link w:val="Title"/>
    <w:uiPriority w:val="10"/>
    <w:rsid w:val="00F552F1"/>
    <w:rPr>
      <w:rFonts w:ascii="Helvetica" w:hAnsi="Helvetica" w:eastAsiaTheme="majorEastAsia" w:cstheme="majorBidi"/>
      <w:spacing w:val="-10"/>
      <w:kern w:val="28"/>
      <w:sz w:val="44"/>
      <w:szCs w:val="56"/>
    </w:rPr>
  </w:style>
  <w:style w:type="paragraph" w:styleId="Subtitle">
    <w:name w:val="Subtitle"/>
    <w:basedOn w:val="Normal"/>
    <w:next w:val="Normal"/>
    <w:link w:val="SubtitleChar"/>
    <w:uiPriority w:val="11"/>
    <w:qFormat/>
    <w:rsid w:val="00554626"/>
    <w:pPr>
      <w:numPr>
        <w:ilvl w:val="1"/>
      </w:numPr>
      <w:spacing w:after="160"/>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554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54626"/>
    <w:pPr>
      <w:spacing w:before="160" w:after="160"/>
      <w:jc w:val="center"/>
    </w:pPr>
    <w:rPr>
      <w:i/>
      <w:iCs/>
      <w:color w:val="404040" w:themeColor="text1" w:themeTint="BF"/>
    </w:rPr>
  </w:style>
  <w:style w:type="character" w:styleId="QuoteChar" w:customStyle="1">
    <w:name w:val="Quote Char"/>
    <w:basedOn w:val="DefaultParagraphFont"/>
    <w:link w:val="Quote"/>
    <w:uiPriority w:val="29"/>
    <w:rsid w:val="00554626"/>
    <w:rPr>
      <w:i/>
      <w:iCs/>
      <w:color w:val="404040" w:themeColor="text1" w:themeTint="BF"/>
    </w:rPr>
  </w:style>
  <w:style w:type="paragraph" w:styleId="ListParagraph">
    <w:name w:val="List Paragraph"/>
    <w:basedOn w:val="Normal"/>
    <w:uiPriority w:val="34"/>
    <w:qFormat/>
    <w:rsid w:val="00554626"/>
    <w:pPr>
      <w:ind w:left="720"/>
      <w:contextualSpacing/>
    </w:pPr>
  </w:style>
  <w:style w:type="character" w:styleId="IntenseEmphasis">
    <w:name w:val="Intense Emphasis"/>
    <w:basedOn w:val="DefaultParagraphFont"/>
    <w:uiPriority w:val="21"/>
    <w:qFormat/>
    <w:rsid w:val="00554626"/>
    <w:rPr>
      <w:i/>
      <w:iCs/>
      <w:color w:val="0F4761" w:themeColor="accent1" w:themeShade="BF"/>
    </w:rPr>
  </w:style>
  <w:style w:type="paragraph" w:styleId="IntenseQuote">
    <w:name w:val="Intense Quote"/>
    <w:basedOn w:val="Normal"/>
    <w:next w:val="Normal"/>
    <w:link w:val="IntenseQuoteChar"/>
    <w:uiPriority w:val="30"/>
    <w:qFormat/>
    <w:rsid w:val="00554626"/>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QuoteChar" w:customStyle="1">
    <w:name w:val="Intense Quote Char"/>
    <w:basedOn w:val="DefaultParagraphFont"/>
    <w:link w:val="IntenseQuote"/>
    <w:uiPriority w:val="30"/>
    <w:rsid w:val="00554626"/>
    <w:rPr>
      <w:i/>
      <w:iCs/>
      <w:color w:val="0F4761" w:themeColor="accent1" w:themeShade="BF"/>
    </w:rPr>
  </w:style>
  <w:style w:type="character" w:styleId="IntenseReference">
    <w:name w:val="Intense Reference"/>
    <w:basedOn w:val="DefaultParagraphFont"/>
    <w:uiPriority w:val="32"/>
    <w:qFormat/>
    <w:rsid w:val="00554626"/>
    <w:rPr>
      <w:b/>
      <w:bCs/>
      <w:smallCaps/>
      <w:color w:val="0F4761" w:themeColor="accent1" w:themeShade="BF"/>
      <w:spacing w:val="5"/>
    </w:rPr>
  </w:style>
  <w:style w:type="character" w:styleId="PlaceholderText">
    <w:name w:val="Placeholder Text"/>
    <w:basedOn w:val="DefaultParagraphFont"/>
    <w:uiPriority w:val="99"/>
    <w:semiHidden/>
    <w:rsid w:val="00C120A0"/>
    <w:rPr>
      <w:color w:val="666666"/>
    </w:rPr>
  </w:style>
  <w:style w:type="table" w:styleId="TableGrid">
    <w:name w:val="Table Grid"/>
    <w:basedOn w:val="TableNormal"/>
    <w:uiPriority w:val="39"/>
    <w:rsid w:val="004767DD"/>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Header">
    <w:name w:val="header"/>
    <w:basedOn w:val="Normal"/>
    <w:link w:val="HeaderChar"/>
    <w:uiPriority w:val="99"/>
    <w:unhideWhenUsed/>
    <w:rsid w:val="00AB5107"/>
    <w:pPr>
      <w:tabs>
        <w:tab w:val="center" w:pos="4680"/>
        <w:tab w:val="right" w:pos="9360"/>
      </w:tabs>
    </w:pPr>
  </w:style>
  <w:style w:type="character" w:styleId="HeaderChar" w:customStyle="1">
    <w:name w:val="Header Char"/>
    <w:basedOn w:val="DefaultParagraphFont"/>
    <w:link w:val="Header"/>
    <w:uiPriority w:val="99"/>
    <w:rsid w:val="00AB5107"/>
    <w:rPr>
      <w:rFonts w:ascii="Calibri" w:hAnsi="Calibri"/>
    </w:rPr>
  </w:style>
  <w:style w:type="paragraph" w:styleId="Footer">
    <w:name w:val="footer"/>
    <w:basedOn w:val="Normal"/>
    <w:link w:val="FooterChar"/>
    <w:uiPriority w:val="99"/>
    <w:unhideWhenUsed/>
    <w:rsid w:val="00AB5107"/>
    <w:pPr>
      <w:tabs>
        <w:tab w:val="center" w:pos="4680"/>
        <w:tab w:val="right" w:pos="9360"/>
      </w:tabs>
    </w:pPr>
  </w:style>
  <w:style w:type="character" w:styleId="FooterChar" w:customStyle="1">
    <w:name w:val="Footer Char"/>
    <w:basedOn w:val="DefaultParagraphFont"/>
    <w:link w:val="Footer"/>
    <w:uiPriority w:val="99"/>
    <w:rsid w:val="00AB5107"/>
    <w:rPr>
      <w:rFonts w:ascii="Calibri" w:hAnsi="Calibri"/>
    </w:rPr>
  </w:style>
  <w:style w:type="paragraph" w:styleId="Bibliography">
    <w:name w:val="Bibliography"/>
    <w:basedOn w:val="Normal"/>
    <w:next w:val="Normal"/>
    <w:uiPriority w:val="37"/>
    <w:unhideWhenUsed/>
    <w:rsid w:val="002C2021"/>
    <w:pPr>
      <w:ind w:left="720" w:hanging="720"/>
    </w:pPr>
  </w:style>
  <w:style w:type="paragraph" w:styleId="Caption">
    <w:name w:val="caption"/>
    <w:basedOn w:val="Normal"/>
    <w:next w:val="Normal"/>
    <w:uiPriority w:val="35"/>
    <w:unhideWhenUsed/>
    <w:qFormat/>
    <w:rsid w:val="00A31F09"/>
    <w:pPr>
      <w:spacing w:after="200"/>
    </w:pPr>
    <w:rPr>
      <w:iCs/>
      <w:color w:val="000000" w:themeColor="tex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png"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theme" Target="theme/theme1.xml" Id="rId11" /><Relationship Type="http://schemas.openxmlformats.org/officeDocument/2006/relationships/footnotes" Target="footnotes.xml" Id="rId5" /><Relationship Type="http://schemas.openxmlformats.org/officeDocument/2006/relationships/fontTable" Target="fontTable.xml" Id="rId10" /><Relationship Type="http://schemas.openxmlformats.org/officeDocument/2006/relationships/webSettings" Target="webSettings.xml" Id="rId4" /><Relationship Type="http://schemas.openxmlformats.org/officeDocument/2006/relationships/image" Target="media/image3.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Hamid Dashti</dc:creator>
  <keywords/>
  <dc:description/>
  <lastModifiedBy>ABDOLHAMID DASHTIAHANGAR</lastModifiedBy>
  <revision>10</revision>
  <lastPrinted>2024-04-03T19:00:00.0000000Z</lastPrinted>
  <dcterms:created xsi:type="dcterms:W3CDTF">2024-04-03T19:00:00.0000000Z</dcterms:created>
  <dcterms:modified xsi:type="dcterms:W3CDTF">2024-04-05T20:37:44.5148713Z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zotero-version="6.0.37"&gt;&lt;session id="WU4yuWWU"/&gt;&lt;style id="http://www.zotero.org/styles/chicago-author-date" locale="en-US" hasBibliography="1" bibliographyStyleHasBeenSet="1"/&gt;&lt;prefs&gt;&lt;pref name="fieldType" value="Field"/&gt;&lt;pref name</vt:lpwstr>
  </property>
  <property fmtid="{D5CDD505-2E9C-101B-9397-08002B2CF9AE}" pid="3" name="ZOTERO_PREF_2">
    <vt:lpwstr>="automaticJournalAbbreviations" value="true"/&gt;&lt;/prefs&gt;&lt;/data&gt;</vt:lpwstr>
  </property>
</Properties>
</file>