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Option Trading — ML Research Review &amp; Handoff</w:t>
      </w:r>
    </w:p>
    <w:p>
      <w:pPr/>
      <w:r>
        <w:t xml:space="preserve">Sep 27, 2026</w:t>
      </w:r>
      <w:r>
        <w:t xml:space="preserve"> · </w:t>
      </w:r>
      <w:r>
        <w:t xml:space="preserve">@Tony</w:t>
      </w:r>
    </w:p>
    <w:p>
      <w:pPr>
        <w:pStyle w:val="Heading2"/>
      </w:pPr>
      <w:r>
        <w:t xml:space="preserve">Overview</w:t>
      </w:r>
    </w:p>
    <w:p>
      <w:pPr/>
      <w:r>
        <w:t xml:space="preserve">The conversation concludes that no single ML model wins in options trading; a layered system that predicts volatility, selects a strategy by regime, sizes and hedges positions, and trades only when the edge beats costs is the recommended design.</w:t>
      </w:r>
    </w:p>
    <w:p>
      <w:pPr/>
      <w:r>
        <w:t xml:space="preserve">Source: the shared ChatGPT project chat "Project Option trading" (</w:t>
      </w:r>
      <w:hyperlink r:id="rId3" w:history="1">
        <w:r>
          <w:rPr>
            <w:rStyle w:val="Hyperlink"/>
          </w:rPr>
          <w:t xml:space="preserve">link</w:t>
        </w:r>
      </w:hyperlink>
      <w:r>
        <w:t xml:space="preserve">). It contains four research exchanges plus a final request for a handoff file. This document summarizes each exchange, pulls out the decisions, and adds a critical review.</w:t>
      </w:r>
    </w:p>
    <w:tbl>
      <w:tblPr>
        <w:tblStyle w:val="TableGrid"/>
        <w:tblW w:w="0" w:type="auto"/>
        <w:tblLayout w:type="fixed"/>
        <w:tblLook w:val="04A0" w:firstRow="1" w:lastRow="0" w:firstColumn="0" w:lastColumn="0" w:noHBand="0" w:noVBand="1"/>
      </w:tblPr>
      <w:tblGrid>
        <w:gridCol w:w="720"/>
        <w:gridCol w:w="4653"/>
        <w:gridCol w:w="3987"/>
      </w:tblGrid>
      <w:tr>
        <w:trPr>
          <w:tblHeader/>
        </w:trPr>
        <w:tc>
          <w:tcPr>
            <w:tcW w:w="720" w:type="dxa"/>
            <w:shd w:val="clear" w:color="auto" w:fill="F2F2F2"/>
          </w:tcPr>
          <w:p>
            <w:pPr/>
            <w:r>
              <w:t xml:space="preserve">#</w:t>
            </w:r>
          </w:p>
        </w:tc>
        <w:tc>
          <w:tcPr>
            <w:tcW w:w="4653" w:type="dxa"/>
            <w:shd w:val="clear" w:color="auto" w:fill="F2F2F2"/>
          </w:tcPr>
          <w:p>
            <w:pPr/>
            <w:r>
              <w:t xml:space="preserve">Question asked</w:t>
            </w:r>
          </w:p>
        </w:tc>
        <w:tc>
          <w:tcPr>
            <w:tcW w:w="3987" w:type="dxa"/>
            <w:shd w:val="clear" w:color="auto" w:fill="F2F2F2"/>
          </w:tcPr>
          <w:p>
            <w:pPr/>
            <w:r>
              <w:t xml:space="preserve">Main output</w:t>
            </w:r>
          </w:p>
        </w:tc>
      </w:tr>
      <w:tr>
        <w:tc>
          <w:tcPr>
            <w:tcW w:w="720" w:type="dxa"/>
          </w:tcPr>
          <w:p>
            <w:pPr/>
            <w:r>
              <w:t xml:space="preserve">1</w:t>
            </w:r>
          </w:p>
        </w:tc>
        <w:tc>
          <w:tcPr>
            <w:tcW w:w="4653" w:type="dxa"/>
          </w:tcPr>
          <w:p>
            <w:pPr/>
            <w:r>
              <w:t xml:space="preserve">Top 20 profitable ML models, with evidence, and the factors that make an ML trading model succeed</w:t>
            </w:r>
          </w:p>
        </w:tc>
        <w:tc>
          <w:tcPr>
            <w:tcW w:w="3987" w:type="dxa"/>
          </w:tcPr>
          <w:p>
            <w:pPr/>
            <w:r>
              <w:t xml:space="preserve">Ranked list of 20 models, best models per task, 20 ranked success factors, a reference architecture</w:t>
            </w:r>
          </w:p>
        </w:tc>
      </w:tr>
      <w:tr>
        <w:tc>
          <w:tcPr>
            <w:tcW w:w="720" w:type="dxa"/>
          </w:tcPr>
          <w:p>
            <w:pPr/>
            <w:r>
              <w:t xml:space="preserve">2</w:t>
            </w:r>
          </w:p>
        </w:tc>
        <w:tc>
          <w:tcPr>
            <w:tcW w:w="4653" w:type="dxa"/>
          </w:tcPr>
          <w:p>
            <w:pPr/>
            <w:r>
              <w:t xml:space="preserve">Summary table of all 20 models, with suitability for intraday, daily, medium-term and long-term trading</w:t>
            </w:r>
          </w:p>
        </w:tc>
        <w:tc>
          <w:tcPr>
            <w:tcW w:w="3987" w:type="dxa"/>
          </w:tcPr>
          <w:p>
            <w:pPr/>
            <w:r>
              <w:t xml:space="preserve">Model × horizon matrix; six core model families selected</w:t>
            </w:r>
          </w:p>
        </w:tc>
      </w:tr>
      <w:tr>
        <w:tc>
          <w:tcPr>
            <w:tcW w:w="720" w:type="dxa"/>
          </w:tcPr>
          <w:p>
            <w:pPr/>
            <w:r>
              <w:t xml:space="preserve">3</w:t>
            </w:r>
          </w:p>
        </w:tc>
        <w:tc>
          <w:tcPr>
            <w:tcW w:w="4653" w:type="dxa"/>
          </w:tcPr>
          <w:p>
            <w:pPr/>
            <w:r>
              <w:t xml:space="preserve">Three best option-trading frameworks plus two institutional frameworks (#4, #5), with goals and rationale</w:t>
            </w:r>
          </w:p>
        </w:tc>
        <w:tc>
          <w:tcPr>
            <w:tcW w:w="3987" w:type="dxa"/>
          </w:tcPr>
          <w:p>
            <w:pPr/>
            <w:r>
              <w:t xml:space="preserve">Five-framework comparison; objective hierarchy; six-layer final architecture</w:t>
            </w:r>
          </w:p>
        </w:tc>
      </w:tr>
      <w:tr>
        <w:tc>
          <w:tcPr>
            <w:tcW w:w="720" w:type="dxa"/>
          </w:tcPr>
          <w:p>
            <w:pPr/>
            <w:r>
              <w:t xml:space="preserve">4</w:t>
            </w:r>
          </w:p>
        </w:tc>
        <w:tc>
          <w:tcPr>
            <w:tcW w:w="4653" w:type="dxa"/>
          </w:tcPr>
          <w:p>
            <w:pPr/>
            <w:r>
              <w:t xml:space="preserve">Add horizon suitability to the five-framework table</w:t>
            </w:r>
          </w:p>
        </w:tc>
        <w:tc>
          <w:tcPr>
            <w:tcW w:w="3987" w:type="dxa"/>
          </w:tcPr>
          <w:p>
            <w:pPr/>
            <w:r>
              <w:t xml:space="preserve">Framework × horizon table; daily + medium-term chosen as primary horizon</w:t>
            </w:r>
          </w:p>
        </w:tc>
      </w:tr>
    </w:tbl>
    <w:p>
      <w:pPr/>
      <w:r>
        <w:t xml:space="preserve">The chat references an earlier study on the "top 20 option strategies" that is not part of this shared link. The earlier handoff file ChatGPT produced was also flagged by ChatGPT itself as incomplete.</w:t>
      </w:r>
    </w:p>
    <w:p>
      <w:pPr>
        <w:pStyle w:val="Heading2"/>
      </w:pPr>
      <w:r>
        <w:t xml:space="preserve">Discussion 1 — Top 20 ML models for options</w:t>
      </w:r>
    </w:p>
    <w:p>
      <w:pPr/>
      <w:r>
        <w:t xml:space="preserve">XGBoost ranked #1 overall, but the key finding was that the best model is the one with a stable, after-cost, out-of-sample edge, not the lowest prediction error. A cited 2026 study on 18.2 million minute-bar S&amp;P 500 call observations found lower pricing error did not translate into better trading P&amp;L.</w:t>
      </w:r>
    </w:p>
    <w:tbl>
      <w:tblPr>
        <w:tblStyle w:val="TableGrid"/>
        <w:tblW w:w="0" w:type="auto"/>
        <w:tblLayout w:type="fixed"/>
        <w:tblLook w:val="04A0" w:firstRow="1" w:lastRow="0" w:firstColumn="0" w:lastColumn="0" w:noHBand="0" w:noVBand="1"/>
      </w:tblPr>
      <w:tblGrid>
        <w:gridCol w:w="750"/>
        <w:gridCol w:w="1509"/>
        <w:gridCol w:w="1975"/>
        <w:gridCol w:w="4217"/>
        <w:gridCol w:w="909"/>
      </w:tblGrid>
      <w:tr>
        <w:trPr>
          <w:tblHeader/>
        </w:trPr>
        <w:tc>
          <w:tcPr>
            <w:tcW w:w="750" w:type="dxa"/>
            <w:shd w:val="clear" w:color="auto" w:fill="F2F2F2"/>
          </w:tcPr>
          <w:p>
            <w:pPr/>
            <w:r>
              <w:t xml:space="preserve">Rank</w:t>
            </w:r>
          </w:p>
        </w:tc>
        <w:tc>
          <w:tcPr>
            <w:tcW w:w="1509" w:type="dxa"/>
            <w:shd w:val="clear" w:color="auto" w:fill="F2F2F2"/>
          </w:tcPr>
          <w:p>
            <w:pPr/>
            <w:r>
              <w:t xml:space="preserve">Model</w:t>
            </w:r>
          </w:p>
        </w:tc>
        <w:tc>
          <w:tcPr>
            <w:tcW w:w="1975" w:type="dxa"/>
            <w:shd w:val="clear" w:color="auto" w:fill="F2F2F2"/>
          </w:tcPr>
          <w:p>
            <w:pPr/>
            <w:r>
              <w:t xml:space="preserve">Best use in options</w:t>
            </w:r>
          </w:p>
        </w:tc>
        <w:tc>
          <w:tcPr>
            <w:tcW w:w="4217" w:type="dxa"/>
            <w:shd w:val="clear" w:color="auto" w:fill="F2F2F2"/>
          </w:tcPr>
          <w:p>
            <w:pPr/>
            <w:r>
              <w:t xml:space="preserve">Key evidence cited</w:t>
            </w:r>
          </w:p>
        </w:tc>
        <w:tc>
          <w:tcPr>
            <w:tcW w:w="909" w:type="dxa"/>
            <w:shd w:val="clear" w:color="auto" w:fill="F2F2F2"/>
          </w:tcPr>
          <w:p>
            <w:pPr/>
            <w:r>
              <w:t xml:space="preserve">Rating</w:t>
            </w:r>
          </w:p>
        </w:tc>
      </w:tr>
      <w:tr>
        <w:tc>
          <w:tcPr>
            <w:tcW w:w="750" w:type="dxa"/>
          </w:tcPr>
          <w:p>
            <w:pPr/>
            <w:r>
              <w:t xml:space="preserve">1</w:t>
            </w:r>
          </w:p>
        </w:tc>
        <w:tc>
          <w:tcPr>
            <w:tcW w:w="1509" w:type="dxa"/>
          </w:tcPr>
          <w:p>
            <w:pPr/>
            <w:r>
              <w:t xml:space="preserve">XGBoost / gradient-boosted trees</w:t>
            </w:r>
          </w:p>
        </w:tc>
        <w:tc>
          <w:tcPr>
            <w:tcW w:w="1975" w:type="dxa"/>
          </w:tcPr>
          <w:p>
            <w:pPr/>
            <w:r>
              <w:t xml:space="preserve">IV, returns, probability of profit, trade selection</w:t>
            </w:r>
          </w:p>
        </w:tc>
        <w:tc>
          <w:tcPr>
            <w:tcW w:w="4217" w:type="dxa"/>
          </w:tcPr>
          <w:p>
            <w:pPr/>
            <w:r>
              <w:t xml:space="preserve">Boosting beat Black-Scholes / Corrado-Su in option pricing; XGBoost and RF most accurate across regimes</w:t>
            </w:r>
          </w:p>
        </w:tc>
        <w:tc>
          <w:tcPr>
            <w:tcW w:w="909" w:type="dxa"/>
          </w:tcPr>
          <w:p>
            <w:pPr/>
            <w:r>
              <w:t xml:space="preserve">5</w:t>
            </w:r>
          </w:p>
        </w:tc>
      </w:tr>
      <w:tr>
        <w:tc>
          <w:tcPr>
            <w:tcW w:w="750" w:type="dxa"/>
          </w:tcPr>
          <w:p>
            <w:pPr/>
            <w:r>
              <w:t xml:space="preserve">2</w:t>
            </w:r>
          </w:p>
        </w:tc>
        <w:tc>
          <w:tcPr>
            <w:tcW w:w="1509" w:type="dxa"/>
          </w:tcPr>
          <w:p>
            <w:pPr/>
            <w:r>
              <w:t xml:space="preserve">LSTM / Bi-LSTM</w:t>
            </w:r>
          </w:p>
        </w:tc>
        <w:tc>
          <w:tcPr>
            <w:tcW w:w="1975" w:type="dxa"/>
          </w:tcPr>
          <w:p>
            <w:pPr/>
            <w:r>
              <w:t xml:space="preserve">IV/RV forecasting, sequential signals</w:t>
            </w:r>
          </w:p>
        </w:tc>
        <w:tc>
          <w:tcPr>
            <w:tcW w:w="4217" w:type="dxa"/>
          </w:tcPr>
          <w:p>
            <w:pPr/>
            <w:r>
              <w:t xml:space="preserve">2026 equity-option study (2018–2023): LSTM MSE ~4.35%, R² ~53%; pooled "universal" models beat per-stock models</w:t>
            </w:r>
          </w:p>
        </w:tc>
        <w:tc>
          <w:tcPr>
            <w:tcW w:w="909" w:type="dxa"/>
          </w:tcPr>
          <w:p>
            <w:pPr/>
            <w:r>
              <w:t xml:space="preserve">5</w:t>
            </w:r>
          </w:p>
        </w:tc>
      </w:tr>
      <w:tr>
        <w:tc>
          <w:tcPr>
            <w:tcW w:w="750" w:type="dxa"/>
          </w:tcPr>
          <w:p>
            <w:pPr/>
            <w:r>
              <w:t xml:space="preserve">3</w:t>
            </w:r>
          </w:p>
        </w:tc>
        <w:tc>
          <w:tcPr>
            <w:tcW w:w="1509" w:type="dxa"/>
          </w:tcPr>
          <w:p>
            <w:pPr/>
            <w:r>
              <w:t xml:space="preserve">Transformer / Autoformer</w:t>
            </w:r>
          </w:p>
        </w:tc>
        <w:tc>
          <w:tcPr>
            <w:tcW w:w="1975" w:type="dxa"/>
          </w:tcPr>
          <w:p>
            <w:pPr/>
            <w:r>
              <w:t xml:space="preserve">Long-horizon, multi-source forecasting</w:t>
            </w:r>
          </w:p>
        </w:tc>
        <w:tc>
          <w:tcPr>
            <w:tcW w:w="4217" w:type="dxa"/>
          </w:tcPr>
          <w:p>
            <w:pPr/>
            <w:r>
              <w:t xml:space="preserve">Autoformer beat simpler NNs on all US stocks, 920 features, data from 1957</w:t>
            </w:r>
          </w:p>
        </w:tc>
        <w:tc>
          <w:tcPr>
            <w:tcW w:w="909" w:type="dxa"/>
          </w:tcPr>
          <w:p>
            <w:pPr/>
            <w:r>
              <w:t xml:space="preserve">5</w:t>
            </w:r>
          </w:p>
        </w:tc>
      </w:tr>
      <w:tr>
        <w:tc>
          <w:tcPr>
            <w:tcW w:w="750" w:type="dxa"/>
          </w:tcPr>
          <w:p>
            <w:pPr/>
            <w:r>
              <w:t xml:space="preserve">4</w:t>
            </w:r>
          </w:p>
        </w:tc>
        <w:tc>
          <w:tcPr>
            <w:tcW w:w="1509" w:type="dxa"/>
          </w:tcPr>
          <w:p>
            <w:pPr/>
            <w:r>
              <w:t xml:space="preserve">LightGBM</w:t>
            </w:r>
          </w:p>
        </w:tc>
        <w:tc>
          <w:tcPr>
            <w:tcW w:w="1975" w:type="dxa"/>
          </w:tcPr>
          <w:p>
            <w:pPr/>
            <w:r>
              <w:t xml:space="preserve">IV surface, very large tabular data</w:t>
            </w:r>
          </w:p>
        </w:tc>
        <w:tc>
          <w:tcPr>
            <w:tcW w:w="4217" w:type="dxa"/>
          </w:tcPr>
          <w:p>
            <w:pPr/>
            <w:r>
              <w:t xml:space="preserve">VAE → LightGBM → Monte Carlo beat Black-Scholes on NIFTY50 options</w:t>
            </w:r>
          </w:p>
        </w:tc>
        <w:tc>
          <w:tcPr>
            <w:tcW w:w="909" w:type="dxa"/>
          </w:tcPr>
          <w:p>
            <w:pPr/>
            <w:r>
              <w:t xml:space="preserve">5</w:t>
            </w:r>
          </w:p>
        </w:tc>
      </w:tr>
      <w:tr>
        <w:tc>
          <w:tcPr>
            <w:tcW w:w="750" w:type="dxa"/>
          </w:tcPr>
          <w:p>
            <w:pPr/>
            <w:r>
              <w:t xml:space="preserve">5</w:t>
            </w:r>
          </w:p>
        </w:tc>
        <w:tc>
          <w:tcPr>
            <w:tcW w:w="1509" w:type="dxa"/>
          </w:tcPr>
          <w:p>
            <w:pPr/>
            <w:r>
              <w:t xml:space="preserve">Temporal Fusion Transformer</w:t>
            </w:r>
          </w:p>
        </w:tc>
        <w:tc>
          <w:tcPr>
            <w:tcW w:w="1975" w:type="dxa"/>
          </w:tcPr>
          <w:p>
            <w:pPr/>
            <w:r>
              <w:t xml:space="preserve">Multi-horizon, heterogeneous features</w:t>
            </w:r>
          </w:p>
        </w:tc>
        <w:tc>
          <w:tcPr>
            <w:tcW w:w="4217" w:type="dxa"/>
          </w:tcPr>
          <w:p>
            <w:pPr/>
            <w:r>
              <w:t xml:space="preserve">Built for multi-horizon forecasting with interpretable attention</w:t>
            </w:r>
          </w:p>
        </w:tc>
        <w:tc>
          <w:tcPr>
            <w:tcW w:w="909" w:type="dxa"/>
          </w:tcPr>
          <w:p>
            <w:pPr/>
            <w:r>
              <w:t xml:space="preserve">5</w:t>
            </w:r>
          </w:p>
        </w:tc>
      </w:tr>
      <w:tr>
        <w:tc>
          <w:tcPr>
            <w:tcW w:w="750" w:type="dxa"/>
          </w:tcPr>
          <w:p>
            <w:pPr/>
            <w:r>
              <w:t xml:space="preserve">6</w:t>
            </w:r>
          </w:p>
        </w:tc>
        <w:tc>
          <w:tcPr>
            <w:tcW w:w="1509" w:type="dxa"/>
          </w:tcPr>
          <w:p>
            <w:pPr/>
            <w:r>
              <w:t xml:space="preserve">GRU</w:t>
            </w:r>
          </w:p>
        </w:tc>
        <w:tc>
          <w:tcPr>
            <w:tcW w:w="1975" w:type="dxa"/>
          </w:tcPr>
          <w:p>
            <w:pPr/>
            <w:r>
              <w:t xml:space="preserve">Hedging, IV/RV</w:t>
            </w:r>
          </w:p>
        </w:tc>
        <w:tc>
          <w:tcPr>
            <w:tcW w:w="4217" w:type="dxa"/>
          </w:tcPr>
          <w:p>
            <w:pPr/>
            <w:r>
              <w:t xml:space="preserve">GRU-based hedging model beat benchmarks on S&amp;P 500 options (J. Banking &amp; Finance)</w:t>
            </w:r>
          </w:p>
        </w:tc>
        <w:tc>
          <w:tcPr>
            <w:tcW w:w="909" w:type="dxa"/>
          </w:tcPr>
          <w:p>
            <w:pPr/>
            <w:r>
              <w:t xml:space="preserve">4.5</w:t>
            </w:r>
          </w:p>
        </w:tc>
      </w:tr>
      <w:tr>
        <w:tc>
          <w:tcPr>
            <w:tcW w:w="750" w:type="dxa"/>
          </w:tcPr>
          <w:p>
            <w:pPr/>
            <w:r>
              <w:t xml:space="preserve">7</w:t>
            </w:r>
          </w:p>
        </w:tc>
        <w:tc>
          <w:tcPr>
            <w:tcW w:w="1509" w:type="dxa"/>
          </w:tcPr>
          <w:p>
            <w:pPr/>
            <w:r>
              <w:t xml:space="preserve">Random Forest</w:t>
            </w:r>
          </w:p>
        </w:tc>
        <w:tc>
          <w:tcPr>
            <w:tcW w:w="1975" w:type="dxa"/>
          </w:tcPr>
          <w:p>
            <w:pPr/>
            <w:r>
              <w:t xml:space="preserve">Robust baseline, classification</w:t>
            </w:r>
          </w:p>
        </w:tc>
        <w:tc>
          <w:tcPr>
            <w:tcW w:w="4217" w:type="dxa"/>
          </w:tcPr>
          <w:p>
            <w:pPr/>
            <w:r>
              <w:t xml:space="preserve">Strong in option pricing, but worst model in an FX-option IV study</w:t>
            </w:r>
          </w:p>
        </w:tc>
        <w:tc>
          <w:tcPr>
            <w:tcW w:w="909" w:type="dxa"/>
          </w:tcPr>
          <w:p>
            <w:pPr/>
            <w:r>
              <w:t xml:space="preserve">4.5</w:t>
            </w:r>
          </w:p>
        </w:tc>
      </w:tr>
      <w:tr>
        <w:tc>
          <w:tcPr>
            <w:tcW w:w="750" w:type="dxa"/>
          </w:tcPr>
          <w:p>
            <w:pPr/>
            <w:r>
              <w:t xml:space="preserve">8</w:t>
            </w:r>
          </w:p>
        </w:tc>
        <w:tc>
          <w:tcPr>
            <w:tcW w:w="1509" w:type="dxa"/>
          </w:tcPr>
          <w:p>
            <w:pPr/>
            <w:r>
              <w:t xml:space="preserve">MLP</w:t>
            </w:r>
          </w:p>
        </w:tc>
        <w:tc>
          <w:tcPr>
            <w:tcW w:w="1975" w:type="dxa"/>
          </w:tcPr>
          <w:p>
            <w:pPr/>
            <w:r>
              <w:t xml:space="preserve">Cross-sectional pricing / returns</w:t>
            </w:r>
          </w:p>
        </w:tc>
        <w:tc>
          <w:tcPr>
            <w:tcW w:w="4217" w:type="dxa"/>
          </w:tcPr>
          <w:p>
            <w:pPr/>
            <w:r>
              <w:t xml:space="preserve">Gu–Kelly–Xiu: NN timing Sharpe 0.77 vs 0.51 buy-and-hold; long-short Sharpe 1.35; best at ~3 layers</w:t>
            </w:r>
          </w:p>
        </w:tc>
        <w:tc>
          <w:tcPr>
            <w:tcW w:w="909" w:type="dxa"/>
          </w:tcPr>
          <w:p>
            <w:pPr/>
            <w:r>
              <w:t xml:space="preserve">4.5</w:t>
            </w:r>
          </w:p>
        </w:tc>
      </w:tr>
      <w:tr>
        <w:tc>
          <w:tcPr>
            <w:tcW w:w="750" w:type="dxa"/>
          </w:tcPr>
          <w:p>
            <w:pPr/>
            <w:r>
              <w:t xml:space="preserve">9</w:t>
            </w:r>
          </w:p>
        </w:tc>
        <w:tc>
          <w:tcPr>
            <w:tcW w:w="1509" w:type="dxa"/>
          </w:tcPr>
          <w:p>
            <w:pPr/>
            <w:r>
              <w:t xml:space="preserve">Graph Neural Network</w:t>
            </w:r>
          </w:p>
        </w:tc>
        <w:tc>
          <w:tcPr>
            <w:tcW w:w="1975" w:type="dxa"/>
          </w:tcPr>
          <w:p>
            <w:pPr/>
            <w:r>
              <w:t xml:space="preserve">Whole option chain / surface</w:t>
            </w:r>
          </w:p>
        </w:tc>
        <w:tc>
          <w:tcPr>
            <w:tcW w:w="4217" w:type="dxa"/>
          </w:tcPr>
          <w:p>
            <w:pPr/>
            <w:r>
              <w:t xml:space="preserve">GNN with momentum spillover improved RMSE ≥8.81% on SSE 50 ETF options</w:t>
            </w:r>
          </w:p>
        </w:tc>
        <w:tc>
          <w:tcPr>
            <w:tcW w:w="909" w:type="dxa"/>
          </w:tcPr>
          <w:p>
            <w:pPr/>
            <w:r>
              <w:t xml:space="preserve">4.5</w:t>
            </w:r>
          </w:p>
        </w:tc>
      </w:tr>
      <w:tr>
        <w:tc>
          <w:tcPr>
            <w:tcW w:w="750" w:type="dxa"/>
          </w:tcPr>
          <w:p>
            <w:pPr/>
            <w:r>
              <w:t xml:space="preserve">10</w:t>
            </w:r>
          </w:p>
        </w:tc>
        <w:tc>
          <w:tcPr>
            <w:tcW w:w="1509" w:type="dxa"/>
          </w:tcPr>
          <w:p>
            <w:pPr/>
            <w:r>
              <w:t xml:space="preserve">PPO (deep RL)</w:t>
            </w:r>
          </w:p>
        </w:tc>
        <w:tc>
          <w:tcPr>
            <w:tcW w:w="1975" w:type="dxa"/>
          </w:tcPr>
          <w:p>
            <w:pPr/>
            <w:r>
              <w:t xml:space="preserve">Dynamic hedging and trading</w:t>
            </w:r>
          </w:p>
        </w:tc>
        <w:tc>
          <w:tcPr>
            <w:tcW w:w="4217" w:type="dxa"/>
          </w:tcPr>
          <w:p>
            <w:pPr/>
            <w:r>
              <w:t xml:space="preserve">Among top performers in an 8-algorithm RL hedging comparison</w:t>
            </w:r>
          </w:p>
        </w:tc>
        <w:tc>
          <w:tcPr>
            <w:tcW w:w="909" w:type="dxa"/>
          </w:tcPr>
          <w:p>
            <w:pPr/>
            <w:r>
              <w:t xml:space="preserve">4.5</w:t>
            </w:r>
          </w:p>
        </w:tc>
      </w:tr>
      <w:tr>
        <w:tc>
          <w:tcPr>
            <w:tcW w:w="750" w:type="dxa"/>
          </w:tcPr>
          <w:p>
            <w:pPr/>
            <w:r>
              <w:t xml:space="preserve">11</w:t>
            </w:r>
          </w:p>
        </w:tc>
        <w:tc>
          <w:tcPr>
            <w:tcW w:w="1509" w:type="dxa"/>
          </w:tcPr>
          <w:p>
            <w:pPr/>
            <w:r>
              <w:t xml:space="preserve">DDPG / TD3</w:t>
            </w:r>
          </w:p>
        </w:tc>
        <w:tc>
          <w:tcPr>
            <w:tcW w:w="1975" w:type="dxa"/>
          </w:tcPr>
          <w:p>
            <w:pPr/>
            <w:r>
              <w:t xml:space="preserve">Continuous hedge sizing</w:t>
            </w:r>
          </w:p>
        </w:tc>
        <w:tc>
          <w:tcPr>
            <w:tcW w:w="4217" w:type="dxa"/>
          </w:tcPr>
          <w:p>
            <w:pPr/>
            <w:r>
              <w:t xml:space="preserve">Beat Black-Scholes delta hedge under costs for American options</w:t>
            </w:r>
          </w:p>
        </w:tc>
        <w:tc>
          <w:tcPr>
            <w:tcW w:w="909" w:type="dxa"/>
          </w:tcPr>
          <w:p>
            <w:pPr/>
            <w:r>
              <w:t xml:space="preserve">4</w:t>
            </w:r>
          </w:p>
        </w:tc>
      </w:tr>
      <w:tr>
        <w:tc>
          <w:tcPr>
            <w:tcW w:w="750" w:type="dxa"/>
          </w:tcPr>
          <w:p>
            <w:pPr/>
            <w:r>
              <w:t xml:space="preserve">12</w:t>
            </w:r>
          </w:p>
        </w:tc>
        <w:tc>
          <w:tcPr>
            <w:tcW w:w="1509" w:type="dxa"/>
          </w:tcPr>
          <w:p>
            <w:pPr/>
            <w:r>
              <w:t xml:space="preserve">CNN</w:t>
            </w:r>
          </w:p>
        </w:tc>
        <w:tc>
          <w:tcPr>
            <w:tcW w:w="1975" w:type="dxa"/>
          </w:tcPr>
          <w:p>
            <w:pPr/>
            <w:r>
              <w:t xml:space="preserve">IV surface as a 2D image</w:t>
            </w:r>
          </w:p>
        </w:tc>
        <w:tc>
          <w:tcPr>
            <w:tcW w:w="4217" w:type="dxa"/>
          </w:tcPr>
          <w:p>
            <w:pPr/>
            <w:r>
              <w:t xml:space="preserve">Predicted IV surface on SSE 50 ETF options, beat backprop NNs</w:t>
            </w:r>
          </w:p>
        </w:tc>
        <w:tc>
          <w:tcPr>
            <w:tcW w:w="909" w:type="dxa"/>
          </w:tcPr>
          <w:p>
            <w:pPr/>
            <w:r>
              <w:t xml:space="preserve">4</w:t>
            </w:r>
          </w:p>
        </w:tc>
      </w:tr>
      <w:tr>
        <w:tc>
          <w:tcPr>
            <w:tcW w:w="750" w:type="dxa"/>
          </w:tcPr>
          <w:p>
            <w:pPr/>
            <w:r>
              <w:t xml:space="preserve">13</w:t>
            </w:r>
          </w:p>
        </w:tc>
        <w:tc>
          <w:tcPr>
            <w:tcW w:w="1509" w:type="dxa"/>
          </w:tcPr>
          <w:p>
            <w:pPr/>
            <w:r>
              <w:t xml:space="preserve">VAE</w:t>
            </w:r>
          </w:p>
        </w:tc>
        <w:tc>
          <w:tcPr>
            <w:tcW w:w="1975" w:type="dxa"/>
          </w:tcPr>
          <w:p>
            <w:pPr/>
            <w:r>
              <w:t xml:space="preserve">Distribution / surface compression</w:t>
            </w:r>
          </w:p>
        </w:tc>
        <w:tc>
          <w:tcPr>
            <w:tcW w:w="4217" w:type="dxa"/>
          </w:tcPr>
          <w:p>
            <w:pPr/>
            <w:r>
              <w:t xml:space="preserve">Reproduces skew, kurtosis, fat tails in the NIFTY50 framework</w:t>
            </w:r>
          </w:p>
        </w:tc>
        <w:tc>
          <w:tcPr>
            <w:tcW w:w="909" w:type="dxa"/>
          </w:tcPr>
          <w:p>
            <w:pPr/>
            <w:r>
              <w:t xml:space="preserve">4</w:t>
            </w:r>
          </w:p>
        </w:tc>
      </w:tr>
      <w:tr>
        <w:tc>
          <w:tcPr>
            <w:tcW w:w="750" w:type="dxa"/>
          </w:tcPr>
          <w:p>
            <w:pPr/>
            <w:r>
              <w:t xml:space="preserve">14</w:t>
            </w:r>
          </w:p>
        </w:tc>
        <w:tc>
          <w:tcPr>
            <w:tcW w:w="1509" w:type="dxa"/>
          </w:tcPr>
          <w:p>
            <w:pPr/>
            <w:r>
              <w:t xml:space="preserve">Neural SDE</w:t>
            </w:r>
          </w:p>
        </w:tc>
        <w:tc>
          <w:tcPr>
            <w:tcW w:w="1975" w:type="dxa"/>
          </w:tcPr>
          <w:p>
            <w:pPr/>
            <w:r>
              <w:t xml:space="preserve">Pricing, scenario generation</w:t>
            </w:r>
          </w:p>
        </w:tc>
        <w:tc>
          <w:tcPr>
            <w:tcW w:w="4217" w:type="dxa"/>
          </w:tcPr>
          <w:p>
            <w:pPr/>
            <w:r>
              <w:t xml:space="preserve">Compared with Black-Scholes, Dupire and Heston on real options</w:t>
            </w:r>
          </w:p>
        </w:tc>
        <w:tc>
          <w:tcPr>
            <w:tcW w:w="909" w:type="dxa"/>
          </w:tcPr>
          <w:p>
            <w:pPr/>
            <w:r>
              <w:t xml:space="preserve">4</w:t>
            </w:r>
          </w:p>
        </w:tc>
      </w:tr>
      <w:tr>
        <w:tc>
          <w:tcPr>
            <w:tcW w:w="750" w:type="dxa"/>
          </w:tcPr>
          <w:p>
            <w:pPr/>
            <w:r>
              <w:t xml:space="preserve">15</w:t>
            </w:r>
          </w:p>
        </w:tc>
        <w:tc>
          <w:tcPr>
            <w:tcW w:w="1509" w:type="dxa"/>
          </w:tcPr>
          <w:p>
            <w:pPr/>
            <w:r>
              <w:t xml:space="preserve">Gaussian Process / Deep Kernel</w:t>
            </w:r>
          </w:p>
        </w:tc>
        <w:tc>
          <w:tcPr>
            <w:tcW w:w="1975" w:type="dxa"/>
          </w:tcPr>
          <w:p>
            <w:pPr/>
            <w:r>
              <w:t xml:space="preserve">Small-data pricing with uncertainty</w:t>
            </w:r>
          </w:p>
        </w:tc>
        <w:tc>
          <w:tcPr>
            <w:tcW w:w="4217" w:type="dxa"/>
          </w:tcPr>
          <w:p>
            <w:pPr/>
            <w:r>
              <w:t xml:space="preserve">DKL beat Least-Squares Monte Carlo for high-dim American options</w:t>
            </w:r>
          </w:p>
        </w:tc>
        <w:tc>
          <w:tcPr>
            <w:tcW w:w="909" w:type="dxa"/>
          </w:tcPr>
          <w:p>
            <w:pPr/>
            <w:r>
              <w:t xml:space="preserve">4</w:t>
            </w:r>
          </w:p>
        </w:tc>
      </w:tr>
      <w:tr>
        <w:tc>
          <w:tcPr>
            <w:tcW w:w="750" w:type="dxa"/>
          </w:tcPr>
          <w:p>
            <w:pPr/>
            <w:r>
              <w:t xml:space="preserve">16</w:t>
            </w:r>
          </w:p>
        </w:tc>
        <w:tc>
          <w:tcPr>
            <w:tcW w:w="1509" w:type="dxa"/>
          </w:tcPr>
          <w:p>
            <w:pPr/>
            <w:r>
              <w:t xml:space="preserve">N-BEATS / N-BEATS-GAN</w:t>
            </w:r>
          </w:p>
        </w:tc>
        <w:tc>
          <w:tcPr>
            <w:tcW w:w="1975" w:type="dxa"/>
          </w:tcPr>
          <w:p>
            <w:pPr/>
            <w:r>
              <w:t xml:space="preserve">Time-series forecasting + risk</w:t>
            </w:r>
          </w:p>
        </w:tc>
        <w:tc>
          <w:tcPr>
            <w:tcW w:w="4217" w:type="dxa"/>
          </w:tcPr>
          <w:p>
            <w:pPr/>
            <w:r>
              <w:t xml:space="preserve">Limited option-specific evidence</w:t>
            </w:r>
          </w:p>
        </w:tc>
        <w:tc>
          <w:tcPr>
            <w:tcW w:w="909" w:type="dxa"/>
          </w:tcPr>
          <w:p>
            <w:pPr/>
            <w:r>
              <w:t xml:space="preserve">3.5</w:t>
            </w:r>
          </w:p>
        </w:tc>
      </w:tr>
      <w:tr>
        <w:tc>
          <w:tcPr>
            <w:tcW w:w="750" w:type="dxa"/>
          </w:tcPr>
          <w:p>
            <w:pPr/>
            <w:r>
              <w:t xml:space="preserve">17</w:t>
            </w:r>
          </w:p>
        </w:tc>
        <w:tc>
          <w:tcPr>
            <w:tcW w:w="1509" w:type="dxa"/>
          </w:tcPr>
          <w:p>
            <w:pPr/>
            <w:r>
              <w:t xml:space="preserve">Elastic Net</w:t>
            </w:r>
          </w:p>
        </w:tc>
        <w:tc>
          <w:tcPr>
            <w:tcW w:w="1975" w:type="dxa"/>
          </w:tcPr>
          <w:p>
            <w:pPr/>
            <w:r>
              <w:t xml:space="preserve">Benchmark, feature selection</w:t>
            </w:r>
          </w:p>
        </w:tc>
        <w:tc>
          <w:tcPr>
            <w:tcW w:w="4217" w:type="dxa"/>
          </w:tcPr>
          <w:p>
            <w:pPr/>
            <w:r>
              <w:t xml:space="preserve">Positive out-of-sample R² where OLS failed (Gu–Kelly–Xiu)</w:t>
            </w:r>
          </w:p>
        </w:tc>
        <w:tc>
          <w:tcPr>
            <w:tcW w:w="909" w:type="dxa"/>
          </w:tcPr>
          <w:p>
            <w:pPr/>
            <w:r>
              <w:t xml:space="preserve">3.5</w:t>
            </w:r>
          </w:p>
        </w:tc>
      </w:tr>
      <w:tr>
        <w:tc>
          <w:tcPr>
            <w:tcW w:w="750" w:type="dxa"/>
          </w:tcPr>
          <w:p>
            <w:pPr/>
            <w:r>
              <w:t xml:space="preserve">18</w:t>
            </w:r>
          </w:p>
        </w:tc>
        <w:tc>
          <w:tcPr>
            <w:tcW w:w="1509" w:type="dxa"/>
          </w:tcPr>
          <w:p>
            <w:pPr/>
            <w:r>
              <w:t xml:space="preserve">SVR</w:t>
            </w:r>
          </w:p>
        </w:tc>
        <w:tc>
          <w:tcPr>
            <w:tcW w:w="1975" w:type="dxa"/>
          </w:tcPr>
          <w:p>
            <w:pPr/>
            <w:r>
              <w:t xml:space="preserve">Small/medium nonlinear data</w:t>
            </w:r>
          </w:p>
        </w:tc>
        <w:tc>
          <w:tcPr>
            <w:tcW w:w="4217" w:type="dxa"/>
          </w:tcPr>
          <w:p>
            <w:pPr/>
            <w:r>
              <w:t xml:space="preserve">Used as benchmark in pricing and volatility studies</w:t>
            </w:r>
          </w:p>
        </w:tc>
        <w:tc>
          <w:tcPr>
            <w:tcW w:w="909" w:type="dxa"/>
          </w:tcPr>
          <w:p>
            <w:pPr/>
            <w:r>
              <w:t xml:space="preserve">3.5</w:t>
            </w:r>
          </w:p>
        </w:tc>
      </w:tr>
      <w:tr>
        <w:tc>
          <w:tcPr>
            <w:tcW w:w="750" w:type="dxa"/>
          </w:tcPr>
          <w:p>
            <w:pPr/>
            <w:r>
              <w:t xml:space="preserve">19</w:t>
            </w:r>
          </w:p>
        </w:tc>
        <w:tc>
          <w:tcPr>
            <w:tcW w:w="1509" w:type="dxa"/>
          </w:tcPr>
          <w:p>
            <w:pPr/>
            <w:r>
              <w:t xml:space="preserve">CatBoost</w:t>
            </w:r>
          </w:p>
        </w:tc>
        <w:tc>
          <w:tcPr>
            <w:tcW w:w="1975" w:type="dxa"/>
          </w:tcPr>
          <w:p>
            <w:pPr/>
            <w:r>
              <w:t xml:space="preserve">Categorical / mixed features</w:t>
            </w:r>
          </w:p>
        </w:tc>
        <w:tc>
          <w:tcPr>
            <w:tcW w:w="4217" w:type="dxa"/>
          </w:tcPr>
          <w:p>
            <w:pPr/>
            <w:r>
              <w:t xml:space="preserve">ML beat Black-Scholes/Heston in several configurations</w:t>
            </w:r>
          </w:p>
        </w:tc>
        <w:tc>
          <w:tcPr>
            <w:tcW w:w="909" w:type="dxa"/>
          </w:tcPr>
          <w:p>
            <w:pPr/>
            <w:r>
              <w:t xml:space="preserve">3.5</w:t>
            </w:r>
          </w:p>
        </w:tc>
      </w:tr>
      <w:tr>
        <w:tc>
          <w:tcPr>
            <w:tcW w:w="750" w:type="dxa"/>
          </w:tcPr>
          <w:p>
            <w:pPr/>
            <w:r>
              <w:t xml:space="preserve">20</w:t>
            </w:r>
          </w:p>
        </w:tc>
        <w:tc>
          <w:tcPr>
            <w:tcW w:w="1509" w:type="dxa"/>
          </w:tcPr>
          <w:p>
            <w:pPr/>
            <w:r>
              <w:t xml:space="preserve">Ensemble / stacking</w:t>
            </w:r>
          </w:p>
        </w:tc>
        <w:tc>
          <w:tcPr>
            <w:tcW w:w="1975" w:type="dxa"/>
          </w:tcPr>
          <w:p>
            <w:pPr/>
            <w:r>
              <w:t xml:space="preserve">Production robustness</w:t>
            </w:r>
          </w:p>
        </w:tc>
        <w:tc>
          <w:tcPr>
            <w:tcW w:w="4217" w:type="dxa"/>
          </w:tcPr>
          <w:p>
            <w:pPr/>
            <w:r>
              <w:t xml:space="preserve">DNN + GBT + RF combination was strongest in S&amp;P 500 stat-arb study</w:t>
            </w:r>
          </w:p>
        </w:tc>
        <w:tc>
          <w:tcPr>
            <w:tcW w:w="909" w:type="dxa"/>
          </w:tcPr>
          <w:p>
            <w:pPr/>
            <w:r>
              <w:t xml:space="preserve">5*</w:t>
            </w:r>
          </w:p>
        </w:tc>
      </w:tr>
    </w:tbl>
    <w:p>
      <w:pPr/>
      <w:r>
        <w:rPr>
          <w:b/>
        </w:rPr>
        <w:t xml:space="preserve">Seven possible prediction targets</w:t>
      </w:r>
      <w:r>
        <w:t xml:space="preserve"> were distinguished: direction, return, realized volatility, implied volatility, option fair value, probability of a profitable trade, and optimal action (the RL problem). Choosing the target was called the most important decision in the project.</w:t>
      </w:r>
    </w:p>
    <w:p>
      <w:pPr/>
      <w:r>
        <w:rPr>
          <w:b/>
        </w:rPr>
        <w:t xml:space="preserve">Best models by task</w:t>
      </w:r>
      <w:r>
        <w:t xml:space="preserve"> (top three of each list):</w:t>
      </w:r>
    </w:p>
    <w:tbl>
      <w:tblPr>
        <w:tblStyle w:val="TableGrid"/>
        <w:tblW w:w="0" w:type="auto"/>
        <w:tblLayout w:type="fixed"/>
        <w:tblLook w:val="04A0" w:firstRow="1" w:lastRow="0" w:firstColumn="0" w:lastColumn="0" w:noHBand="0" w:noVBand="1"/>
      </w:tblPr>
      <w:tblGrid>
        <w:gridCol w:w="2425"/>
        <w:gridCol w:w="2432"/>
        <w:gridCol w:w="2467"/>
        <w:gridCol w:w="2034"/>
      </w:tblGrid>
      <w:tr>
        <w:trPr>
          <w:tblHeader/>
        </w:trPr>
        <w:tc>
          <w:tcPr>
            <w:tcW w:w="2425" w:type="dxa"/>
            <w:shd w:val="clear" w:color="auto" w:fill="F2F2F2"/>
          </w:tcPr>
          <w:p>
            <w:pPr/>
            <w:r>
              <w:t xml:space="preserve">Task</w:t>
            </w:r>
          </w:p>
        </w:tc>
        <w:tc>
          <w:tcPr>
            <w:tcW w:w="2432" w:type="dxa"/>
            <w:shd w:val="clear" w:color="auto" w:fill="F2F2F2"/>
          </w:tcPr>
          <w:p>
            <w:pPr/>
            <w:r>
              <w:t xml:space="preserve">1st</w:t>
            </w:r>
          </w:p>
        </w:tc>
        <w:tc>
          <w:tcPr>
            <w:tcW w:w="2467" w:type="dxa"/>
            <w:shd w:val="clear" w:color="auto" w:fill="F2F2F2"/>
          </w:tcPr>
          <w:p>
            <w:pPr/>
            <w:r>
              <w:t xml:space="preserve">2nd</w:t>
            </w:r>
          </w:p>
        </w:tc>
        <w:tc>
          <w:tcPr>
            <w:tcW w:w="2034" w:type="dxa"/>
            <w:shd w:val="clear" w:color="auto" w:fill="F2F2F2"/>
          </w:tcPr>
          <w:p>
            <w:pPr/>
            <w:r>
              <w:t xml:space="preserve">3rd</w:t>
            </w:r>
          </w:p>
        </w:tc>
      </w:tr>
      <w:tr>
        <w:tc>
          <w:tcPr>
            <w:tcW w:w="2425" w:type="dxa"/>
          </w:tcPr>
          <w:p>
            <w:pPr/>
            <w:r>
              <w:t xml:space="preserve">Realized volatility</w:t>
            </w:r>
          </w:p>
        </w:tc>
        <w:tc>
          <w:tcPr>
            <w:tcW w:w="2432" w:type="dxa"/>
          </w:tcPr>
          <w:p>
            <w:pPr/>
            <w:r>
              <w:t xml:space="preserve">LSTM</w:t>
            </w:r>
          </w:p>
        </w:tc>
        <w:tc>
          <w:tcPr>
            <w:tcW w:w="2467" w:type="dxa"/>
          </w:tcPr>
          <w:p>
            <w:pPr/>
            <w:r>
              <w:t xml:space="preserve">XGBoost</w:t>
            </w:r>
          </w:p>
        </w:tc>
        <w:tc>
          <w:tcPr>
            <w:tcW w:w="2034" w:type="dxa"/>
          </w:tcPr>
          <w:p>
            <w:pPr/>
            <w:r>
              <w:t xml:space="preserve">LightGBM</w:t>
            </w:r>
          </w:p>
        </w:tc>
      </w:tr>
      <w:tr>
        <w:tc>
          <w:tcPr>
            <w:tcW w:w="2425" w:type="dxa"/>
          </w:tcPr>
          <w:p>
            <w:pPr/>
            <w:r>
              <w:t xml:space="preserve">Implied volatility</w:t>
            </w:r>
          </w:p>
        </w:tc>
        <w:tc>
          <w:tcPr>
            <w:tcW w:w="2432" w:type="dxa"/>
          </w:tcPr>
          <w:p>
            <w:pPr/>
            <w:r>
              <w:t xml:space="preserve">LSTM / Bi-LSTM</w:t>
            </w:r>
          </w:p>
        </w:tc>
        <w:tc>
          <w:tcPr>
            <w:tcW w:w="2467" w:type="dxa"/>
          </w:tcPr>
          <w:p>
            <w:pPr/>
            <w:r>
              <w:t xml:space="preserve">XGBoost</w:t>
            </w:r>
          </w:p>
        </w:tc>
        <w:tc>
          <w:tcPr>
            <w:tcW w:w="2034" w:type="dxa"/>
          </w:tcPr>
          <w:p>
            <w:pPr/>
            <w:r>
              <w:t xml:space="preserve">LightGBM</w:t>
            </w:r>
          </w:p>
        </w:tc>
      </w:tr>
      <w:tr>
        <w:tc>
          <w:tcPr>
            <w:tcW w:w="2425" w:type="dxa"/>
          </w:tcPr>
          <w:p>
            <w:pPr/>
            <w:r>
              <w:t xml:space="preserve">Option pricing</w:t>
            </w:r>
          </w:p>
        </w:tc>
        <w:tc>
          <w:tcPr>
            <w:tcW w:w="2432" w:type="dxa"/>
          </w:tcPr>
          <w:p>
            <w:pPr/>
            <w:r>
              <w:t xml:space="preserve">XGBoost</w:t>
            </w:r>
          </w:p>
        </w:tc>
        <w:tc>
          <w:tcPr>
            <w:tcW w:w="2467" w:type="dxa"/>
          </w:tcPr>
          <w:p>
            <w:pPr/>
            <w:r>
              <w:t xml:space="preserve">LightGBM</w:t>
            </w:r>
          </w:p>
        </w:tc>
        <w:tc>
          <w:tcPr>
            <w:tcW w:w="2034" w:type="dxa"/>
          </w:tcPr>
          <w:p>
            <w:pPr/>
            <w:r>
              <w:t xml:space="preserve">MLP</w:t>
            </w:r>
          </w:p>
        </w:tc>
      </w:tr>
      <w:tr>
        <w:tc>
          <w:tcPr>
            <w:tcW w:w="2425" w:type="dxa"/>
          </w:tcPr>
          <w:p>
            <w:pPr/>
            <w:r>
              <w:t xml:space="preserve">Stock direction</w:t>
            </w:r>
          </w:p>
        </w:tc>
        <w:tc>
          <w:tcPr>
            <w:tcW w:w="2432" w:type="dxa"/>
          </w:tcPr>
          <w:p>
            <w:pPr/>
            <w:r>
              <w:t xml:space="preserve">XGBoost</w:t>
            </w:r>
          </w:p>
        </w:tc>
        <w:tc>
          <w:tcPr>
            <w:tcW w:w="2467" w:type="dxa"/>
          </w:tcPr>
          <w:p>
            <w:pPr/>
            <w:r>
              <w:t xml:space="preserve">MLP</w:t>
            </w:r>
          </w:p>
        </w:tc>
        <w:tc>
          <w:tcPr>
            <w:tcW w:w="2034" w:type="dxa"/>
          </w:tcPr>
          <w:p>
            <w:pPr/>
            <w:r>
              <w:t xml:space="preserve">Random Forest</w:t>
            </w:r>
          </w:p>
        </w:tc>
      </w:tr>
      <w:tr>
        <w:tc>
          <w:tcPr>
            <w:tcW w:w="2425" w:type="dxa"/>
          </w:tcPr>
          <w:p>
            <w:pPr/>
            <w:r>
              <w:t xml:space="preserve">Dynamic hedging</w:t>
            </w:r>
          </w:p>
        </w:tc>
        <w:tc>
          <w:tcPr>
            <w:tcW w:w="2432" w:type="dxa"/>
          </w:tcPr>
          <w:p>
            <w:pPr/>
            <w:r>
              <w:t xml:space="preserve">PPO</w:t>
            </w:r>
          </w:p>
        </w:tc>
        <w:tc>
          <w:tcPr>
            <w:tcW w:w="2467" w:type="dxa"/>
          </w:tcPr>
          <w:p>
            <w:pPr/>
            <w:r>
              <w:t xml:space="preserve">Policy-gradient RL</w:t>
            </w:r>
          </w:p>
        </w:tc>
        <w:tc>
          <w:tcPr>
            <w:tcW w:w="2034" w:type="dxa"/>
          </w:tcPr>
          <w:p>
            <w:pPr/>
            <w:r>
              <w:t xml:space="preserve">DDPG / TD3</w:t>
            </w:r>
          </w:p>
        </w:tc>
      </w:tr>
    </w:tbl>
    <w:p>
      <w:pPr/>
      <w:r>
        <w:rPr>
          <w:b/>
        </w:rPr>
        <w:t xml:space="preserve">Recurring lesson:</w:t>
      </w:r>
      <w:r>
        <w:t xml:space="preserve"> simple models often win with limited data; complex models only pay off as data quality and quantity grow. Finance has low signal-to-noise, nonstationarity and changing regimes.</w:t>
      </w:r>
    </w:p>
    <w:p>
      <w:pPr>
        <w:pStyle w:val="Heading2"/>
      </w:pPr>
      <w:r>
        <w:t xml:space="preserve">Discussion 1b — What makes an ML trading model succeed</w:t>
      </w:r>
    </w:p>
    <w:p>
      <w:pPr/>
      <w:r>
        <w:t xml:space="preserve">Data quality, leakage prevention, target definition, transaction-cost realism and out-of-sample validation were all rated 10/10 — judged more important than the choice between XGBoost and LSTM.</w:t>
      </w:r>
    </w:p>
    <w:tbl>
      <w:tblPr>
        <w:tblStyle w:val="TableGrid"/>
        <w:tblW w:w="0" w:type="auto"/>
        <w:tblLayout w:type="fixed"/>
        <w:tblLook w:val="04A0" w:firstRow="1" w:lastRow="0" w:firstColumn="0" w:lastColumn="0" w:noHBand="0" w:noVBand="1"/>
      </w:tblPr>
      <w:tblGrid>
        <w:gridCol w:w="757"/>
        <w:gridCol w:w="2883"/>
        <w:gridCol w:w="836"/>
        <w:gridCol w:w="757"/>
        <w:gridCol w:w="3288"/>
        <w:gridCol w:w="836"/>
      </w:tblGrid>
      <w:tr>
        <w:trPr>
          <w:tblHeader/>
        </w:trPr>
        <w:tc>
          <w:tcPr>
            <w:tcW w:w="757" w:type="dxa"/>
            <w:shd w:val="clear" w:color="auto" w:fill="F2F2F2"/>
          </w:tcPr>
          <w:p>
            <w:pPr/>
            <w:r>
              <w:t xml:space="preserve">Rank</w:t>
            </w:r>
          </w:p>
        </w:tc>
        <w:tc>
          <w:tcPr>
            <w:tcW w:w="2883" w:type="dxa"/>
            <w:shd w:val="clear" w:color="auto" w:fill="F2F2F2"/>
          </w:tcPr>
          <w:p>
            <w:pPr/>
            <w:r>
              <w:t xml:space="preserve">Factor</w:t>
            </w:r>
          </w:p>
        </w:tc>
        <w:tc>
          <w:tcPr>
            <w:tcW w:w="836" w:type="dxa"/>
            <w:shd w:val="clear" w:color="auto" w:fill="F2F2F2"/>
          </w:tcPr>
          <w:p>
            <w:pPr/>
            <w:r>
              <w:t xml:space="preserve">Score</w:t>
            </w:r>
          </w:p>
        </w:tc>
        <w:tc>
          <w:tcPr>
            <w:tcW w:w="757" w:type="dxa"/>
            <w:shd w:val="clear" w:color="auto" w:fill="F2F2F2"/>
          </w:tcPr>
          <w:p>
            <w:pPr/>
            <w:r>
              <w:t xml:space="preserve">Rank</w:t>
            </w:r>
          </w:p>
        </w:tc>
        <w:tc>
          <w:tcPr>
            <w:tcW w:w="3288" w:type="dxa"/>
            <w:shd w:val="clear" w:color="auto" w:fill="F2F2F2"/>
          </w:tcPr>
          <w:p>
            <w:pPr/>
            <w:r>
              <w:t xml:space="preserve">Factor</w:t>
            </w:r>
          </w:p>
        </w:tc>
        <w:tc>
          <w:tcPr>
            <w:tcW w:w="836" w:type="dxa"/>
            <w:shd w:val="clear" w:color="auto" w:fill="F2F2F2"/>
          </w:tcPr>
          <w:p>
            <w:pPr/>
            <w:r>
              <w:t xml:space="preserve">Score</w:t>
            </w:r>
          </w:p>
        </w:tc>
      </w:tr>
      <w:tr>
        <w:tc>
          <w:tcPr>
            <w:tcW w:w="757" w:type="dxa"/>
          </w:tcPr>
          <w:p>
            <w:pPr/>
            <w:r>
              <w:t xml:space="preserve">1</w:t>
            </w:r>
          </w:p>
        </w:tc>
        <w:tc>
          <w:tcPr>
            <w:tcW w:w="2883" w:type="dxa"/>
          </w:tcPr>
          <w:p>
            <w:pPr/>
            <w:r>
              <w:t xml:space="preserve">Data quality</w:t>
            </w:r>
          </w:p>
        </w:tc>
        <w:tc>
          <w:tcPr>
            <w:tcW w:w="836" w:type="dxa"/>
          </w:tcPr>
          <w:p>
            <w:pPr/>
            <w:r>
              <w:t xml:space="preserve">10</w:t>
            </w:r>
          </w:p>
        </w:tc>
        <w:tc>
          <w:tcPr>
            <w:tcW w:w="757" w:type="dxa"/>
          </w:tcPr>
          <w:p>
            <w:pPr/>
            <w:r>
              <w:t xml:space="preserve">11</w:t>
            </w:r>
          </w:p>
        </w:tc>
        <w:tc>
          <w:tcPr>
            <w:tcW w:w="3288" w:type="dxa"/>
          </w:tcPr>
          <w:p>
            <w:pPr/>
            <w:r>
              <w:t xml:space="preserve">Model calibration</w:t>
            </w:r>
          </w:p>
        </w:tc>
        <w:tc>
          <w:tcPr>
            <w:tcW w:w="836" w:type="dxa"/>
          </w:tcPr>
          <w:p>
            <w:pPr/>
            <w:r>
              <w:t xml:space="preserve">9.5</w:t>
            </w:r>
          </w:p>
        </w:tc>
      </w:tr>
      <w:tr>
        <w:tc>
          <w:tcPr>
            <w:tcW w:w="757" w:type="dxa"/>
          </w:tcPr>
          <w:p>
            <w:pPr/>
            <w:r>
              <w:t xml:space="preserve">2</w:t>
            </w:r>
          </w:p>
        </w:tc>
        <w:tc>
          <w:tcPr>
            <w:tcW w:w="2883" w:type="dxa"/>
          </w:tcPr>
          <w:p>
            <w:pPr/>
            <w:r>
              <w:t xml:space="preserve">Leakage prevention</w:t>
            </w:r>
          </w:p>
        </w:tc>
        <w:tc>
          <w:tcPr>
            <w:tcW w:w="836" w:type="dxa"/>
          </w:tcPr>
          <w:p>
            <w:pPr/>
            <w:r>
              <w:t xml:space="preserve">10</w:t>
            </w:r>
          </w:p>
        </w:tc>
        <w:tc>
          <w:tcPr>
            <w:tcW w:w="757" w:type="dxa"/>
          </w:tcPr>
          <w:p>
            <w:pPr/>
            <w:r>
              <w:t xml:space="preserve">12</w:t>
            </w:r>
          </w:p>
        </w:tc>
        <w:tc>
          <w:tcPr>
            <w:tcW w:w="3288" w:type="dxa"/>
          </w:tcPr>
          <w:p>
            <w:pPr/>
            <w:r>
              <w:t xml:space="preserve">Objective / loss function</w:t>
            </w:r>
          </w:p>
        </w:tc>
        <w:tc>
          <w:tcPr>
            <w:tcW w:w="836" w:type="dxa"/>
          </w:tcPr>
          <w:p>
            <w:pPr/>
            <w:r>
              <w:t xml:space="preserve">9.5</w:t>
            </w:r>
          </w:p>
        </w:tc>
      </w:tr>
      <w:tr>
        <w:tc>
          <w:tcPr>
            <w:tcW w:w="757" w:type="dxa"/>
          </w:tcPr>
          <w:p>
            <w:pPr/>
            <w:r>
              <w:t xml:space="preserve">3</w:t>
            </w:r>
          </w:p>
        </w:tc>
        <w:tc>
          <w:tcPr>
            <w:tcW w:w="2883" w:type="dxa"/>
          </w:tcPr>
          <w:p>
            <w:pPr/>
            <w:r>
              <w:t xml:space="preserve">Target definition</w:t>
            </w:r>
          </w:p>
        </w:tc>
        <w:tc>
          <w:tcPr>
            <w:tcW w:w="836" w:type="dxa"/>
          </w:tcPr>
          <w:p>
            <w:pPr/>
            <w:r>
              <w:t xml:space="preserve">10</w:t>
            </w:r>
          </w:p>
        </w:tc>
        <w:tc>
          <w:tcPr>
            <w:tcW w:w="757" w:type="dxa"/>
          </w:tcPr>
          <w:p>
            <w:pPr/>
            <w:r>
              <w:t xml:space="preserve">13</w:t>
            </w:r>
          </w:p>
        </w:tc>
        <w:tc>
          <w:tcPr>
            <w:tcW w:w="3288" w:type="dxa"/>
          </w:tcPr>
          <w:p>
            <w:pPr/>
            <w:r>
              <w:t xml:space="preserve">Ensemble diversity</w:t>
            </w:r>
          </w:p>
        </w:tc>
        <w:tc>
          <w:tcPr>
            <w:tcW w:w="836" w:type="dxa"/>
          </w:tcPr>
          <w:p>
            <w:pPr/>
            <w:r>
              <w:t xml:space="preserve">9.4</w:t>
            </w:r>
          </w:p>
        </w:tc>
      </w:tr>
      <w:tr>
        <w:tc>
          <w:tcPr>
            <w:tcW w:w="757" w:type="dxa"/>
          </w:tcPr>
          <w:p>
            <w:pPr/>
            <w:r>
              <w:t xml:space="preserve">4</w:t>
            </w:r>
          </w:p>
        </w:tc>
        <w:tc>
          <w:tcPr>
            <w:tcW w:w="2883" w:type="dxa"/>
          </w:tcPr>
          <w:p>
            <w:pPr/>
            <w:r>
              <w:t xml:space="preserve">Transaction-cost realism</w:t>
            </w:r>
          </w:p>
        </w:tc>
        <w:tc>
          <w:tcPr>
            <w:tcW w:w="836" w:type="dxa"/>
          </w:tcPr>
          <w:p>
            <w:pPr/>
            <w:r>
              <w:t xml:space="preserve">10</w:t>
            </w:r>
          </w:p>
        </w:tc>
        <w:tc>
          <w:tcPr>
            <w:tcW w:w="757" w:type="dxa"/>
          </w:tcPr>
          <w:p>
            <w:pPr/>
            <w:r>
              <w:t xml:space="preserve">14</w:t>
            </w:r>
          </w:p>
        </w:tc>
        <w:tc>
          <w:tcPr>
            <w:tcW w:w="3288" w:type="dxa"/>
          </w:tcPr>
          <w:p>
            <w:pPr/>
            <w:r>
              <w:t xml:space="preserve">Interpretability</w:t>
            </w:r>
          </w:p>
        </w:tc>
        <w:tc>
          <w:tcPr>
            <w:tcW w:w="836" w:type="dxa"/>
          </w:tcPr>
          <w:p>
            <w:pPr/>
            <w:r>
              <w:t xml:space="preserve">9.0</w:t>
            </w:r>
          </w:p>
        </w:tc>
      </w:tr>
      <w:tr>
        <w:tc>
          <w:tcPr>
            <w:tcW w:w="757" w:type="dxa"/>
          </w:tcPr>
          <w:p>
            <w:pPr/>
            <w:r>
              <w:t xml:space="preserve">5</w:t>
            </w:r>
          </w:p>
        </w:tc>
        <w:tc>
          <w:tcPr>
            <w:tcW w:w="2883" w:type="dxa"/>
          </w:tcPr>
          <w:p>
            <w:pPr/>
            <w:r>
              <w:t xml:space="preserve">Out-of-sample validation</w:t>
            </w:r>
          </w:p>
        </w:tc>
        <w:tc>
          <w:tcPr>
            <w:tcW w:w="836" w:type="dxa"/>
          </w:tcPr>
          <w:p>
            <w:pPr/>
            <w:r>
              <w:t xml:space="preserve">10</w:t>
            </w:r>
          </w:p>
        </w:tc>
        <w:tc>
          <w:tcPr>
            <w:tcW w:w="757" w:type="dxa"/>
          </w:tcPr>
          <w:p>
            <w:pPr/>
            <w:r>
              <w:t xml:space="preserve">15</w:t>
            </w:r>
          </w:p>
        </w:tc>
        <w:tc>
          <w:tcPr>
            <w:tcW w:w="3288" w:type="dxa"/>
          </w:tcPr>
          <w:p>
            <w:pPr/>
            <w:r>
              <w:t xml:space="preserve">Computational efficiency</w:t>
            </w:r>
          </w:p>
        </w:tc>
        <w:tc>
          <w:tcPr>
            <w:tcW w:w="836" w:type="dxa"/>
          </w:tcPr>
          <w:p>
            <w:pPr/>
            <w:r>
              <w:t xml:space="preserve">8.5</w:t>
            </w:r>
          </w:p>
        </w:tc>
      </w:tr>
      <w:tr>
        <w:tc>
          <w:tcPr>
            <w:tcW w:w="757" w:type="dxa"/>
          </w:tcPr>
          <w:p>
            <w:pPr/>
            <w:r>
              <w:t xml:space="preserve">6</w:t>
            </w:r>
          </w:p>
        </w:tc>
        <w:tc>
          <w:tcPr>
            <w:tcW w:w="2883" w:type="dxa"/>
          </w:tcPr>
          <w:p>
            <w:pPr/>
            <w:r>
              <w:t xml:space="preserve">Regime robustness</w:t>
            </w:r>
          </w:p>
        </w:tc>
        <w:tc>
          <w:tcPr>
            <w:tcW w:w="836" w:type="dxa"/>
          </w:tcPr>
          <w:p>
            <w:pPr/>
            <w:r>
              <w:t xml:space="preserve">9.9</w:t>
            </w:r>
          </w:p>
        </w:tc>
        <w:tc>
          <w:tcPr>
            <w:tcW w:w="757" w:type="dxa"/>
          </w:tcPr>
          <w:p>
            <w:pPr/>
            <w:r>
              <w:t xml:space="preserve">16</w:t>
            </w:r>
          </w:p>
        </w:tc>
        <w:tc>
          <w:tcPr>
            <w:tcW w:w="3288" w:type="dxa"/>
          </w:tcPr>
          <w:p>
            <w:pPr/>
            <w:r>
              <w:t xml:space="preserve">Hyperparameter optimization</w:t>
            </w:r>
          </w:p>
        </w:tc>
        <w:tc>
          <w:tcPr>
            <w:tcW w:w="836" w:type="dxa"/>
          </w:tcPr>
          <w:p>
            <w:pPr/>
            <w:r>
              <w:t xml:space="preserve">8.5</w:t>
            </w:r>
          </w:p>
        </w:tc>
      </w:tr>
      <w:tr>
        <w:tc>
          <w:tcPr>
            <w:tcW w:w="757" w:type="dxa"/>
          </w:tcPr>
          <w:p>
            <w:pPr/>
            <w:r>
              <w:t xml:space="preserve">7</w:t>
            </w:r>
          </w:p>
        </w:tc>
        <w:tc>
          <w:tcPr>
            <w:tcW w:w="2883" w:type="dxa"/>
          </w:tcPr>
          <w:p>
            <w:pPr/>
            <w:r>
              <w:t xml:space="preserve">Feature quality</w:t>
            </w:r>
          </w:p>
        </w:tc>
        <w:tc>
          <w:tcPr>
            <w:tcW w:w="836" w:type="dxa"/>
          </w:tcPr>
          <w:p>
            <w:pPr/>
            <w:r>
              <w:t xml:space="preserve">9.8</w:t>
            </w:r>
          </w:p>
        </w:tc>
        <w:tc>
          <w:tcPr>
            <w:tcW w:w="757" w:type="dxa"/>
          </w:tcPr>
          <w:p>
            <w:pPr/>
            <w:r>
              <w:t xml:space="preserve">17</w:t>
            </w:r>
          </w:p>
        </w:tc>
        <w:tc>
          <w:tcPr>
            <w:tcW w:w="3288" w:type="dxa"/>
          </w:tcPr>
          <w:p>
            <w:pPr/>
            <w:r>
              <w:t xml:space="preserve">Retraining frequency</w:t>
            </w:r>
          </w:p>
        </w:tc>
        <w:tc>
          <w:tcPr>
            <w:tcW w:w="836" w:type="dxa"/>
          </w:tcPr>
          <w:p>
            <w:pPr/>
            <w:r>
              <w:t xml:space="preserve">8.5</w:t>
            </w:r>
          </w:p>
        </w:tc>
      </w:tr>
      <w:tr>
        <w:tc>
          <w:tcPr>
            <w:tcW w:w="757" w:type="dxa"/>
          </w:tcPr>
          <w:p>
            <w:pPr/>
            <w:r>
              <w:t xml:space="preserve">8</w:t>
            </w:r>
          </w:p>
        </w:tc>
        <w:tc>
          <w:tcPr>
            <w:tcW w:w="2883" w:type="dxa"/>
          </w:tcPr>
          <w:p>
            <w:pPr/>
            <w:r>
              <w:t xml:space="preserve">Position sizing</w:t>
            </w:r>
          </w:p>
        </w:tc>
        <w:tc>
          <w:tcPr>
            <w:tcW w:w="836" w:type="dxa"/>
          </w:tcPr>
          <w:p>
            <w:pPr/>
            <w:r>
              <w:t xml:space="preserve">9.8</w:t>
            </w:r>
          </w:p>
        </w:tc>
        <w:tc>
          <w:tcPr>
            <w:tcW w:w="757" w:type="dxa"/>
          </w:tcPr>
          <w:p>
            <w:pPr/>
            <w:r>
              <w:t xml:space="preserve">18</w:t>
            </w:r>
          </w:p>
        </w:tc>
        <w:tc>
          <w:tcPr>
            <w:tcW w:w="3288" w:type="dxa"/>
          </w:tcPr>
          <w:p>
            <w:pPr/>
            <w:r>
              <w:t xml:space="preserve">Uncertainty estimation</w:t>
            </w:r>
          </w:p>
        </w:tc>
        <w:tc>
          <w:tcPr>
            <w:tcW w:w="836" w:type="dxa"/>
          </w:tcPr>
          <w:p>
            <w:pPr/>
            <w:r>
              <w:t xml:space="preserve">8.5</w:t>
            </w:r>
          </w:p>
        </w:tc>
      </w:tr>
      <w:tr>
        <w:tc>
          <w:tcPr>
            <w:tcW w:w="757" w:type="dxa"/>
          </w:tcPr>
          <w:p>
            <w:pPr/>
            <w:r>
              <w:t xml:space="preserve">9</w:t>
            </w:r>
          </w:p>
        </w:tc>
        <w:tc>
          <w:tcPr>
            <w:tcW w:w="2883" w:type="dxa"/>
          </w:tcPr>
          <w:p>
            <w:pPr/>
            <w:r>
              <w:t xml:space="preserve">Tail-risk management</w:t>
            </w:r>
          </w:p>
        </w:tc>
        <w:tc>
          <w:tcPr>
            <w:tcW w:w="836" w:type="dxa"/>
          </w:tcPr>
          <w:p>
            <w:pPr/>
            <w:r>
              <w:t xml:space="preserve">9.8</w:t>
            </w:r>
          </w:p>
        </w:tc>
        <w:tc>
          <w:tcPr>
            <w:tcW w:w="757" w:type="dxa"/>
          </w:tcPr>
          <w:p>
            <w:pPr/>
            <w:r>
              <w:t xml:space="preserve">19</w:t>
            </w:r>
          </w:p>
        </w:tc>
        <w:tc>
          <w:tcPr>
            <w:tcW w:w="3288" w:type="dxa"/>
          </w:tcPr>
          <w:p>
            <w:pPr/>
            <w:r>
              <w:t xml:space="preserve">Execution infrastructure</w:t>
            </w:r>
          </w:p>
        </w:tc>
        <w:tc>
          <w:tcPr>
            <w:tcW w:w="836" w:type="dxa"/>
          </w:tcPr>
          <w:p>
            <w:pPr/>
            <w:r>
              <w:t xml:space="preserve">8.5</w:t>
            </w:r>
          </w:p>
        </w:tc>
      </w:tr>
      <w:tr>
        <w:tc>
          <w:tcPr>
            <w:tcW w:w="757" w:type="dxa"/>
          </w:tcPr>
          <w:p>
            <w:pPr/>
            <w:r>
              <w:t xml:space="preserve">10</w:t>
            </w:r>
          </w:p>
        </w:tc>
        <w:tc>
          <w:tcPr>
            <w:tcW w:w="2883" w:type="dxa"/>
          </w:tcPr>
          <w:p>
            <w:pPr/>
            <w:r>
              <w:t xml:space="preserve">Nonstationarity handling</w:t>
            </w:r>
          </w:p>
        </w:tc>
        <w:tc>
          <w:tcPr>
            <w:tcW w:w="836" w:type="dxa"/>
          </w:tcPr>
          <w:p>
            <w:pPr/>
            <w:r>
              <w:t xml:space="preserve">9.7</w:t>
            </w:r>
          </w:p>
        </w:tc>
        <w:tc>
          <w:tcPr>
            <w:tcW w:w="757" w:type="dxa"/>
          </w:tcPr>
          <w:p>
            <w:pPr/>
            <w:r>
              <w:t xml:space="preserve">20</w:t>
            </w:r>
          </w:p>
        </w:tc>
        <w:tc>
          <w:tcPr>
            <w:tcW w:w="3288" w:type="dxa"/>
          </w:tcPr>
          <w:p>
            <w:pPr/>
            <w:r>
              <w:t xml:space="preserve">Model governance</w:t>
            </w:r>
          </w:p>
        </w:tc>
        <w:tc>
          <w:tcPr>
            <w:tcW w:w="836" w:type="dxa"/>
          </w:tcPr>
          <w:p>
            <w:pPr/>
            <w:r>
              <w:t xml:space="preserve">8.0</w:t>
            </w:r>
          </w:p>
        </w:tc>
      </w:tr>
    </w:tbl>
    <w:p>
      <w:pPr/>
      <w:r>
        <w:rPr>
          <w:b/>
        </w:rPr>
        <w:t xml:space="preserve">Key points behind the factors</w:t>
      </w:r>
    </w:p>
    <w:p>
      <w:pPr>
        <w:pStyle w:val="ListParagraph"/>
        <w:numPr>
          <w:ilvl w:val="0"/>
          <w:numId w:val="2"/>
        </w:numPr>
      </w:pPr>
      <w:r>
        <w:rPr>
          <w:b/>
        </w:rPr>
        <w:t xml:space="preserve">Leakage:</w:t>
      </w:r>
      <w:r>
        <w:t xml:space="preserve"> option data is especially prone to it — expiring contracts, IV derived from prices, asynchronous bid/ask, corporate actions, survivorship bias.</w:t>
      </w:r>
    </w:p>
    <w:p>
      <w:pPr>
        <w:pStyle w:val="ListParagraph"/>
        <w:numPr>
          <w:ilvl w:val="0"/>
          <w:numId w:val="2"/>
        </w:numPr>
      </w:pPr>
      <w:r>
        <w:rPr>
          <w:b/>
        </w:rPr>
        <w:t xml:space="preserve">Targets:</w:t>
      </w:r>
      <w:r>
        <w:t xml:space="preserve"> predict future IV, IV change, mispricing, future RV, expected trade P&amp;L or P(P&amp;L &gt; 0) rather than raw next-day option price. The last two are most useful for trading.</w:t>
      </w:r>
    </w:p>
    <w:p>
      <w:pPr>
        <w:pStyle w:val="ListParagraph"/>
        <w:numPr>
          <w:ilvl w:val="0"/>
          <w:numId w:val="2"/>
        </w:numPr>
      </w:pPr>
      <w:r>
        <w:rPr>
          <w:b/>
        </w:rPr>
        <w:t xml:space="preserve">Costs:</w:t>
      </w:r>
      <w:r>
        <w:t xml:space="preserve"> a model forecasting +0.20% per trade is worthless at 0.35% cost. A cited walk-forward study found XGBoost, LSTM and iTransformer signals failed after a 10 bp cost until a cost-aware threshold was added.</w:t>
      </w:r>
    </w:p>
    <w:p>
      <w:pPr>
        <w:pStyle w:val="ListParagraph"/>
        <w:numPr>
          <w:ilvl w:val="0"/>
          <w:numId w:val="2"/>
        </w:numPr>
      </w:pPr>
      <w:r>
        <w:rPr>
          <w:b/>
        </w:rPr>
        <w:t xml:space="preserve">Metrics:</w:t>
      </w:r>
      <w:r>
        <w:t xml:space="preserve"> track prediction metrics (RMSE, MAE, R², log loss, Brier, calibration) separately from trading metrics (net Sharpe, Sortino, Calmar, max drawdown, expected shortfall, turnover, profit factor).</w:t>
      </w:r>
    </w:p>
    <w:p>
      <w:pPr>
        <w:pStyle w:val="ListParagraph"/>
        <w:numPr>
          <w:ilvl w:val="0"/>
          <w:numId w:val="2"/>
        </w:numPr>
      </w:pPr>
      <w:r>
        <w:rPr>
          <w:b/>
        </w:rPr>
        <w:t xml:space="preserve">Features:</w:t>
      </w:r>
      <w:r>
        <w:t xml:space="preserve"> ten families — price, volatility, options (ATM IV, 25Δ skew, term structure, IV-RV spread), Greeks, flow, liquidity, VIX complex, macro, sentiment. Gu–Kelly–Xiu found momentum, liquidity and volatility interactions most predictive.</w:t>
      </w:r>
    </w:p>
    <w:p>
      <w:pPr>
        <w:pStyle w:val="ListParagraph"/>
        <w:numPr>
          <w:ilvl w:val="0"/>
          <w:numId w:val="2"/>
        </w:numPr>
      </w:pPr>
      <w:r>
        <w:rPr>
          <w:b/>
        </w:rPr>
        <w:t xml:space="preserve">Universal models:</w:t>
      </w:r>
      <w:r>
        <w:t xml:space="preserve"> one pooled model across all underlyings (with per-underlying embeddings) beat separate per-stock models.</w:t>
      </w:r>
    </w:p>
    <w:p>
      <w:pPr>
        <w:pStyle w:val="ListParagraph"/>
        <w:numPr>
          <w:ilvl w:val="0"/>
          <w:numId w:val="2"/>
        </w:numPr>
      </w:pPr>
      <w:r>
        <w:rPr>
          <w:b/>
        </w:rPr>
        <w:t xml:space="preserve">Surface modelling:</w:t>
      </w:r>
      <w:r>
        <w:t xml:space="preserve"> treat the whole IV(K, T) surface as one observation (CNN for local patterns, GNN for contract links, VAE for compression).</w:t>
      </w:r>
    </w:p>
    <w:p>
      <w:pPr>
        <w:pStyle w:val="ListParagraph"/>
        <w:numPr>
          <w:ilvl w:val="0"/>
          <w:numId w:val="2"/>
        </w:numPr>
      </w:pPr>
      <w:r>
        <w:rPr>
          <w:b/>
        </w:rPr>
        <w:t xml:space="preserve">Calibration and distributions:</w:t>
      </w:r>
      <w:r>
        <w:t xml:space="preserve"> a calibrated 70% probability is worth more than a raw point forecast; prefer predicting the distribution of returns. A +0.6% forecast at 92% confidence was preferred over +1% at 51%.</w:t>
      </w:r>
    </w:p>
    <w:p>
      <w:pPr>
        <w:pStyle w:val="ListParagraph"/>
        <w:numPr>
          <w:ilvl w:val="0"/>
          <w:numId w:val="2"/>
        </w:numPr>
      </w:pPr>
      <w:r>
        <w:rPr>
          <w:b/>
        </w:rPr>
        <w:t xml:space="preserve">LLMs:</w:t>
      </w:r>
      <w:r>
        <w:t xml:space="preserve"> not for numeric prediction; use them to extract signals from news, earnings calls, SEC filings and central-bank language (consistent with IMF and BIS views).</w:t>
      </w:r>
    </w:p>
    <w:p>
      <w:pPr>
        <w:pStyle w:val="ListParagraph"/>
        <w:numPr>
          <w:ilvl w:val="0"/>
          <w:numId w:val="2"/>
        </w:numPr>
      </w:pPr>
      <w:r>
        <w:rPr>
          <w:b/>
        </w:rPr>
        <w:t xml:space="preserve">Institutional caution:</w:t>
      </w:r>
      <w:r>
        <w:t xml:space="preserve"> the Bank of England notes firms mainly use autonomous AI for research, coding and surveillance, not autonomous trading. The IMF warns of correlated behaviour and crowding.</w:t>
      </w:r>
    </w:p>
    <w:p>
      <w:pPr/>
      <w:r>
        <w:rPr>
          <w:b/>
        </w:rPr>
        <w:t xml:space="preserve">Validation protocol agreed</w:t>
      </w:r>
    </w:p>
    <w:p>
      <w:pPr>
        <w:pStyle w:val="ListParagraph"/>
        <w:numPr>
          <w:ilvl w:val="0"/>
          <w:numId w:val="3"/>
        </w:numPr>
      </w:pPr>
      <w:r>
        <w:t xml:space="preserve">Statistical layer — does it predict IV, RV, returns?</w:t>
      </w:r>
    </w:p>
    <w:p>
      <w:pPr>
        <w:pStyle w:val="ListParagraph"/>
        <w:numPr>
          <w:ilvl w:val="0"/>
          <w:numId w:val="3"/>
        </w:numPr>
      </w:pPr>
      <w:r>
        <w:t xml:space="preserve">Economic layer — positive expectancy, Sharpe, Sortino, drawdown?</w:t>
      </w:r>
    </w:p>
    <w:p>
      <w:pPr>
        <w:pStyle w:val="ListParagraph"/>
        <w:numPr>
          <w:ilvl w:val="0"/>
          <w:numId w:val="3"/>
        </w:numPr>
      </w:pPr>
      <w:r>
        <w:t xml:space="preserve">Execution layer — still profitable after spread, commission, slippage, impact, latency?</w:t>
      </w:r>
    </w:p>
    <w:p>
      <w:pPr>
        <w:pStyle w:val="ListParagraph"/>
        <w:numPr>
          <w:ilvl w:val="0"/>
          <w:numId w:val="3"/>
        </w:numPr>
      </w:pPr>
      <w:r>
        <w:t xml:space="preserve">Crisis test — 2008, 2020, 2022 and gap events separately.</w:t>
      </w:r>
    </w:p>
    <w:p>
      <w:pPr/>
      <w:r>
        <w:t xml:space="preserve">Walk-forward example: train 2010–2018, validate 2019–2020, test 2021; then roll forward one year. Never random 80/20 splits.</w:t>
      </w:r>
    </w:p>
    <w:p>
      <w:pPr/>
      <w:r>
        <w:rPr>
          <w:b/>
        </w:rPr>
        <w:t xml:space="preserve">Explicit "do not" list:</w:t>
      </w:r>
      <w:r>
        <w:t xml:space="preserve"> LSTM on closing prices alone; trading whenever predicted price &gt; market; accuracy as the main metric; optimizing Sharpe on one period; 500 unregularized indicators; ignoring bid/ask; one model forever.</w:t>
      </w:r>
    </w:p>
    <w:p>
      <w:pPr/>
      <w:r>
        <w:rPr>
          <w:b/>
        </w:rPr>
        <w:t xml:space="preserve">Learning-capability criteria</w:t>
      </w:r>
      <w:r>
        <w:t xml:space="preserve"> (ranked): nonlinearity, temporal memory, cross-sectional learning, regime adaptation, transfer learning, uncertainty estimation, online adaptation, robustness to missing data, interpretability, retraining speed.</w:t>
      </w:r>
    </w:p>
    <w:p>
      <w:pPr>
        <w:pStyle w:val="Heading2"/>
      </w:pPr>
      <w:r>
        <w:t xml:space="preserve">Discussion 2 — Which model suits which trading horizon</w:t>
      </w:r>
    </w:p>
    <w:p>
      <w:pPr/>
      <w:r>
        <w:t xml:space="preserve">Daily trading was named the largest opportunity: enough observations for ML without the extreme microstructure costs of intraday. Horizons mean the prediction/rebalancing horizon, not a promise of profit.</w:t>
      </w:r>
    </w:p>
    <w:p>
      <w:pPr/>
      <w:r>
        <w:t xml:space="preserve">Star ratings from ChatGPT's final model × horizon matrix (5 = best). Medium term = 1–12 weeks; long term = 3–12+ months.</w:t>
      </w:r>
    </w:p>
    <w:tbl>
      <w:tblPr>
        <w:tblStyle w:val="TableGrid"/>
        <w:tblW w:w="0" w:type="auto"/>
        <w:tblLayout w:type="fixed"/>
        <w:tblLook w:val="04A0" w:firstRow="1" w:lastRow="0" w:firstColumn="0" w:lastColumn="0" w:noHBand="0" w:noVBand="1"/>
      </w:tblPr>
      <w:tblGrid>
        <w:gridCol w:w="1337"/>
        <w:gridCol w:w="2306"/>
        <w:gridCol w:w="1068"/>
        <w:gridCol w:w="790"/>
        <w:gridCol w:w="1081"/>
        <w:gridCol w:w="750"/>
        <w:gridCol w:w="2027"/>
      </w:tblGrid>
      <w:tr>
        <w:trPr>
          <w:tblHeader/>
        </w:trPr>
        <w:tc>
          <w:tcPr>
            <w:tcW w:w="1337" w:type="dxa"/>
            <w:shd w:val="clear" w:color="auto" w:fill="F2F2F2"/>
          </w:tcPr>
          <w:p>
            <w:pPr/>
            <w:r>
              <w:t xml:space="preserve">Model</w:t>
            </w:r>
          </w:p>
        </w:tc>
        <w:tc>
          <w:tcPr>
            <w:tcW w:w="2306" w:type="dxa"/>
            <w:shd w:val="clear" w:color="auto" w:fill="F2F2F2"/>
          </w:tcPr>
          <w:p>
            <w:pPr/>
            <w:r>
              <w:t xml:space="preserve">Why it is good</w:t>
            </w:r>
          </w:p>
        </w:tc>
        <w:tc>
          <w:tcPr>
            <w:tcW w:w="1068" w:type="dxa"/>
            <w:shd w:val="clear" w:color="auto" w:fill="F2F2F2"/>
          </w:tcPr>
          <w:p>
            <w:pPr/>
            <w:r>
              <w:t xml:space="preserve">Intraday</w:t>
            </w:r>
          </w:p>
        </w:tc>
        <w:tc>
          <w:tcPr>
            <w:tcW w:w="790" w:type="dxa"/>
            <w:shd w:val="clear" w:color="auto" w:fill="F2F2F2"/>
          </w:tcPr>
          <w:p>
            <w:pPr/>
            <w:r>
              <w:t xml:space="preserve">Daily</w:t>
            </w:r>
          </w:p>
        </w:tc>
        <w:tc>
          <w:tcPr>
            <w:tcW w:w="1081" w:type="dxa"/>
            <w:shd w:val="clear" w:color="auto" w:fill="F2F2F2"/>
          </w:tcPr>
          <w:p>
            <w:pPr/>
            <w:r>
              <w:t xml:space="preserve">Medium</w:t>
            </w:r>
          </w:p>
        </w:tc>
        <w:tc>
          <w:tcPr>
            <w:tcW w:w="750" w:type="dxa"/>
            <w:shd w:val="clear" w:color="auto" w:fill="F2F2F2"/>
          </w:tcPr>
          <w:p>
            <w:pPr/>
            <w:r>
              <w:t xml:space="preserve">Long</w:t>
            </w:r>
          </w:p>
        </w:tc>
        <w:tc>
          <w:tcPr>
            <w:tcW w:w="2027" w:type="dxa"/>
            <w:shd w:val="clear" w:color="auto" w:fill="F2F2F2"/>
          </w:tcPr>
          <w:p>
            <w:pPr/>
            <w:r>
              <w:t xml:space="preserve">Best role</w:t>
            </w:r>
          </w:p>
        </w:tc>
      </w:tr>
      <w:tr>
        <w:tc>
          <w:tcPr>
            <w:tcW w:w="1337" w:type="dxa"/>
          </w:tcPr>
          <w:p>
            <w:pPr/>
            <w:r>
              <w:t xml:space="preserve">XGBoost</w:t>
            </w:r>
          </w:p>
        </w:tc>
        <w:tc>
          <w:tcPr>
            <w:tcW w:w="2306" w:type="dxa"/>
          </w:tcPr>
          <w:p>
            <w:pPr/>
            <w:r>
              <w:t xml:space="preserve">Nonlinear interactions on tabular data, fast</w:t>
            </w:r>
          </w:p>
        </w:tc>
        <w:tc>
          <w:tcPr>
            <w:tcW w:w="1068" w:type="dxa"/>
          </w:tcPr>
          <w:p>
            <w:pPr/>
            <w:r>
              <w:t xml:space="preserve">5</w:t>
            </w:r>
          </w:p>
        </w:tc>
        <w:tc>
          <w:tcPr>
            <w:tcW w:w="790" w:type="dxa"/>
          </w:tcPr>
          <w:p>
            <w:pPr/>
            <w:r>
              <w:t xml:space="preserve">5</w:t>
            </w:r>
          </w:p>
        </w:tc>
        <w:tc>
          <w:tcPr>
            <w:tcW w:w="1081" w:type="dxa"/>
          </w:tcPr>
          <w:p>
            <w:pPr/>
            <w:r>
              <w:t xml:space="preserve">5</w:t>
            </w:r>
          </w:p>
        </w:tc>
        <w:tc>
          <w:tcPr>
            <w:tcW w:w="750" w:type="dxa"/>
          </w:tcPr>
          <w:p>
            <w:pPr/>
            <w:r>
              <w:t xml:space="preserve">3</w:t>
            </w:r>
          </w:p>
        </w:tc>
        <w:tc>
          <w:tcPr>
            <w:tcW w:w="2027" w:type="dxa"/>
          </w:tcPr>
          <w:p>
            <w:pPr/>
            <w:r>
              <w:t xml:space="preserve">IV/RV, trade selection, mispricing</w:t>
            </w:r>
          </w:p>
        </w:tc>
      </w:tr>
      <w:tr>
        <w:tc>
          <w:tcPr>
            <w:tcW w:w="1337" w:type="dxa"/>
          </w:tcPr>
          <w:p>
            <w:pPr/>
            <w:r>
              <w:t xml:space="preserve">LSTM / Bi-LSTM</w:t>
            </w:r>
          </w:p>
        </w:tc>
        <w:tc>
          <w:tcPr>
            <w:tcW w:w="2306" w:type="dxa"/>
          </w:tcPr>
          <w:p>
            <w:pPr/>
            <w:r>
              <w:t xml:space="preserve">Volatility persistence, sequences</w:t>
            </w:r>
          </w:p>
        </w:tc>
        <w:tc>
          <w:tcPr>
            <w:tcW w:w="1068" w:type="dxa"/>
          </w:tcPr>
          <w:p>
            <w:pPr/>
            <w:r>
              <w:t xml:space="preserve">4.5</w:t>
            </w:r>
          </w:p>
        </w:tc>
        <w:tc>
          <w:tcPr>
            <w:tcW w:w="790" w:type="dxa"/>
          </w:tcPr>
          <w:p>
            <w:pPr/>
            <w:r>
              <w:t xml:space="preserve">5</w:t>
            </w:r>
          </w:p>
        </w:tc>
        <w:tc>
          <w:tcPr>
            <w:tcW w:w="1081" w:type="dxa"/>
          </w:tcPr>
          <w:p>
            <w:pPr/>
            <w:r>
              <w:t xml:space="preserve">5</w:t>
            </w:r>
          </w:p>
        </w:tc>
        <w:tc>
          <w:tcPr>
            <w:tcW w:w="750" w:type="dxa"/>
          </w:tcPr>
          <w:p>
            <w:pPr/>
            <w:r>
              <w:t xml:space="preserve">3</w:t>
            </w:r>
          </w:p>
        </w:tc>
        <w:tc>
          <w:tcPr>
            <w:tcW w:w="2027" w:type="dxa"/>
          </w:tcPr>
          <w:p>
            <w:pPr/>
            <w:r>
              <w:t xml:space="preserve">IV, RV, option-price forecasts</w:t>
            </w:r>
          </w:p>
        </w:tc>
      </w:tr>
      <w:tr>
        <w:tc>
          <w:tcPr>
            <w:tcW w:w="1337" w:type="dxa"/>
          </w:tcPr>
          <w:p>
            <w:pPr/>
            <w:r>
              <w:t xml:space="preserve">LightGBM</w:t>
            </w:r>
          </w:p>
        </w:tc>
        <w:tc>
          <w:tcPr>
            <w:tcW w:w="2306" w:type="dxa"/>
          </w:tcPr>
          <w:p>
            <w:pPr/>
            <w:r>
              <w:t xml:space="preserve">Scales to huge option datasets</w:t>
            </w:r>
          </w:p>
        </w:tc>
        <w:tc>
          <w:tcPr>
            <w:tcW w:w="1068" w:type="dxa"/>
          </w:tcPr>
          <w:p>
            <w:pPr/>
            <w:r>
              <w:t xml:space="preserve">5</w:t>
            </w:r>
          </w:p>
        </w:tc>
        <w:tc>
          <w:tcPr>
            <w:tcW w:w="790" w:type="dxa"/>
          </w:tcPr>
          <w:p>
            <w:pPr/>
            <w:r>
              <w:t xml:space="preserve">5</w:t>
            </w:r>
          </w:p>
        </w:tc>
        <w:tc>
          <w:tcPr>
            <w:tcW w:w="1081" w:type="dxa"/>
          </w:tcPr>
          <w:p>
            <w:pPr/>
            <w:r>
              <w:t xml:space="preserve">4.5</w:t>
            </w:r>
          </w:p>
        </w:tc>
        <w:tc>
          <w:tcPr>
            <w:tcW w:w="750" w:type="dxa"/>
          </w:tcPr>
          <w:p>
            <w:pPr/>
            <w:r>
              <w:t xml:space="preserve">3</w:t>
            </w:r>
          </w:p>
        </w:tc>
        <w:tc>
          <w:tcPr>
            <w:tcW w:w="2027" w:type="dxa"/>
          </w:tcPr>
          <w:p>
            <w:pPr/>
            <w:r>
              <w:t xml:space="preserve">IV surface, cross-sectional ranking</w:t>
            </w:r>
          </w:p>
        </w:tc>
      </w:tr>
      <w:tr>
        <w:tc>
          <w:tcPr>
            <w:tcW w:w="1337" w:type="dxa"/>
          </w:tcPr>
          <w:p>
            <w:pPr/>
            <w:r>
              <w:t xml:space="preserve">Transformer / Autoformer</w:t>
            </w:r>
          </w:p>
        </w:tc>
        <w:tc>
          <w:tcPr>
            <w:tcW w:w="2306" w:type="dxa"/>
          </w:tcPr>
          <w:p>
            <w:pPr/>
            <w:r>
              <w:t xml:space="preserve">Long-range, many features</w:t>
            </w:r>
          </w:p>
        </w:tc>
        <w:tc>
          <w:tcPr>
            <w:tcW w:w="1068" w:type="dxa"/>
          </w:tcPr>
          <w:p>
            <w:pPr/>
            <w:r>
              <w:t xml:space="preserve">3</w:t>
            </w:r>
          </w:p>
        </w:tc>
        <w:tc>
          <w:tcPr>
            <w:tcW w:w="790" w:type="dxa"/>
          </w:tcPr>
          <w:p>
            <w:pPr/>
            <w:r>
              <w:t xml:space="preserve">5</w:t>
            </w:r>
          </w:p>
        </w:tc>
        <w:tc>
          <w:tcPr>
            <w:tcW w:w="1081" w:type="dxa"/>
          </w:tcPr>
          <w:p>
            <w:pPr/>
            <w:r>
              <w:t xml:space="preserve">5</w:t>
            </w:r>
          </w:p>
        </w:tc>
        <w:tc>
          <w:tcPr>
            <w:tcW w:w="750" w:type="dxa"/>
          </w:tcPr>
          <w:p>
            <w:pPr/>
            <w:r>
              <w:t xml:space="preserve">5</w:t>
            </w:r>
          </w:p>
        </w:tc>
        <w:tc>
          <w:tcPr>
            <w:tcW w:w="2027" w:type="dxa"/>
          </w:tcPr>
          <w:p>
            <w:pPr/>
            <w:r>
              <w:t xml:space="preserve">Multivariate forecasting</w:t>
            </w:r>
          </w:p>
        </w:tc>
      </w:tr>
      <w:tr>
        <w:tc>
          <w:tcPr>
            <w:tcW w:w="1337" w:type="dxa"/>
          </w:tcPr>
          <w:p>
            <w:pPr/>
            <w:r>
              <w:t xml:space="preserve">Random Forest</w:t>
            </w:r>
          </w:p>
        </w:tc>
        <w:tc>
          <w:tcPr>
            <w:tcW w:w="2306" w:type="dxa"/>
          </w:tcPr>
          <w:p>
            <w:pPr/>
            <w:r>
              <w:t xml:space="preserve">Robust, low tuning</w:t>
            </w:r>
          </w:p>
        </w:tc>
        <w:tc>
          <w:tcPr>
            <w:tcW w:w="1068" w:type="dxa"/>
          </w:tcPr>
          <w:p>
            <w:pPr/>
            <w:r>
              <w:t xml:space="preserve">4</w:t>
            </w:r>
          </w:p>
        </w:tc>
        <w:tc>
          <w:tcPr>
            <w:tcW w:w="790" w:type="dxa"/>
          </w:tcPr>
          <w:p>
            <w:pPr/>
            <w:r>
              <w:t xml:space="preserve">4.5</w:t>
            </w:r>
          </w:p>
        </w:tc>
        <w:tc>
          <w:tcPr>
            <w:tcW w:w="1081" w:type="dxa"/>
          </w:tcPr>
          <w:p>
            <w:pPr/>
            <w:r>
              <w:t xml:space="preserve">4</w:t>
            </w:r>
          </w:p>
        </w:tc>
        <w:tc>
          <w:tcPr>
            <w:tcW w:w="750" w:type="dxa"/>
          </w:tcPr>
          <w:p>
            <w:pPr/>
            <w:r>
              <w:t xml:space="preserve">3</w:t>
            </w:r>
          </w:p>
        </w:tc>
        <w:tc>
          <w:tcPr>
            <w:tcW w:w="2027" w:type="dxa"/>
          </w:tcPr>
          <w:p>
            <w:pPr/>
            <w:r>
              <w:t xml:space="preserve">Classification, regime, filtering</w:t>
            </w:r>
          </w:p>
        </w:tc>
      </w:tr>
      <w:tr>
        <w:tc>
          <w:tcPr>
            <w:tcW w:w="1337" w:type="dxa"/>
          </w:tcPr>
          <w:p>
            <w:pPr/>
            <w:r>
              <w:t xml:space="preserve">TFT</w:t>
            </w:r>
          </w:p>
        </w:tc>
        <w:tc>
          <w:tcPr>
            <w:tcW w:w="2306" w:type="dxa"/>
          </w:tcPr>
          <w:p>
            <w:pPr/>
            <w:r>
              <w:t xml:space="preserve">Several horizons at once</w:t>
            </w:r>
          </w:p>
        </w:tc>
        <w:tc>
          <w:tcPr>
            <w:tcW w:w="1068" w:type="dxa"/>
          </w:tcPr>
          <w:p>
            <w:pPr/>
            <w:r>
              <w:t xml:space="preserve">3</w:t>
            </w:r>
          </w:p>
        </w:tc>
        <w:tc>
          <w:tcPr>
            <w:tcW w:w="790" w:type="dxa"/>
          </w:tcPr>
          <w:p>
            <w:pPr/>
            <w:r>
              <w:t xml:space="preserve">5</w:t>
            </w:r>
          </w:p>
        </w:tc>
        <w:tc>
          <w:tcPr>
            <w:tcW w:w="1081" w:type="dxa"/>
          </w:tcPr>
          <w:p>
            <w:pPr/>
            <w:r>
              <w:t xml:space="preserve">5</w:t>
            </w:r>
          </w:p>
        </w:tc>
        <w:tc>
          <w:tcPr>
            <w:tcW w:w="750" w:type="dxa"/>
          </w:tcPr>
          <w:p>
            <w:pPr/>
            <w:r>
              <w:t xml:space="preserve">5</w:t>
            </w:r>
          </w:p>
        </w:tc>
        <w:tc>
          <w:tcPr>
            <w:tcW w:w="2027" w:type="dxa"/>
          </w:tcPr>
          <w:p>
            <w:pPr/>
            <w:r>
              <w:t xml:space="preserve">Multi-horizon IV/RV</w:t>
            </w:r>
          </w:p>
        </w:tc>
      </w:tr>
      <w:tr>
        <w:tc>
          <w:tcPr>
            <w:tcW w:w="1337" w:type="dxa"/>
          </w:tcPr>
          <w:p>
            <w:pPr/>
            <w:r>
              <w:t xml:space="preserve">GRU</w:t>
            </w:r>
          </w:p>
        </w:tc>
        <w:tc>
          <w:tcPr>
            <w:tcW w:w="2306" w:type="dxa"/>
          </w:tcPr>
          <w:p>
            <w:pPr/>
            <w:r>
              <w:t xml:space="preserve">Lighter LSTM</w:t>
            </w:r>
          </w:p>
        </w:tc>
        <w:tc>
          <w:tcPr>
            <w:tcW w:w="1068" w:type="dxa"/>
          </w:tcPr>
          <w:p>
            <w:pPr/>
            <w:r>
              <w:t xml:space="preserve">4.5</w:t>
            </w:r>
          </w:p>
        </w:tc>
        <w:tc>
          <w:tcPr>
            <w:tcW w:w="790" w:type="dxa"/>
          </w:tcPr>
          <w:p>
            <w:pPr/>
            <w:r>
              <w:t xml:space="preserve">5</w:t>
            </w:r>
          </w:p>
        </w:tc>
        <w:tc>
          <w:tcPr>
            <w:tcW w:w="1081" w:type="dxa"/>
          </w:tcPr>
          <w:p>
            <w:pPr/>
            <w:r>
              <w:t xml:space="preserve">4.5</w:t>
            </w:r>
          </w:p>
        </w:tc>
        <w:tc>
          <w:tcPr>
            <w:tcW w:w="750" w:type="dxa"/>
          </w:tcPr>
          <w:p>
            <w:pPr/>
            <w:r>
              <w:t xml:space="preserve">3</w:t>
            </w:r>
          </w:p>
        </w:tc>
        <w:tc>
          <w:tcPr>
            <w:tcW w:w="2027" w:type="dxa"/>
          </w:tcPr>
          <w:p>
            <w:pPr/>
            <w:r>
              <w:t xml:space="preserve">Hedging, IV/RV</w:t>
            </w:r>
          </w:p>
        </w:tc>
      </w:tr>
      <w:tr>
        <w:tc>
          <w:tcPr>
            <w:tcW w:w="1337" w:type="dxa"/>
          </w:tcPr>
          <w:p>
            <w:pPr/>
            <w:r>
              <w:t xml:space="preserve">MLP</w:t>
            </w:r>
          </w:p>
        </w:tc>
        <w:tc>
          <w:tcPr>
            <w:tcW w:w="2306" w:type="dxa"/>
          </w:tcPr>
          <w:p>
            <w:pPr/>
            <w:r>
              <w:t xml:space="preserve">Simple, strong with engineered features</w:t>
            </w:r>
          </w:p>
        </w:tc>
        <w:tc>
          <w:tcPr>
            <w:tcW w:w="1068" w:type="dxa"/>
          </w:tcPr>
          <w:p>
            <w:pPr/>
            <w:r>
              <w:t xml:space="preserve">4</w:t>
            </w:r>
          </w:p>
        </w:tc>
        <w:tc>
          <w:tcPr>
            <w:tcW w:w="790" w:type="dxa"/>
          </w:tcPr>
          <w:p>
            <w:pPr/>
            <w:r>
              <w:t xml:space="preserve">4.5</w:t>
            </w:r>
          </w:p>
        </w:tc>
        <w:tc>
          <w:tcPr>
            <w:tcW w:w="1081" w:type="dxa"/>
          </w:tcPr>
          <w:p>
            <w:pPr/>
            <w:r>
              <w:t xml:space="preserve">4.5</w:t>
            </w:r>
          </w:p>
        </w:tc>
        <w:tc>
          <w:tcPr>
            <w:tcW w:w="750" w:type="dxa"/>
          </w:tcPr>
          <w:p>
            <w:pPr/>
            <w:r>
              <w:t xml:space="preserve">4</w:t>
            </w:r>
          </w:p>
        </w:tc>
        <w:tc>
          <w:tcPr>
            <w:tcW w:w="2027" w:type="dxa"/>
          </w:tcPr>
          <w:p>
            <w:pPr/>
            <w:r>
              <w:t xml:space="preserve">Cross-sectional pricing</w:t>
            </w:r>
          </w:p>
        </w:tc>
      </w:tr>
      <w:tr>
        <w:tc>
          <w:tcPr>
            <w:tcW w:w="1337" w:type="dxa"/>
          </w:tcPr>
          <w:p>
            <w:pPr/>
            <w:r>
              <w:t xml:space="preserve">GNN</w:t>
            </w:r>
          </w:p>
        </w:tc>
        <w:tc>
          <w:tcPr>
            <w:tcW w:w="2306" w:type="dxa"/>
          </w:tcPr>
          <w:p>
            <w:pPr/>
            <w:r>
              <w:t xml:space="preserve">Links across strikes and maturities</w:t>
            </w:r>
          </w:p>
        </w:tc>
        <w:tc>
          <w:tcPr>
            <w:tcW w:w="1068" w:type="dxa"/>
          </w:tcPr>
          <w:p>
            <w:pPr/>
            <w:r>
              <w:t xml:space="preserve">3</w:t>
            </w:r>
          </w:p>
        </w:tc>
        <w:tc>
          <w:tcPr>
            <w:tcW w:w="790" w:type="dxa"/>
          </w:tcPr>
          <w:p>
            <w:pPr/>
            <w:r>
              <w:t xml:space="preserve">4.5</w:t>
            </w:r>
          </w:p>
        </w:tc>
        <w:tc>
          <w:tcPr>
            <w:tcW w:w="1081" w:type="dxa"/>
          </w:tcPr>
          <w:p>
            <w:pPr/>
            <w:r>
              <w:t xml:space="preserve">5</w:t>
            </w:r>
          </w:p>
        </w:tc>
        <w:tc>
          <w:tcPr>
            <w:tcW w:w="750" w:type="dxa"/>
          </w:tcPr>
          <w:p>
            <w:pPr/>
            <w:r>
              <w:t xml:space="preserve">5</w:t>
            </w:r>
          </w:p>
        </w:tc>
        <w:tc>
          <w:tcPr>
            <w:tcW w:w="2027" w:type="dxa"/>
          </w:tcPr>
          <w:p>
            <w:pPr/>
            <w:r>
              <w:t xml:space="preserve">Option chain / surface</w:t>
            </w:r>
          </w:p>
        </w:tc>
      </w:tr>
      <w:tr>
        <w:tc>
          <w:tcPr>
            <w:tcW w:w="1337" w:type="dxa"/>
          </w:tcPr>
          <w:p>
            <w:pPr/>
            <w:r>
              <w:t xml:space="preserve">CNN</w:t>
            </w:r>
          </w:p>
        </w:tc>
        <w:tc>
          <w:tcPr>
            <w:tcW w:w="2306" w:type="dxa"/>
          </w:tcPr>
          <w:p>
            <w:pPr/>
            <w:r>
              <w:t xml:space="preserve">IV surface as an image</w:t>
            </w:r>
          </w:p>
        </w:tc>
        <w:tc>
          <w:tcPr>
            <w:tcW w:w="1068" w:type="dxa"/>
          </w:tcPr>
          <w:p>
            <w:pPr/>
            <w:r>
              <w:t xml:space="preserve">4</w:t>
            </w:r>
          </w:p>
        </w:tc>
        <w:tc>
          <w:tcPr>
            <w:tcW w:w="790" w:type="dxa"/>
          </w:tcPr>
          <w:p>
            <w:pPr/>
            <w:r>
              <w:t xml:space="preserve">4.5</w:t>
            </w:r>
          </w:p>
        </w:tc>
        <w:tc>
          <w:tcPr>
            <w:tcW w:w="1081" w:type="dxa"/>
          </w:tcPr>
          <w:p>
            <w:pPr/>
            <w:r>
              <w:t xml:space="preserve">4</w:t>
            </w:r>
          </w:p>
        </w:tc>
        <w:tc>
          <w:tcPr>
            <w:tcW w:w="750" w:type="dxa"/>
          </w:tcPr>
          <w:p>
            <w:pPr/>
            <w:r>
              <w:t xml:space="preserve">3</w:t>
            </w:r>
          </w:p>
        </w:tc>
        <w:tc>
          <w:tcPr>
            <w:tcW w:w="2027" w:type="dxa"/>
          </w:tcPr>
          <w:p>
            <w:pPr/>
            <w:r>
              <w:t xml:space="preserve">Smile, skew, term structure</w:t>
            </w:r>
          </w:p>
        </w:tc>
      </w:tr>
      <w:tr>
        <w:tc>
          <w:tcPr>
            <w:tcW w:w="1337" w:type="dxa"/>
          </w:tcPr>
          <w:p>
            <w:pPr/>
            <w:r>
              <w:t xml:space="preserve">PPO</w:t>
            </w:r>
          </w:p>
        </w:tc>
        <w:tc>
          <w:tcPr>
            <w:tcW w:w="2306" w:type="dxa"/>
          </w:tcPr>
          <w:p>
            <w:pPr/>
            <w:r>
              <w:t xml:space="preserve">Learns decisions, not forecasts</w:t>
            </w:r>
          </w:p>
        </w:tc>
        <w:tc>
          <w:tcPr>
            <w:tcW w:w="1068" w:type="dxa"/>
          </w:tcPr>
          <w:p>
            <w:pPr/>
            <w:r>
              <w:t xml:space="preserve">4</w:t>
            </w:r>
          </w:p>
        </w:tc>
        <w:tc>
          <w:tcPr>
            <w:tcW w:w="790" w:type="dxa"/>
          </w:tcPr>
          <w:p>
            <w:pPr/>
            <w:r>
              <w:t xml:space="preserve">4.5</w:t>
            </w:r>
          </w:p>
        </w:tc>
        <w:tc>
          <w:tcPr>
            <w:tcW w:w="1081" w:type="dxa"/>
          </w:tcPr>
          <w:p>
            <w:pPr/>
            <w:r>
              <w:t xml:space="preserve">4</w:t>
            </w:r>
          </w:p>
        </w:tc>
        <w:tc>
          <w:tcPr>
            <w:tcW w:w="750" w:type="dxa"/>
          </w:tcPr>
          <w:p>
            <w:pPr/>
            <w:r>
              <w:t xml:space="preserve">3</w:t>
            </w:r>
          </w:p>
        </w:tc>
        <w:tc>
          <w:tcPr>
            <w:tcW w:w="2027" w:type="dxa"/>
          </w:tcPr>
          <w:p>
            <w:pPr/>
            <w:r>
              <w:t xml:space="preserve">Sizing, hedging, execution</w:t>
            </w:r>
          </w:p>
        </w:tc>
      </w:tr>
      <w:tr>
        <w:tc>
          <w:tcPr>
            <w:tcW w:w="1337" w:type="dxa"/>
          </w:tcPr>
          <w:p>
            <w:pPr/>
            <w:r>
              <w:t xml:space="preserve">DDPG / TD3</w:t>
            </w:r>
          </w:p>
        </w:tc>
        <w:tc>
          <w:tcPr>
            <w:tcW w:w="2306" w:type="dxa"/>
          </w:tcPr>
          <w:p>
            <w:pPr/>
            <w:r>
              <w:t xml:space="preserve">Continuous actions</w:t>
            </w:r>
          </w:p>
        </w:tc>
        <w:tc>
          <w:tcPr>
            <w:tcW w:w="1068" w:type="dxa"/>
          </w:tcPr>
          <w:p>
            <w:pPr/>
            <w:r>
              <w:t xml:space="preserve">4</w:t>
            </w:r>
          </w:p>
        </w:tc>
        <w:tc>
          <w:tcPr>
            <w:tcW w:w="790" w:type="dxa"/>
          </w:tcPr>
          <w:p>
            <w:pPr/>
            <w:r>
              <w:t xml:space="preserve">4.5</w:t>
            </w:r>
          </w:p>
        </w:tc>
        <w:tc>
          <w:tcPr>
            <w:tcW w:w="1081" w:type="dxa"/>
          </w:tcPr>
          <w:p>
            <w:pPr/>
            <w:r>
              <w:t xml:space="preserve">4</w:t>
            </w:r>
          </w:p>
        </w:tc>
        <w:tc>
          <w:tcPr>
            <w:tcW w:w="750" w:type="dxa"/>
          </w:tcPr>
          <w:p>
            <w:pPr/>
            <w:r>
              <w:t xml:space="preserve">3</w:t>
            </w:r>
          </w:p>
        </w:tc>
        <w:tc>
          <w:tcPr>
            <w:tcW w:w="2027" w:type="dxa"/>
          </w:tcPr>
          <w:p>
            <w:pPr/>
            <w:r>
              <w:t xml:space="preserve">Dynamic hedging</w:t>
            </w:r>
          </w:p>
        </w:tc>
      </w:tr>
      <w:tr>
        <w:tc>
          <w:tcPr>
            <w:tcW w:w="1337" w:type="dxa"/>
          </w:tcPr>
          <w:p>
            <w:pPr/>
            <w:r>
              <w:t xml:space="preserve">Neural SDE</w:t>
            </w:r>
          </w:p>
        </w:tc>
        <w:tc>
          <w:tcPr>
            <w:tcW w:w="2306" w:type="dxa"/>
          </w:tcPr>
          <w:p>
            <w:pPr/>
            <w:r>
              <w:t xml:space="preserve">Learns the price process</w:t>
            </w:r>
          </w:p>
        </w:tc>
        <w:tc>
          <w:tcPr>
            <w:tcW w:w="1068" w:type="dxa"/>
          </w:tcPr>
          <w:p>
            <w:pPr/>
            <w:r>
              <w:t xml:space="preserve">2</w:t>
            </w:r>
          </w:p>
        </w:tc>
        <w:tc>
          <w:tcPr>
            <w:tcW w:w="790" w:type="dxa"/>
          </w:tcPr>
          <w:p>
            <w:pPr/>
            <w:r>
              <w:t xml:space="preserve">3</w:t>
            </w:r>
          </w:p>
        </w:tc>
        <w:tc>
          <w:tcPr>
            <w:tcW w:w="1081" w:type="dxa"/>
          </w:tcPr>
          <w:p>
            <w:pPr/>
            <w:r>
              <w:t xml:space="preserve">4</w:t>
            </w:r>
          </w:p>
        </w:tc>
        <w:tc>
          <w:tcPr>
            <w:tcW w:w="750" w:type="dxa"/>
          </w:tcPr>
          <w:p>
            <w:pPr/>
            <w:r>
              <w:t xml:space="preserve">5</w:t>
            </w:r>
          </w:p>
        </w:tc>
        <w:tc>
          <w:tcPr>
            <w:tcW w:w="2027" w:type="dxa"/>
          </w:tcPr>
          <w:p>
            <w:pPr/>
            <w:r>
              <w:t xml:space="preserve">Pricing, simulation</w:t>
            </w:r>
          </w:p>
        </w:tc>
      </w:tr>
      <w:tr>
        <w:tc>
          <w:tcPr>
            <w:tcW w:w="1337" w:type="dxa"/>
          </w:tcPr>
          <w:p>
            <w:pPr/>
            <w:r>
              <w:t xml:space="preserve">VAE</w:t>
            </w:r>
          </w:p>
        </w:tc>
        <w:tc>
          <w:tcPr>
            <w:tcW w:w="2306" w:type="dxa"/>
          </w:tcPr>
          <w:p>
            <w:pPr/>
            <w:r>
              <w:t xml:space="preserve">Latent factors, distributions</w:t>
            </w:r>
          </w:p>
        </w:tc>
        <w:tc>
          <w:tcPr>
            <w:tcW w:w="1068" w:type="dxa"/>
          </w:tcPr>
          <w:p>
            <w:pPr/>
            <w:r>
              <w:t xml:space="preserve">3</w:t>
            </w:r>
          </w:p>
        </w:tc>
        <w:tc>
          <w:tcPr>
            <w:tcW w:w="790" w:type="dxa"/>
          </w:tcPr>
          <w:p>
            <w:pPr/>
            <w:r>
              <w:t xml:space="preserve">4</w:t>
            </w:r>
          </w:p>
        </w:tc>
        <w:tc>
          <w:tcPr>
            <w:tcW w:w="1081" w:type="dxa"/>
          </w:tcPr>
          <w:p>
            <w:pPr/>
            <w:r>
              <w:t xml:space="preserve">5</w:t>
            </w:r>
          </w:p>
        </w:tc>
        <w:tc>
          <w:tcPr>
            <w:tcW w:w="750" w:type="dxa"/>
          </w:tcPr>
          <w:p>
            <w:pPr/>
            <w:r>
              <w:t xml:space="preserve">5</w:t>
            </w:r>
          </w:p>
        </w:tc>
        <w:tc>
          <w:tcPr>
            <w:tcW w:w="2027" w:type="dxa"/>
          </w:tcPr>
          <w:p>
            <w:pPr/>
            <w:r>
              <w:t xml:space="preserve">Surface compression</w:t>
            </w:r>
          </w:p>
        </w:tc>
      </w:tr>
      <w:tr>
        <w:tc>
          <w:tcPr>
            <w:tcW w:w="1337" w:type="dxa"/>
          </w:tcPr>
          <w:p>
            <w:pPr/>
            <w:r>
              <w:t xml:space="preserve">Gaussian Process / DKL</w:t>
            </w:r>
          </w:p>
        </w:tc>
        <w:tc>
          <w:tcPr>
            <w:tcW w:w="2306" w:type="dxa"/>
          </w:tcPr>
          <w:p>
            <w:pPr/>
            <w:r>
              <w:t xml:space="preserve">Uncertainty estimates</w:t>
            </w:r>
          </w:p>
        </w:tc>
        <w:tc>
          <w:tcPr>
            <w:tcW w:w="1068" w:type="dxa"/>
          </w:tcPr>
          <w:p>
            <w:pPr/>
            <w:r>
              <w:t xml:space="preserve">2</w:t>
            </w:r>
          </w:p>
        </w:tc>
        <w:tc>
          <w:tcPr>
            <w:tcW w:w="790" w:type="dxa"/>
          </w:tcPr>
          <w:p>
            <w:pPr/>
            <w:r>
              <w:t xml:space="preserve">4</w:t>
            </w:r>
          </w:p>
        </w:tc>
        <w:tc>
          <w:tcPr>
            <w:tcW w:w="1081" w:type="dxa"/>
          </w:tcPr>
          <w:p>
            <w:pPr/>
            <w:r>
              <w:t xml:space="preserve">4.5</w:t>
            </w:r>
          </w:p>
        </w:tc>
        <w:tc>
          <w:tcPr>
            <w:tcW w:w="750" w:type="dxa"/>
          </w:tcPr>
          <w:p>
            <w:pPr/>
            <w:r>
              <w:t xml:space="preserve">4.5</w:t>
            </w:r>
          </w:p>
        </w:tc>
        <w:tc>
          <w:tcPr>
            <w:tcW w:w="2027" w:type="dxa"/>
          </w:tcPr>
          <w:p>
            <w:pPr/>
            <w:r>
              <w:t xml:space="preserve">Pricing + confidence</w:t>
            </w:r>
          </w:p>
        </w:tc>
      </w:tr>
      <w:tr>
        <w:tc>
          <w:tcPr>
            <w:tcW w:w="1337" w:type="dxa"/>
          </w:tcPr>
          <w:p>
            <w:pPr/>
            <w:r>
              <w:t xml:space="preserve">N-BEATS</w:t>
            </w:r>
          </w:p>
        </w:tc>
        <w:tc>
          <w:tcPr>
            <w:tcW w:w="2306" w:type="dxa"/>
          </w:tcPr>
          <w:p>
            <w:pPr/>
            <w:r>
              <w:t xml:space="preserve">Dedicated time-series model</w:t>
            </w:r>
          </w:p>
        </w:tc>
        <w:tc>
          <w:tcPr>
            <w:tcW w:w="1068" w:type="dxa"/>
          </w:tcPr>
          <w:p>
            <w:pPr/>
            <w:r>
              <w:t xml:space="preserve">3</w:t>
            </w:r>
          </w:p>
        </w:tc>
        <w:tc>
          <w:tcPr>
            <w:tcW w:w="790" w:type="dxa"/>
          </w:tcPr>
          <w:p>
            <w:pPr/>
            <w:r>
              <w:t xml:space="preserve">4</w:t>
            </w:r>
          </w:p>
        </w:tc>
        <w:tc>
          <w:tcPr>
            <w:tcW w:w="1081" w:type="dxa"/>
          </w:tcPr>
          <w:p>
            <w:pPr/>
            <w:r>
              <w:t xml:space="preserve">4.5</w:t>
            </w:r>
          </w:p>
        </w:tc>
        <w:tc>
          <w:tcPr>
            <w:tcW w:w="750" w:type="dxa"/>
          </w:tcPr>
          <w:p>
            <w:pPr/>
            <w:r>
              <w:t xml:space="preserve">4</w:t>
            </w:r>
          </w:p>
        </w:tc>
        <w:tc>
          <w:tcPr>
            <w:tcW w:w="2027" w:type="dxa"/>
          </w:tcPr>
          <w:p>
            <w:pPr/>
            <w:r>
              <w:t xml:space="preserve">Volatility / returns</w:t>
            </w:r>
          </w:p>
        </w:tc>
      </w:tr>
      <w:tr>
        <w:tc>
          <w:tcPr>
            <w:tcW w:w="1337" w:type="dxa"/>
          </w:tcPr>
          <w:p>
            <w:pPr/>
            <w:r>
              <w:t xml:space="preserve">Elastic Net</w:t>
            </w:r>
          </w:p>
        </w:tc>
        <w:tc>
          <w:tcPr>
            <w:tcW w:w="2306" w:type="dxa"/>
          </w:tcPr>
          <w:p>
            <w:pPr/>
            <w:r>
              <w:t xml:space="preserve">Interpretable benchmark</w:t>
            </w:r>
          </w:p>
        </w:tc>
        <w:tc>
          <w:tcPr>
            <w:tcW w:w="1068" w:type="dxa"/>
          </w:tcPr>
          <w:p>
            <w:pPr/>
            <w:r>
              <w:t xml:space="preserve">5</w:t>
            </w:r>
          </w:p>
        </w:tc>
        <w:tc>
          <w:tcPr>
            <w:tcW w:w="790" w:type="dxa"/>
          </w:tcPr>
          <w:p>
            <w:pPr/>
            <w:r>
              <w:t xml:space="preserve">5</w:t>
            </w:r>
          </w:p>
        </w:tc>
        <w:tc>
          <w:tcPr>
            <w:tcW w:w="1081" w:type="dxa"/>
          </w:tcPr>
          <w:p>
            <w:pPr/>
            <w:r>
              <w:t xml:space="preserve">4</w:t>
            </w:r>
          </w:p>
        </w:tc>
        <w:tc>
          <w:tcPr>
            <w:tcW w:w="750" w:type="dxa"/>
          </w:tcPr>
          <w:p>
            <w:pPr/>
            <w:r>
              <w:t xml:space="preserve">4</w:t>
            </w:r>
          </w:p>
        </w:tc>
        <w:tc>
          <w:tcPr>
            <w:tcW w:w="2027" w:type="dxa"/>
          </w:tcPr>
          <w:p>
            <w:pPr/>
            <w:r>
              <w:t xml:space="preserve">Baseline, feature selection</w:t>
            </w:r>
          </w:p>
        </w:tc>
      </w:tr>
      <w:tr>
        <w:tc>
          <w:tcPr>
            <w:tcW w:w="1337" w:type="dxa"/>
          </w:tcPr>
          <w:p>
            <w:pPr/>
            <w:r>
              <w:t xml:space="preserve">SVR</w:t>
            </w:r>
          </w:p>
        </w:tc>
        <w:tc>
          <w:tcPr>
            <w:tcW w:w="2306" w:type="dxa"/>
          </w:tcPr>
          <w:p>
            <w:pPr/>
            <w:r>
              <w:t xml:space="preserve">Small/medium nonlinear data</w:t>
            </w:r>
          </w:p>
        </w:tc>
        <w:tc>
          <w:tcPr>
            <w:tcW w:w="1068" w:type="dxa"/>
          </w:tcPr>
          <w:p>
            <w:pPr/>
            <w:r>
              <w:t xml:space="preserve">3</w:t>
            </w:r>
          </w:p>
        </w:tc>
        <w:tc>
          <w:tcPr>
            <w:tcW w:w="790" w:type="dxa"/>
          </w:tcPr>
          <w:p>
            <w:pPr/>
            <w:r>
              <w:t xml:space="preserve">4</w:t>
            </w:r>
          </w:p>
        </w:tc>
        <w:tc>
          <w:tcPr>
            <w:tcW w:w="1081" w:type="dxa"/>
          </w:tcPr>
          <w:p>
            <w:pPr/>
            <w:r>
              <w:t xml:space="preserve">4</w:t>
            </w:r>
          </w:p>
        </w:tc>
        <w:tc>
          <w:tcPr>
            <w:tcW w:w="750" w:type="dxa"/>
          </w:tcPr>
          <w:p>
            <w:pPr/>
            <w:r>
              <w:t xml:space="preserve">3</w:t>
            </w:r>
          </w:p>
        </w:tc>
        <w:tc>
          <w:tcPr>
            <w:tcW w:w="2027" w:type="dxa"/>
          </w:tcPr>
          <w:p>
            <w:pPr/>
            <w:r>
              <w:t xml:space="preserve">Pricing / IV</w:t>
            </w:r>
          </w:p>
        </w:tc>
      </w:tr>
      <w:tr>
        <w:tc>
          <w:tcPr>
            <w:tcW w:w="1337" w:type="dxa"/>
          </w:tcPr>
          <w:p>
            <w:pPr/>
            <w:r>
              <w:t xml:space="preserve">CatBoost</w:t>
            </w:r>
          </w:p>
        </w:tc>
        <w:tc>
          <w:tcPr>
            <w:tcW w:w="2306" w:type="dxa"/>
          </w:tcPr>
          <w:p>
            <w:pPr/>
            <w:r>
              <w:t xml:space="preserve">Categorical features</w:t>
            </w:r>
          </w:p>
        </w:tc>
        <w:tc>
          <w:tcPr>
            <w:tcW w:w="1068" w:type="dxa"/>
          </w:tcPr>
          <w:p>
            <w:pPr/>
            <w:r>
              <w:t xml:space="preserve">5</w:t>
            </w:r>
          </w:p>
        </w:tc>
        <w:tc>
          <w:tcPr>
            <w:tcW w:w="790" w:type="dxa"/>
          </w:tcPr>
          <w:p>
            <w:pPr/>
            <w:r>
              <w:t xml:space="preserve">5</w:t>
            </w:r>
          </w:p>
        </w:tc>
        <w:tc>
          <w:tcPr>
            <w:tcW w:w="1081" w:type="dxa"/>
          </w:tcPr>
          <w:p>
            <w:pPr/>
            <w:r>
              <w:t xml:space="preserve">4</w:t>
            </w:r>
          </w:p>
        </w:tc>
        <w:tc>
          <w:tcPr>
            <w:tcW w:w="750" w:type="dxa"/>
          </w:tcPr>
          <w:p>
            <w:pPr/>
            <w:r>
              <w:t xml:space="preserve">3</w:t>
            </w:r>
          </w:p>
        </w:tc>
        <w:tc>
          <w:tcPr>
            <w:tcW w:w="2027" w:type="dxa"/>
          </w:tcPr>
          <w:p>
            <w:pPr/>
            <w:r>
              <w:t xml:space="preserve">Cross-sectional prediction</w:t>
            </w:r>
          </w:p>
        </w:tc>
      </w:tr>
      <w:tr>
        <w:tc>
          <w:tcPr>
            <w:tcW w:w="1337" w:type="dxa"/>
          </w:tcPr>
          <w:p>
            <w:pPr/>
            <w:r>
              <w:t xml:space="preserve">Ensemble / stacking</w:t>
            </w:r>
          </w:p>
        </w:tc>
        <w:tc>
          <w:tcPr>
            <w:tcW w:w="2306" w:type="dxa"/>
          </w:tcPr>
          <w:p>
            <w:pPr/>
            <w:r>
              <w:t xml:space="preserve">Offsets individual weaknesses</w:t>
            </w:r>
          </w:p>
        </w:tc>
        <w:tc>
          <w:tcPr>
            <w:tcW w:w="1068" w:type="dxa"/>
          </w:tcPr>
          <w:p>
            <w:pPr/>
            <w:r>
              <w:t xml:space="preserve">5</w:t>
            </w:r>
          </w:p>
        </w:tc>
        <w:tc>
          <w:tcPr>
            <w:tcW w:w="790" w:type="dxa"/>
          </w:tcPr>
          <w:p>
            <w:pPr/>
            <w:r>
              <w:t xml:space="preserve">5</w:t>
            </w:r>
          </w:p>
        </w:tc>
        <w:tc>
          <w:tcPr>
            <w:tcW w:w="1081" w:type="dxa"/>
          </w:tcPr>
          <w:p>
            <w:pPr/>
            <w:r>
              <w:t xml:space="preserve">5</w:t>
            </w:r>
          </w:p>
        </w:tc>
        <w:tc>
          <w:tcPr>
            <w:tcW w:w="750" w:type="dxa"/>
          </w:tcPr>
          <w:p>
            <w:pPr/>
            <w:r>
              <w:t xml:space="preserve">5</w:t>
            </w:r>
          </w:p>
        </w:tc>
        <w:tc>
          <w:tcPr>
            <w:tcW w:w="2027" w:type="dxa"/>
          </w:tcPr>
          <w:p>
            <w:pPr/>
            <w:r>
              <w:t xml:space="preserve">Final trade-ranking layer</w:t>
            </w:r>
          </w:p>
        </w:tc>
      </w:tr>
    </w:tbl>
    <w:p>
      <w:pPr/>
      <w:r>
        <w:rPr>
          <w:b/>
        </w:rPr>
        <w:t xml:space="preserve">Horizon short-lists</w:t>
      </w:r>
    </w:p>
    <w:p>
      <w:pPr>
        <w:pStyle w:val="ListParagraph"/>
        <w:numPr>
          <w:ilvl w:val="0"/>
          <w:numId w:val="4"/>
        </w:numPr>
      </w:pPr>
      <w:r>
        <w:rPr>
          <w:b/>
        </w:rPr>
        <w:t xml:space="preserve">Intraday:</w:t>
      </w:r>
      <w:r>
        <w:t xml:space="preserve"> XGBoost, LightGBM, LSTM, GRU, RL — speed matters; a Transformer may predict better yet lose money on turnover.</w:t>
      </w:r>
    </w:p>
    <w:p>
      <w:pPr>
        <w:pStyle w:val="ListParagraph"/>
        <w:numPr>
          <w:ilvl w:val="0"/>
          <w:numId w:val="4"/>
        </w:numPr>
      </w:pPr>
      <w:r>
        <w:rPr>
          <w:b/>
        </w:rPr>
        <w:t xml:space="preserve">Daily:</w:t>
      </w:r>
      <w:r>
        <w:t xml:space="preserve"> XGBoost, LSTM, LightGBM, Transformer, GNN.</w:t>
      </w:r>
    </w:p>
    <w:p>
      <w:pPr>
        <w:pStyle w:val="ListParagraph"/>
        <w:numPr>
          <w:ilvl w:val="0"/>
          <w:numId w:val="4"/>
        </w:numPr>
      </w:pPr>
      <w:r>
        <w:rPr>
          <w:b/>
        </w:rPr>
        <w:t xml:space="preserve">Medium term:</w:t>
      </w:r>
      <w:r>
        <w:t xml:space="preserve"> LSTM, Transformer, TFT, GNN, XGBoost — time to exploit IV/RV divergence, regimes, term structure, earnings.</w:t>
      </w:r>
    </w:p>
    <w:p>
      <w:pPr>
        <w:pStyle w:val="ListParagraph"/>
        <w:numPr>
          <w:ilvl w:val="0"/>
          <w:numId w:val="4"/>
        </w:numPr>
      </w:pPr>
      <w:r>
        <w:rPr>
          <w:b/>
        </w:rPr>
        <w:t xml:space="preserve">Long term:</w:t>
      </w:r>
      <w:r>
        <w:t xml:space="preserve"> Transformer, TFT, GNN, VAE, Neural SDE, simpler regularized models — few independent observations, so big deep models can underperform.</w:t>
      </w:r>
    </w:p>
    <w:p>
      <w:pPr/>
      <w:r>
        <w:rPr>
          <w:b/>
        </w:rPr>
        <w:t xml:space="preserve">Corrected reading of the ranking:</w:t>
      </w:r>
      <w:r>
        <w:t xml:space="preserve"> XGBoost wins general-purpose; LSTM wins sequential volatility; Transformers win large multi-source data; GNN wins option-chain structure; RL wins hedging decisions; Elastic Net is the benchmark.</w:t>
      </w:r>
    </w:p>
    <w:p>
      <w:pPr/>
      <w:r>
        <w:rPr>
          <w:b/>
        </w:rPr>
        <w:t xml:space="preserve">Decision:</w:t>
      </w:r>
      <w:r>
        <w:t xml:space="preserve"> narrow the experiment to six core families — XGBoost, LSTM, Transformer/TFT, GNN, PPO/deep hedging, Elastic Net — and keep the other 14 as secondary benchmarks. Separate the prediction layer from the decision layer.</w:t>
      </w:r>
    </w:p>
    <w:p>
      <w:pPr>
        <w:pStyle w:val="Heading2"/>
      </w:pPr>
      <w:r>
        <w:t xml:space="preserve">Discussion 3 — Five frameworks, their goals and rationale</w:t>
      </w:r>
    </w:p>
    <w:p>
      <w:pPr/>
      <w:r>
        <w:t xml:space="preserve">The Adaptive ML Volatility + Relative-Value framework ranked #1, but the final recommendation was to combine frameworks 1–3 and use 4 and 5 as institutional benchmarks. Frameworks 4 and 5 are public institutional archetypes, not proprietary bank systems.</w:t>
      </w:r>
    </w:p>
    <w:tbl>
      <w:tblPr>
        <w:tblStyle w:val="TableGrid"/>
        <w:tblW w:w="0" w:type="auto"/>
        <w:tblLayout w:type="fixed"/>
        <w:tblLook w:val="04A0" w:firstRow="1" w:lastRow="0" w:firstColumn="0" w:lastColumn="0" w:noHBand="0" w:noVBand="1"/>
      </w:tblPr>
      <w:tblGrid>
        <w:gridCol w:w="720"/>
        <w:gridCol w:w="1337"/>
        <w:gridCol w:w="1768"/>
        <w:gridCol w:w="1337"/>
        <w:gridCol w:w="829"/>
        <w:gridCol w:w="949"/>
        <w:gridCol w:w="2419"/>
      </w:tblGrid>
      <w:tr>
        <w:trPr>
          <w:tblHeader/>
        </w:trPr>
        <w:tc>
          <w:tcPr>
            <w:tcW w:w="720" w:type="dxa"/>
            <w:shd w:val="clear" w:color="auto" w:fill="F2F2F2"/>
          </w:tcPr>
          <w:p>
            <w:pPr/>
            <w:r>
              <w:t xml:space="preserve">#</w:t>
            </w:r>
          </w:p>
        </w:tc>
        <w:tc>
          <w:tcPr>
            <w:tcW w:w="1337" w:type="dxa"/>
            <w:shd w:val="clear" w:color="auto" w:fill="F2F2F2"/>
          </w:tcPr>
          <w:p>
            <w:pPr/>
            <w:r>
              <w:t xml:space="preserve">Framework</w:t>
            </w:r>
          </w:p>
        </w:tc>
        <w:tc>
          <w:tcPr>
            <w:tcW w:w="1768" w:type="dxa"/>
            <w:shd w:val="clear" w:color="auto" w:fill="F2F2F2"/>
          </w:tcPr>
          <w:p>
            <w:pPr/>
            <w:r>
              <w:t xml:space="preserve">Core philosophy</w:t>
            </w:r>
          </w:p>
        </w:tc>
        <w:tc>
          <w:tcPr>
            <w:tcW w:w="1337" w:type="dxa"/>
            <w:shd w:val="clear" w:color="auto" w:fill="F2F2F2"/>
          </w:tcPr>
          <w:p>
            <w:pPr/>
            <w:r>
              <w:t xml:space="preserve">Main goal</w:t>
            </w:r>
          </w:p>
        </w:tc>
        <w:tc>
          <w:tcPr>
            <w:tcW w:w="829" w:type="dxa"/>
            <w:shd w:val="clear" w:color="auto" w:fill="F2F2F2"/>
          </w:tcPr>
          <w:p>
            <w:pPr/>
            <w:r>
              <w:t xml:space="preserve">Profit</w:t>
            </w:r>
          </w:p>
        </w:tc>
        <w:tc>
          <w:tcPr>
            <w:tcW w:w="949" w:type="dxa"/>
            <w:shd w:val="clear" w:color="auto" w:fill="F2F2F2"/>
          </w:tcPr>
          <w:p>
            <w:pPr/>
            <w:r>
              <w:t xml:space="preserve">Risk control</w:t>
            </w:r>
          </w:p>
        </w:tc>
        <w:tc>
          <w:tcPr>
            <w:tcW w:w="2419" w:type="dxa"/>
            <w:shd w:val="clear" w:color="auto" w:fill="F2F2F2"/>
          </w:tcPr>
          <w:p>
            <w:pPr/>
            <w:r>
              <w:t xml:space="preserve">Why it was chosen</w:t>
            </w:r>
          </w:p>
        </w:tc>
      </w:tr>
      <w:tr>
        <w:tc>
          <w:tcPr>
            <w:tcW w:w="720" w:type="dxa"/>
          </w:tcPr>
          <w:p>
            <w:pPr/>
            <w:r>
              <w:t xml:space="preserve">1</w:t>
            </w:r>
          </w:p>
        </w:tc>
        <w:tc>
          <w:tcPr>
            <w:tcW w:w="1337" w:type="dxa"/>
          </w:tcPr>
          <w:p>
            <w:pPr/>
            <w:r>
              <w:t xml:space="preserve">Adaptive ML Volatility + Relative-Value + Risk Control</w:t>
            </w:r>
          </w:p>
        </w:tc>
        <w:tc>
          <w:tcPr>
            <w:tcW w:w="1768" w:type="dxa"/>
          </w:tcPr>
          <w:p>
            <w:pPr/>
            <w:r>
              <w:t xml:space="preserve">ML predicts IV/RV/returns → finds mispricing → picks strategy → sizes by risk</w:t>
            </w:r>
          </w:p>
        </w:tc>
        <w:tc>
          <w:tcPr>
            <w:tcW w:w="1337" w:type="dxa"/>
          </w:tcPr>
          <w:p>
            <w:pPr/>
            <w:r>
              <w:t xml:space="preserve">Maximize net risk-adjusted alpha</w:t>
            </w:r>
          </w:p>
        </w:tc>
        <w:tc>
          <w:tcPr>
            <w:tcW w:w="829" w:type="dxa"/>
          </w:tcPr>
          <w:p>
            <w:pPr/>
            <w:r>
              <w:t xml:space="preserve">5</w:t>
            </w:r>
          </w:p>
        </w:tc>
        <w:tc>
          <w:tcPr>
            <w:tcW w:w="949" w:type="dxa"/>
          </w:tcPr>
          <w:p>
            <w:pPr/>
            <w:r>
              <w:t xml:space="preserve">4.5</w:t>
            </w:r>
          </w:p>
        </w:tc>
        <w:tc>
          <w:tcPr>
            <w:tcW w:w="2419" w:type="dxa"/>
          </w:tcPr>
          <w:p>
            <w:pPr/>
            <w:r>
              <w:t xml:space="preserve">Strongest academic support: RFS study, 12M+ observations 1996–2020, ML option-return portfolios profitable after costs</w:t>
            </w:r>
          </w:p>
        </w:tc>
      </w:tr>
      <w:tr>
        <w:tc>
          <w:tcPr>
            <w:tcW w:w="720" w:type="dxa"/>
          </w:tcPr>
          <w:p>
            <w:pPr/>
            <w:r>
              <w:t xml:space="preserve">2</w:t>
            </w:r>
          </w:p>
        </w:tc>
        <w:tc>
          <w:tcPr>
            <w:tcW w:w="1337" w:type="dxa"/>
          </w:tcPr>
          <w:p>
            <w:pPr/>
            <w:r>
              <w:t xml:space="preserve">ML Multi-Strategy Regime-Switching</w:t>
            </w:r>
          </w:p>
        </w:tc>
        <w:tc>
          <w:tcPr>
            <w:tcW w:w="1768" w:type="dxa"/>
          </w:tcPr>
          <w:p>
            <w:pPr/>
            <w:r>
              <w:t xml:space="preserve">Detect regime → activate the strategy that fits it</w:t>
            </w:r>
          </w:p>
        </w:tc>
        <w:tc>
          <w:tcPr>
            <w:tcW w:w="1337" w:type="dxa"/>
          </w:tcPr>
          <w:p>
            <w:pPr/>
            <w:r>
              <w:t xml:space="preserve">Consistency across regimes</w:t>
            </w:r>
          </w:p>
        </w:tc>
        <w:tc>
          <w:tcPr>
            <w:tcW w:w="829" w:type="dxa"/>
          </w:tcPr>
          <w:p>
            <w:pPr/>
            <w:r>
              <w:t xml:space="preserve">4.5</w:t>
            </w:r>
          </w:p>
        </w:tc>
        <w:tc>
          <w:tcPr>
            <w:tcW w:w="949" w:type="dxa"/>
          </w:tcPr>
          <w:p>
            <w:pPr/>
            <w:r>
              <w:t xml:space="preserve">5</w:t>
            </w:r>
          </w:p>
        </w:tc>
        <w:tc>
          <w:tcPr>
            <w:tcW w:w="2419" w:type="dxa"/>
          </w:tcPr>
          <w:p>
            <w:pPr/>
            <w:r>
              <w:t xml:space="preserve">Option payoffs depend on regime; AQR found buying options only paid in the top decile of volatility changes</w:t>
            </w:r>
          </w:p>
        </w:tc>
      </w:tr>
      <w:tr>
        <w:tc>
          <w:tcPr>
            <w:tcW w:w="720" w:type="dxa"/>
          </w:tcPr>
          <w:p>
            <w:pPr/>
            <w:r>
              <w:t xml:space="preserve">3</w:t>
            </w:r>
          </w:p>
        </w:tc>
        <w:tc>
          <w:tcPr>
            <w:tcW w:w="1337" w:type="dxa"/>
          </w:tcPr>
          <w:p>
            <w:pPr/>
            <w:r>
              <w:t xml:space="preserve">ML + Deep Hedging / RL</w:t>
            </w:r>
          </w:p>
        </w:tc>
        <w:tc>
          <w:tcPr>
            <w:tcW w:w="1768" w:type="dxa"/>
          </w:tcPr>
          <w:p>
            <w:pPr/>
            <w:r>
              <w:t xml:space="preserve">ML finds opportunity; RL decides entry, size, hedge, exit</w:t>
            </w:r>
          </w:p>
        </w:tc>
        <w:tc>
          <w:tcPr>
            <w:tcW w:w="1337" w:type="dxa"/>
          </w:tcPr>
          <w:p>
            <w:pPr/>
            <w:r>
              <w:t xml:space="preserve">Maximize net P&amp;L after costs and risk</w:t>
            </w:r>
          </w:p>
        </w:tc>
        <w:tc>
          <w:tcPr>
            <w:tcW w:w="829" w:type="dxa"/>
          </w:tcPr>
          <w:p>
            <w:pPr/>
            <w:r>
              <w:t xml:space="preserve">5</w:t>
            </w:r>
          </w:p>
        </w:tc>
        <w:tc>
          <w:tcPr>
            <w:tcW w:w="949" w:type="dxa"/>
          </w:tcPr>
          <w:p>
            <w:pPr/>
            <w:r>
              <w:t xml:space="preserve">5</w:t>
            </w:r>
          </w:p>
        </w:tc>
        <w:tc>
          <w:tcPr>
            <w:tcW w:w="2419" w:type="dxa"/>
          </w:tcPr>
          <w:p>
            <w:pPr/>
            <w:r>
              <w:t xml:space="preserve">Static IV fit and real hedging results diverge once costs and risk aversion are included</w:t>
            </w:r>
          </w:p>
        </w:tc>
      </w:tr>
      <w:tr>
        <w:tc>
          <w:tcPr>
            <w:tcW w:w="720" w:type="dxa"/>
          </w:tcPr>
          <w:p>
            <w:pPr/>
            <w:r>
              <w:t xml:space="preserve">4</w:t>
            </w:r>
          </w:p>
        </w:tc>
        <w:tc>
          <w:tcPr>
            <w:tcW w:w="1337" w:type="dxa"/>
          </w:tcPr>
          <w:p>
            <w:pPr/>
            <w:r>
              <w:t xml:space="preserve">Institutional VRP / Risk-Target</w:t>
            </w:r>
          </w:p>
        </w:tc>
        <w:tc>
          <w:tcPr>
            <w:tcW w:w="1768" w:type="dxa"/>
          </w:tcPr>
          <w:p>
            <w:pPr/>
            <w:r>
              <w:t xml:space="preserve">Systematically sell volatility with vol targeting and tail controls</w:t>
            </w:r>
          </w:p>
        </w:tc>
        <w:tc>
          <w:tcPr>
            <w:tcW w:w="1337" w:type="dxa"/>
          </w:tcPr>
          <w:p>
            <w:pPr/>
            <w:r>
              <w:t xml:space="preserve">Stable VRP harvesting</w:t>
            </w:r>
          </w:p>
        </w:tc>
        <w:tc>
          <w:tcPr>
            <w:tcW w:w="829" w:type="dxa"/>
          </w:tcPr>
          <w:p>
            <w:pPr/>
            <w:r>
              <w:t xml:space="preserve">4</w:t>
            </w:r>
          </w:p>
        </w:tc>
        <w:tc>
          <w:tcPr>
            <w:tcW w:w="949" w:type="dxa"/>
          </w:tcPr>
          <w:p>
            <w:pPr/>
            <w:r>
              <w:t xml:space="preserve">4.5</w:t>
            </w:r>
          </w:p>
        </w:tc>
        <w:tc>
          <w:tcPr>
            <w:tcW w:w="2419" w:type="dxa"/>
          </w:tcPr>
          <w:p>
            <w:pPr/>
            <w:r>
              <w:t xml:space="preserve">Mirrors public AQR, Parametric / Morgan Stanley and Man Group approaches</w:t>
            </w:r>
          </w:p>
        </w:tc>
      </w:tr>
      <w:tr>
        <w:tc>
          <w:tcPr>
            <w:tcW w:w="720" w:type="dxa"/>
          </w:tcPr>
          <w:p>
            <w:pPr/>
            <w:r>
              <w:t xml:space="preserve">5</w:t>
            </w:r>
          </w:p>
        </w:tc>
        <w:tc>
          <w:tcPr>
            <w:tcW w:w="1337" w:type="dxa"/>
          </w:tcPr>
          <w:p>
            <w:pPr/>
            <w:r>
              <w:t xml:space="preserve">Institutional Option-Overlay / Outcome</w:t>
            </w:r>
          </w:p>
        </w:tc>
        <w:tc>
          <w:tcPr>
            <w:tcW w:w="1768" w:type="dxa"/>
          </w:tcPr>
          <w:p>
            <w:pPr/>
            <w:r>
              <w:t xml:space="preserve">Options change a portfolio's risk/return (puts, covered calls, collars)</w:t>
            </w:r>
          </w:p>
        </w:tc>
        <w:tc>
          <w:tcPr>
            <w:tcW w:w="1337" w:type="dxa"/>
          </w:tcPr>
          <w:p>
            <w:pPr/>
            <w:r>
              <w:t xml:space="preserve">Optimize portfolio outcome</w:t>
            </w:r>
          </w:p>
        </w:tc>
        <w:tc>
          <w:tcPr>
            <w:tcW w:w="829" w:type="dxa"/>
          </w:tcPr>
          <w:p>
            <w:pPr/>
            <w:r>
              <w:t xml:space="preserve">3</w:t>
            </w:r>
          </w:p>
        </w:tc>
        <w:tc>
          <w:tcPr>
            <w:tcW w:w="949" w:type="dxa"/>
          </w:tcPr>
          <w:p>
            <w:pPr/>
            <w:r>
              <w:t xml:space="preserve">5</w:t>
            </w:r>
          </w:p>
        </w:tc>
        <w:tc>
          <w:tcPr>
            <w:tcW w:w="2419" w:type="dxa"/>
          </w:tcPr>
          <w:p>
            <w:pPr/>
            <w:r>
              <w:t xml:space="preserve">Mirrors BlackRock and Morgan Stanley overlay and income strategies</w:t>
            </w:r>
          </w:p>
        </w:tc>
      </w:tr>
    </w:tbl>
    <w:p>
      <w:pPr/>
      <w:r>
        <w:rPr>
          <w:b/>
        </w:rPr>
        <w:t xml:space="preserve">Framework details</w:t>
      </w:r>
    </w:p>
    <w:p>
      <w:pPr>
        <w:pStyle w:val="ListParagraph"/>
        <w:numPr>
          <w:ilvl w:val="0"/>
          <w:numId w:val="5"/>
        </w:numPr>
      </w:pPr>
      <w:r>
        <w:rPr>
          <w:b/>
        </w:rPr>
        <w:t xml:space="preserve">#1 targets:</w:t>
      </w:r>
      <w:r>
        <w:t xml:space="preserve"> IV change, realized vol, IV-RV spread, expected option return, P(profit &gt; 0), CVaR. Models: XGBoost (tabular), LSTM (sequences), Transformer (long-range), GNN/CNN (surface), Elastic Net (benchmark), meta-model (combine). Objective: maximize Sharpe + Sortino minus penalties for CVaR, max drawdown and turnover, within Greek and position limits.</w:t>
      </w:r>
    </w:p>
    <w:p>
      <w:pPr>
        <w:pStyle w:val="ListParagraph"/>
        <w:numPr>
          <w:ilvl w:val="0"/>
          <w:numId w:val="5"/>
        </w:numPr>
      </w:pPr>
      <w:r>
        <w:rPr>
          <w:b/>
        </w:rPr>
        <w:t xml:space="preserve">#2 regimes:</w:t>
      </w:r>
      <w:r>
        <w:t xml:space="preserve"> low IV / low RV, high IV / falling RV, high IV / rising RV, bull, bear, crisis, earnings, liquidity stress. Example rules: high IV + stable RV → short-vol spreads; high IV + rising RV → cut short vol; extreme VIX → defined risk only; illiquid → no trade. Supported by the IMF 2026 GFSR on dealer gamma and 0DTE growth.</w:t>
      </w:r>
    </w:p>
    <w:p>
      <w:pPr>
        <w:pStyle w:val="ListParagraph"/>
        <w:numPr>
          <w:ilvl w:val="0"/>
          <w:numId w:val="5"/>
        </w:numPr>
      </w:pPr>
      <w:r>
        <w:rPr>
          <w:b/>
        </w:rPr>
        <w:t xml:space="preserve">#3 reward:</w:t>
      </w:r>
      <w:r>
        <w:t xml:space="preserve"> P&amp;L minus costs, CVaR, drawdown and turnover penalties — not raw P&amp;L. RL is the decision engine, not the alpha engine.</w:t>
      </w:r>
    </w:p>
    <w:p>
      <w:pPr>
        <w:pStyle w:val="ListParagraph"/>
        <w:numPr>
          <w:ilvl w:val="0"/>
          <w:numId w:val="5"/>
        </w:numPr>
      </w:pPr>
      <w:r>
        <w:rPr>
          <w:b/>
        </w:rPr>
        <w:t xml:space="preserve">#4 caution:</w:t>
      </w:r>
      <w:r>
        <w:t xml:space="preserve"> AQR warns sharp moves create meaningful VRP drawdowns, so sizing must reflect tail risk.</w:t>
      </w:r>
    </w:p>
    <w:p>
      <w:pPr>
        <w:pStyle w:val="ListParagraph"/>
        <w:numPr>
          <w:ilvl w:val="0"/>
          <w:numId w:val="5"/>
        </w:numPr>
      </w:pPr>
      <w:r>
        <w:rPr>
          <w:b/>
        </w:rPr>
        <w:t xml:space="preserve">#5 goal:</w:t>
      </w:r>
      <w:r>
        <w:t xml:space="preserve"> reduce drawdown and volatility, generate income, protect concentrated positions — not maximum profit.</w:t>
      </w:r>
    </w:p>
    <w:p>
      <w:pPr/>
      <w:r>
        <w:rPr>
          <w:b/>
        </w:rPr>
        <w:t xml:space="preserve">Scorecard highlights (5 = best):</w:t>
      </w:r>
      <w:r>
        <w:t xml:space="preserve"> frameworks 2 and 3 score 5 on drawdown and CVaR control; #1 scores 5 on profit and Sharpe; #4 and #5 score highest on interpretability and institutional resemblance; #3 has the lowest interpretability and highest cost sensitivity.</w:t>
      </w:r>
    </w:p>
    <w:p>
      <w:pPr/>
      <w:r>
        <w:rPr>
          <w:b/>
        </w:rPr>
        <w:t xml:space="preserve">Transaction-cost warning:</w:t>
      </w:r>
      <w:r>
        <w:t xml:space="preserve"> a 2026 LSTM study saw raw profits eroded by bid/ask, with delta-hedged results turning negative at large spreads. The agreed rule: trade only if expected edge &gt; bid/ask + slippage + commission + market impact; otherwise no trade.</w:t>
      </w:r>
    </w:p>
    <w:p>
      <w:pPr>
        <w:pStyle w:val="Heading2"/>
      </w:pPr>
      <w:r>
        <w:t xml:space="preserve">Discussion 4 — Framework × horizon and the objective hierarchy</w:t>
      </w:r>
    </w:p>
    <w:p>
      <w:pPr/>
      <w:r>
        <w:t xml:space="preserve">Daily plus medium-term was chosen as the primary research horizon, with intraday as a separate later module. ML-heavy frameworks fit daily and medium term best; institutional frameworks gain ground at long horizons.</w:t>
      </w:r>
    </w:p>
    <w:tbl>
      <w:tblPr>
        <w:tblStyle w:val="TableGrid"/>
        <w:tblW w:w="0" w:type="auto"/>
        <w:tblLayout w:type="fixed"/>
        <w:tblLook w:val="04A0" w:firstRow="1" w:lastRow="0" w:firstColumn="0" w:lastColumn="0" w:noHBand="0" w:noVBand="1"/>
      </w:tblPr>
      <w:tblGrid>
        <w:gridCol w:w="2761"/>
        <w:gridCol w:w="2909"/>
        <w:gridCol w:w="1068"/>
        <w:gridCol w:w="790"/>
        <w:gridCol w:w="1081"/>
        <w:gridCol w:w="750"/>
      </w:tblGrid>
      <w:tr>
        <w:trPr>
          <w:tblHeader/>
        </w:trPr>
        <w:tc>
          <w:tcPr>
            <w:tcW w:w="2761" w:type="dxa"/>
            <w:shd w:val="clear" w:color="auto" w:fill="F2F2F2"/>
          </w:tcPr>
          <w:p>
            <w:pPr/>
            <w:r>
              <w:t xml:space="preserve">Framework</w:t>
            </w:r>
          </w:p>
        </w:tc>
        <w:tc>
          <w:tcPr>
            <w:tcW w:w="2909" w:type="dxa"/>
            <w:shd w:val="clear" w:color="auto" w:fill="F2F2F2"/>
          </w:tcPr>
          <w:p>
            <w:pPr/>
            <w:r>
              <w:t xml:space="preserve">Main goal</w:t>
            </w:r>
          </w:p>
        </w:tc>
        <w:tc>
          <w:tcPr>
            <w:tcW w:w="1068" w:type="dxa"/>
            <w:shd w:val="clear" w:color="auto" w:fill="F2F2F2"/>
          </w:tcPr>
          <w:p>
            <w:pPr/>
            <w:r>
              <w:t xml:space="preserve">Intraday</w:t>
            </w:r>
          </w:p>
        </w:tc>
        <w:tc>
          <w:tcPr>
            <w:tcW w:w="790" w:type="dxa"/>
            <w:shd w:val="clear" w:color="auto" w:fill="F2F2F2"/>
          </w:tcPr>
          <w:p>
            <w:pPr/>
            <w:r>
              <w:t xml:space="preserve">Daily</w:t>
            </w:r>
          </w:p>
        </w:tc>
        <w:tc>
          <w:tcPr>
            <w:tcW w:w="1081" w:type="dxa"/>
            <w:shd w:val="clear" w:color="auto" w:fill="F2F2F2"/>
          </w:tcPr>
          <w:p>
            <w:pPr/>
            <w:r>
              <w:t xml:space="preserve">Medium</w:t>
            </w:r>
          </w:p>
        </w:tc>
        <w:tc>
          <w:tcPr>
            <w:tcW w:w="750" w:type="dxa"/>
            <w:shd w:val="clear" w:color="auto" w:fill="F2F2F2"/>
          </w:tcPr>
          <w:p>
            <w:pPr/>
            <w:r>
              <w:t xml:space="preserve">Long</w:t>
            </w:r>
          </w:p>
        </w:tc>
      </w:tr>
      <w:tr>
        <w:tc>
          <w:tcPr>
            <w:tcW w:w="2761" w:type="dxa"/>
          </w:tcPr>
          <w:p>
            <w:pPr/>
            <w:r>
              <w:t xml:space="preserve">1 Adaptive ML</w:t>
            </w:r>
          </w:p>
        </w:tc>
        <w:tc>
          <w:tcPr>
            <w:tcW w:w="2909" w:type="dxa"/>
          </w:tcPr>
          <w:p>
            <w:pPr/>
            <w:r>
              <w:t xml:space="preserve">Net risk-adjusted alpha</w:t>
            </w:r>
          </w:p>
        </w:tc>
        <w:tc>
          <w:tcPr>
            <w:tcW w:w="1068" w:type="dxa"/>
          </w:tcPr>
          <w:p>
            <w:pPr/>
            <w:r>
              <w:t xml:space="preserve">4.5</w:t>
            </w:r>
          </w:p>
        </w:tc>
        <w:tc>
          <w:tcPr>
            <w:tcW w:w="790" w:type="dxa"/>
          </w:tcPr>
          <w:p>
            <w:pPr/>
            <w:r>
              <w:t xml:space="preserve">5</w:t>
            </w:r>
          </w:p>
        </w:tc>
        <w:tc>
          <w:tcPr>
            <w:tcW w:w="1081" w:type="dxa"/>
          </w:tcPr>
          <w:p>
            <w:pPr/>
            <w:r>
              <w:t xml:space="preserve">5</w:t>
            </w:r>
          </w:p>
        </w:tc>
        <w:tc>
          <w:tcPr>
            <w:tcW w:w="750" w:type="dxa"/>
          </w:tcPr>
          <w:p>
            <w:pPr/>
            <w:r>
              <w:t xml:space="preserve">4</w:t>
            </w:r>
          </w:p>
        </w:tc>
      </w:tr>
      <w:tr>
        <w:tc>
          <w:tcPr>
            <w:tcW w:w="2761" w:type="dxa"/>
          </w:tcPr>
          <w:p>
            <w:pPr/>
            <w:r>
              <w:t xml:space="preserve">2 Regime-Switching ML</w:t>
            </w:r>
          </w:p>
        </w:tc>
        <w:tc>
          <w:tcPr>
            <w:tcW w:w="2909" w:type="dxa"/>
          </w:tcPr>
          <w:p>
            <w:pPr/>
            <w:r>
              <w:t xml:space="preserve">Consistency across regimes</w:t>
            </w:r>
          </w:p>
        </w:tc>
        <w:tc>
          <w:tcPr>
            <w:tcW w:w="1068" w:type="dxa"/>
          </w:tcPr>
          <w:p>
            <w:pPr/>
            <w:r>
              <w:t xml:space="preserve">4.5</w:t>
            </w:r>
          </w:p>
        </w:tc>
        <w:tc>
          <w:tcPr>
            <w:tcW w:w="790" w:type="dxa"/>
          </w:tcPr>
          <w:p>
            <w:pPr/>
            <w:r>
              <w:t xml:space="preserve">5</w:t>
            </w:r>
          </w:p>
        </w:tc>
        <w:tc>
          <w:tcPr>
            <w:tcW w:w="1081" w:type="dxa"/>
          </w:tcPr>
          <w:p>
            <w:pPr/>
            <w:r>
              <w:t xml:space="preserve">5</w:t>
            </w:r>
          </w:p>
        </w:tc>
        <w:tc>
          <w:tcPr>
            <w:tcW w:w="750" w:type="dxa"/>
          </w:tcPr>
          <w:p>
            <w:pPr/>
            <w:r>
              <w:t xml:space="preserve">5</w:t>
            </w:r>
          </w:p>
        </w:tc>
      </w:tr>
      <w:tr>
        <w:tc>
          <w:tcPr>
            <w:tcW w:w="2761" w:type="dxa"/>
          </w:tcPr>
          <w:p>
            <w:pPr/>
            <w:r>
              <w:t xml:space="preserve">3 ML + Deep Hedging / RL</w:t>
            </w:r>
          </w:p>
        </w:tc>
        <w:tc>
          <w:tcPr>
            <w:tcW w:w="2909" w:type="dxa"/>
          </w:tcPr>
          <w:p>
            <w:pPr/>
            <w:r>
              <w:t xml:space="preserve">Dynamic P&amp;L after costs</w:t>
            </w:r>
          </w:p>
        </w:tc>
        <w:tc>
          <w:tcPr>
            <w:tcW w:w="1068" w:type="dxa"/>
          </w:tcPr>
          <w:p>
            <w:pPr/>
            <w:r>
              <w:t xml:space="preserve">4</w:t>
            </w:r>
          </w:p>
        </w:tc>
        <w:tc>
          <w:tcPr>
            <w:tcW w:w="790" w:type="dxa"/>
          </w:tcPr>
          <w:p>
            <w:pPr/>
            <w:r>
              <w:t xml:space="preserve">5</w:t>
            </w:r>
          </w:p>
        </w:tc>
        <w:tc>
          <w:tcPr>
            <w:tcW w:w="1081" w:type="dxa"/>
          </w:tcPr>
          <w:p>
            <w:pPr/>
            <w:r>
              <w:t xml:space="preserve">5</w:t>
            </w:r>
          </w:p>
        </w:tc>
        <w:tc>
          <w:tcPr>
            <w:tcW w:w="750" w:type="dxa"/>
          </w:tcPr>
          <w:p>
            <w:pPr/>
            <w:r>
              <w:t xml:space="preserve">4.5</w:t>
            </w:r>
          </w:p>
        </w:tc>
      </w:tr>
      <w:tr>
        <w:tc>
          <w:tcPr>
            <w:tcW w:w="2761" w:type="dxa"/>
          </w:tcPr>
          <w:p>
            <w:pPr/>
            <w:r>
              <w:t xml:space="preserve">4 Institutional VRP</w:t>
            </w:r>
          </w:p>
        </w:tc>
        <w:tc>
          <w:tcPr>
            <w:tcW w:w="2909" w:type="dxa"/>
          </w:tcPr>
          <w:p>
            <w:pPr/>
            <w:r>
              <w:t xml:space="preserve">Stable VRP harvesting</w:t>
            </w:r>
          </w:p>
        </w:tc>
        <w:tc>
          <w:tcPr>
            <w:tcW w:w="1068" w:type="dxa"/>
          </w:tcPr>
          <w:p>
            <w:pPr/>
            <w:r>
              <w:t xml:space="preserve">3</w:t>
            </w:r>
          </w:p>
        </w:tc>
        <w:tc>
          <w:tcPr>
            <w:tcW w:w="790" w:type="dxa"/>
          </w:tcPr>
          <w:p>
            <w:pPr/>
            <w:r>
              <w:t xml:space="preserve">4.5</w:t>
            </w:r>
          </w:p>
        </w:tc>
        <w:tc>
          <w:tcPr>
            <w:tcW w:w="1081" w:type="dxa"/>
          </w:tcPr>
          <w:p>
            <w:pPr/>
            <w:r>
              <w:t xml:space="preserve">5</w:t>
            </w:r>
          </w:p>
        </w:tc>
        <w:tc>
          <w:tcPr>
            <w:tcW w:w="750" w:type="dxa"/>
          </w:tcPr>
          <w:p>
            <w:pPr/>
            <w:r>
              <w:t xml:space="preserve">5</w:t>
            </w:r>
          </w:p>
        </w:tc>
      </w:tr>
      <w:tr>
        <w:tc>
          <w:tcPr>
            <w:tcW w:w="2761" w:type="dxa"/>
          </w:tcPr>
          <w:p>
            <w:pPr/>
            <w:r>
              <w:t xml:space="preserve">5 Institutional Overlay</w:t>
            </w:r>
          </w:p>
        </w:tc>
        <w:tc>
          <w:tcPr>
            <w:tcW w:w="2909" w:type="dxa"/>
          </w:tcPr>
          <w:p>
            <w:pPr/>
            <w:r>
              <w:t xml:space="preserve">Portfolio outcome</w:t>
            </w:r>
          </w:p>
        </w:tc>
        <w:tc>
          <w:tcPr>
            <w:tcW w:w="1068" w:type="dxa"/>
          </w:tcPr>
          <w:p>
            <w:pPr/>
            <w:r>
              <w:t xml:space="preserve">2</w:t>
            </w:r>
          </w:p>
        </w:tc>
        <w:tc>
          <w:tcPr>
            <w:tcW w:w="790" w:type="dxa"/>
          </w:tcPr>
          <w:p>
            <w:pPr/>
            <w:r>
              <w:t xml:space="preserve">4</w:t>
            </w:r>
          </w:p>
        </w:tc>
        <w:tc>
          <w:tcPr>
            <w:tcW w:w="1081" w:type="dxa"/>
          </w:tcPr>
          <w:p>
            <w:pPr/>
            <w:r>
              <w:t xml:space="preserve">4.5</w:t>
            </w:r>
          </w:p>
        </w:tc>
        <w:tc>
          <w:tcPr>
            <w:tcW w:w="750" w:type="dxa"/>
          </w:tcPr>
          <w:p>
            <w:pPr/>
            <w:r>
              <w:t xml:space="preserve">5</w:t>
            </w:r>
          </w:p>
        </w:tc>
      </w:tr>
    </w:tbl>
    <w:p>
      <w:pPr>
        <w:pStyle w:val="ListParagraph"/>
        <w:numPr>
          <w:ilvl w:val="0"/>
          <w:numId w:val="6"/>
        </w:numPr>
      </w:pPr>
      <w:r>
        <w:rPr>
          <w:b/>
        </w:rPr>
        <w:t xml:space="preserve">Intraday:</w:t>
      </w:r>
      <w:r>
        <w:t xml:space="preserve"> edge must beat bid/ask, slippage, commissions, impact and latency; favour fast models and a strict trade filter.</w:t>
      </w:r>
    </w:p>
    <w:p>
      <w:pPr>
        <w:pStyle w:val="ListParagraph"/>
        <w:numPr>
          <w:ilvl w:val="0"/>
          <w:numId w:val="6"/>
        </w:numPr>
      </w:pPr>
      <w:r>
        <w:rPr>
          <w:b/>
        </w:rPr>
        <w:t xml:space="preserve">Daily:</w:t>
      </w:r>
      <w:r>
        <w:t xml:space="preserve"> best compromise. A July 2026 Federal Reserve paper using boosted trees on moneyness/maturity partitions cut one-month-ahead IV RMSE by 13% versus its benchmark.</w:t>
      </w:r>
    </w:p>
    <w:p>
      <w:pPr>
        <w:pStyle w:val="ListParagraph"/>
        <w:numPr>
          <w:ilvl w:val="0"/>
          <w:numId w:val="6"/>
        </w:numPr>
      </w:pPr>
      <w:r>
        <w:rPr>
          <w:b/>
        </w:rPr>
        <w:t xml:space="preserve">Medium term (1 week–3 months):</w:t>
      </w:r>
      <w:r>
        <w:t xml:space="preserve"> Regime ML ranks first; more time to overcome costs.</w:t>
      </w:r>
    </w:p>
    <w:p>
      <w:pPr>
        <w:pStyle w:val="ListParagraph"/>
        <w:numPr>
          <w:ilvl w:val="0"/>
          <w:numId w:val="6"/>
        </w:numPr>
      </w:pPr>
      <w:r>
        <w:rPr>
          <w:b/>
        </w:rPr>
        <w:t xml:space="preserve">Long term (3 months+):</w:t>
      </w:r>
      <w:r>
        <w:t xml:space="preserve"> Regime ML, Institutional VRP and Overlay lead; structural risk premia matter more than short-term signals.</w:t>
      </w:r>
    </w:p>
    <w:p>
      <w:pPr/>
      <w:r>
        <w:rPr>
          <w:b/>
        </w:rPr>
        <w:t xml:space="preserve">Objective hierarchy agreed for the project</w:t>
      </w:r>
    </w:p>
    <w:tbl>
      <w:tblPr>
        <w:tblStyle w:val="TableGrid"/>
        <w:tblW w:w="0" w:type="auto"/>
        <w:tblLayout w:type="fixed"/>
        <w:tblLook w:val="04A0" w:firstRow="1" w:lastRow="0" w:firstColumn="0" w:lastColumn="0" w:noHBand="0" w:noVBand="1"/>
      </w:tblPr>
      <w:tblGrid>
        <w:gridCol w:w="1166"/>
        <w:gridCol w:w="2606"/>
        <w:gridCol w:w="5587"/>
      </w:tblGrid>
      <w:tr>
        <w:trPr>
          <w:tblHeader/>
        </w:trPr>
        <w:tc>
          <w:tcPr>
            <w:tcW w:w="1166" w:type="dxa"/>
            <w:shd w:val="clear" w:color="auto" w:fill="F2F2F2"/>
          </w:tcPr>
          <w:p>
            <w:pPr/>
            <w:r>
              <w:t xml:space="preserve">Priority</w:t>
            </w:r>
          </w:p>
        </w:tc>
        <w:tc>
          <w:tcPr>
            <w:tcW w:w="2606" w:type="dxa"/>
            <w:shd w:val="clear" w:color="auto" w:fill="F2F2F2"/>
          </w:tcPr>
          <w:p>
            <w:pPr/>
            <w:r>
              <w:t xml:space="preserve">Objective</w:t>
            </w:r>
          </w:p>
        </w:tc>
        <w:tc>
          <w:tcPr>
            <w:tcW w:w="5587" w:type="dxa"/>
            <w:shd w:val="clear" w:color="auto" w:fill="F2F2F2"/>
          </w:tcPr>
          <w:p>
            <w:pPr/>
            <w:r>
              <w:t xml:space="preserve">What is measured</w:t>
            </w:r>
          </w:p>
        </w:tc>
      </w:tr>
      <w:tr>
        <w:tc>
          <w:tcPr>
            <w:tcW w:w="1166" w:type="dxa"/>
          </w:tcPr>
          <w:p>
            <w:pPr/>
            <w:r>
              <w:t xml:space="preserve">1</w:t>
            </w:r>
          </w:p>
        </w:tc>
        <w:tc>
          <w:tcPr>
            <w:tcW w:w="2606" w:type="dxa"/>
          </w:tcPr>
          <w:p>
            <w:pPr/>
            <w:r>
              <w:t xml:space="preserve">Survival</w:t>
            </w:r>
          </w:p>
        </w:tc>
        <w:tc>
          <w:tcPr>
            <w:tcW w:w="5587" w:type="dxa"/>
          </w:tcPr>
          <w:p>
            <w:pPr/>
            <w:r>
              <w:t xml:space="preserve">CVaR, stress loss, probability of ruin</w:t>
            </w:r>
          </w:p>
        </w:tc>
      </w:tr>
      <w:tr>
        <w:tc>
          <w:tcPr>
            <w:tcW w:w="1166" w:type="dxa"/>
          </w:tcPr>
          <w:p>
            <w:pPr/>
            <w:r>
              <w:t xml:space="preserve">2</w:t>
            </w:r>
          </w:p>
        </w:tc>
        <w:tc>
          <w:tcPr>
            <w:tcW w:w="2606" w:type="dxa"/>
          </w:tcPr>
          <w:p>
            <w:pPr/>
            <w:r>
              <w:t xml:space="preserve">Risk control</w:t>
            </w:r>
          </w:p>
        </w:tc>
        <w:tc>
          <w:tcPr>
            <w:tcW w:w="5587" w:type="dxa"/>
          </w:tcPr>
          <w:p>
            <w:pPr/>
            <w:r>
              <w:t xml:space="preserve">Max drawdown, Greeks, concentration, liquidity</w:t>
            </w:r>
          </w:p>
        </w:tc>
      </w:tr>
      <w:tr>
        <w:tc>
          <w:tcPr>
            <w:tcW w:w="1166" w:type="dxa"/>
          </w:tcPr>
          <w:p>
            <w:pPr/>
            <w:r>
              <w:t xml:space="preserve">3</w:t>
            </w:r>
          </w:p>
        </w:tc>
        <w:tc>
          <w:tcPr>
            <w:tcW w:w="2606" w:type="dxa"/>
          </w:tcPr>
          <w:p>
            <w:pPr/>
            <w:r>
              <w:t xml:space="preserve">Risk-adjusted profit</w:t>
            </w:r>
          </w:p>
        </w:tc>
        <w:tc>
          <w:tcPr>
            <w:tcW w:w="5587" w:type="dxa"/>
          </w:tcPr>
          <w:p>
            <w:pPr/>
            <w:r>
              <w:t xml:space="preserve">Sharpe, Sortino</w:t>
            </w:r>
          </w:p>
        </w:tc>
      </w:tr>
      <w:tr>
        <w:tc>
          <w:tcPr>
            <w:tcW w:w="1166" w:type="dxa"/>
          </w:tcPr>
          <w:p>
            <w:pPr/>
            <w:r>
              <w:t xml:space="preserve">4</w:t>
            </w:r>
          </w:p>
        </w:tc>
        <w:tc>
          <w:tcPr>
            <w:tcW w:w="2606" w:type="dxa"/>
          </w:tcPr>
          <w:p>
            <w:pPr/>
            <w:r>
              <w:t xml:space="preserve">Net profit</w:t>
            </w:r>
          </w:p>
        </w:tc>
        <w:tc>
          <w:tcPr>
            <w:tcW w:w="5587" w:type="dxa"/>
          </w:tcPr>
          <w:p>
            <w:pPr/>
            <w:r>
              <w:t xml:space="preserve">CAGR / total P&amp;L after all costs</w:t>
            </w:r>
          </w:p>
        </w:tc>
      </w:tr>
      <w:tr>
        <w:tc>
          <w:tcPr>
            <w:tcW w:w="1166" w:type="dxa"/>
          </w:tcPr>
          <w:p>
            <w:pPr/>
            <w:r>
              <w:t xml:space="preserve">5</w:t>
            </w:r>
          </w:p>
        </w:tc>
        <w:tc>
          <w:tcPr>
            <w:tcW w:w="2606" w:type="dxa"/>
          </w:tcPr>
          <w:p>
            <w:pPr/>
            <w:r>
              <w:t xml:space="preserve">Efficiency</w:t>
            </w:r>
          </w:p>
        </w:tc>
        <w:tc>
          <w:tcPr>
            <w:tcW w:w="5587" w:type="dxa"/>
          </w:tcPr>
          <w:p>
            <w:pPr/>
            <w:r>
              <w:t xml:space="preserve">Return per unit of turnover, margin, capital</w:t>
            </w:r>
          </w:p>
        </w:tc>
      </w:tr>
      <w:tr>
        <w:tc>
          <w:tcPr>
            <w:tcW w:w="1166" w:type="dxa"/>
          </w:tcPr>
          <w:p>
            <w:pPr/>
            <w:r>
              <w:t xml:space="preserve">6</w:t>
            </w:r>
          </w:p>
        </w:tc>
        <w:tc>
          <w:tcPr>
            <w:tcW w:w="2606" w:type="dxa"/>
          </w:tcPr>
          <w:p>
            <w:pPr/>
            <w:r>
              <w:t xml:space="preserve">Prediction quality</w:t>
            </w:r>
          </w:p>
        </w:tc>
        <w:tc>
          <w:tcPr>
            <w:tcW w:w="5587" w:type="dxa"/>
          </w:tcPr>
          <w:p>
            <w:pPr/>
            <w:r>
              <w:t xml:space="preserve">RMSE, MAE, AUC — supporting metrics only</w:t>
            </w:r>
          </w:p>
        </w:tc>
      </w:tr>
    </w:tbl>
    <w:p>
      <w:pPr/>
      <w:r>
        <w:t xml:space="preserve">Ultimate objective: maximum sustainable net risk-adjusted return, subject to predefined limits on CVaR, max drawdown, Greeks, turnover, liquidity and margin.</w:t>
      </w:r>
    </w:p>
    <w:p>
      <w:pPr>
        <w:pStyle w:val="Heading2"/>
      </w:pPr>
      <w:r>
        <w:t xml:space="preserve">Recommended final architecture</w:t>
      </w:r>
    </w:p>
    <w:p>
      <w:pPr/>
      <w:r>
        <w:t xml:space="preserve">The end state is a hybrid of frameworks 1, 2 and 3, validated against 4 and 5, where prediction, strategy choice, sizing, risk and execution are separate layers rather than one model deciding everything.</w:t>
      </w:r>
    </w:p>
    <w:p>
      <w:pPr/>
      <w:r>
        <w:drawing>
          <wp:inline distT="0" distB="0" distL="0" distR="0">
            <wp:extent cx="5486400" cy="5796642"/>
            <wp:docPr id="1" name="image1" descr="recommended ML options system · 10 layers, 3 frameworks, 2 benchmarks"/>
            <a:graphic xmlns:a="http://schemas.openxmlformats.org/drawingml/2006/main">
              <a:graphicData uri="http://schemas.openxmlformats.org/drawingml/2006/picture">
                <pic:pic xmlns:pic="http://schemas.openxmlformats.org/drawingml/2006/picture">
                  <pic:nvPicPr>
                    <pic:cNvPr id="1" name="image1" descr="recommended ML options system · 10 layers, 3 frameworks, 2 benchmarks"/>
                    <pic:cNvPicPr/>
                  </pic:nvPicPr>
                  <pic:blipFill>
                    <a:blip r:embed="rId4"/>
                    <a:stretch>
                      <a:fillRect/>
                    </a:stretch>
                  </pic:blipFill>
                  <pic:spPr>
                    <a:xfrm>
                      <a:off x="0" y="0"/>
                      <a:ext cx="5486400" cy="5796642"/>
                    </a:xfrm>
                    <a:prstGeom prst="rect">
                      <a:avLst/>
                    </a:prstGeom>
                  </pic:spPr>
                </pic:pic>
              </a:graphicData>
            </a:graphic>
          </wp:inline>
        </w:drawing>
      </w:r>
    </w:p>
    <w:p>
      <w:pPr/>
      <w:r>
        <w:t xml:space="preserve">recommended ML options system · 10 layers, 3 frameworks, 2 benchmarks</w:t>
      </w:r>
    </w:p>
    <w:p>
      <w:pPr/>
      <w:r>
        <w:t xml:space="preserve">Signals flow top to bottom; any trade whose expected edge does not clear total costs stops at the cost gate.</w:t>
      </w:r>
    </w:p>
    <w:p>
      <w:pPr/>
      <w:r>
        <w:rPr>
          <w:b/>
        </w:rPr>
        <w:t xml:space="preserve">Decisions carried forward</w:t>
      </w:r>
    </w:p>
    <w:p>
      <w:pPr>
        <w:pStyle w:val="ListParagraph"/>
        <w:numPr>
          <w:ilvl w:val="0"/>
          <w:numId w:val="7"/>
        </w:numPr>
      </w:pPr>
      <w:r>
        <w:t xml:space="preserve">Core model families: XGBoost, LSTM, Transformer/TFT, GNN (or CNN), PPO/deep hedging, with Elastic Net as the control.</w:t>
      </w:r>
    </w:p>
    <w:p>
      <w:pPr>
        <w:pStyle w:val="ListParagraph"/>
        <w:numPr>
          <w:ilvl w:val="0"/>
          <w:numId w:val="7"/>
        </w:numPr>
      </w:pPr>
      <w:r>
        <w:t xml:space="preserve">Prediction layer and decision layer stay separate.</w:t>
      </w:r>
    </w:p>
    <w:p>
      <w:pPr>
        <w:pStyle w:val="ListParagraph"/>
        <w:numPr>
          <w:ilvl w:val="0"/>
          <w:numId w:val="7"/>
        </w:numPr>
      </w:pPr>
      <w:r>
        <w:t xml:space="preserve">Optimize net P&amp;L after realistic costs, not RMSE.</w:t>
      </w:r>
    </w:p>
    <w:p>
      <w:pPr>
        <w:pStyle w:val="ListParagraph"/>
        <w:numPr>
          <w:ilvl w:val="0"/>
          <w:numId w:val="7"/>
        </w:numPr>
      </w:pPr>
      <w:r>
        <w:t xml:space="preserve">Primary horizon: daily + medium term; intraday as a separate later module.</w:t>
      </w:r>
    </w:p>
    <w:p>
      <w:pPr>
        <w:pStyle w:val="ListParagraph"/>
        <w:numPr>
          <w:ilvl w:val="0"/>
          <w:numId w:val="7"/>
        </w:numPr>
      </w:pPr>
      <w:r>
        <w:t xml:space="preserve">Institutional VRP and option-overlay frameworks act as benchmarks the ML system must beat.</w:t>
      </w:r>
    </w:p>
    <w:p>
      <w:pPr>
        <w:pStyle w:val="ListParagraph"/>
        <w:numPr>
          <w:ilvl w:val="0"/>
          <w:numId w:val="7"/>
        </w:numPr>
      </w:pPr>
      <w:r>
        <w:t xml:space="preserve">Planned next study: top 20 option strategies × top 20 ML models × features × DTE × delta × IV/RV × VIX regime × costs, tested walk-forward on Sharpe, Sortino, max drawdown, CVaR and probability of profit.</w:t>
      </w:r>
    </w:p>
    <w:p>
      <w:pPr>
        <w:pStyle w:val="Heading2"/>
      </w:pPr>
      <w:r>
        <w:t xml:space="preserve">Critical review</w:t>
      </w:r>
    </w:p>
    <w:p>
      <w:pPr/>
      <w:r>
        <w:t xml:space="preserve">The conversation's core logic is sound and matches mainstream quant practice, but its rankings are subjective, several numbers conflict internally, and many cited 2026 studies should be verified before they drive decisions.</w:t>
      </w:r>
    </w:p>
    <w:p>
      <w:pPr/>
      <w:r>
        <w:rPr>
          <w:b/>
        </w:rPr>
        <w:t xml:space="preserve">Strengths</w:t>
      </w:r>
    </w:p>
    <w:p>
      <w:pPr>
        <w:pStyle w:val="ListParagraph"/>
        <w:numPr>
          <w:ilvl w:val="0"/>
          <w:numId w:val="8"/>
        </w:numPr>
      </w:pPr>
      <w:r>
        <w:t xml:space="preserve">Puts after-cost, out-of-sample economics ahead of prediction accuracy — the right priority.</w:t>
      </w:r>
    </w:p>
    <w:p>
      <w:pPr>
        <w:pStyle w:val="ListParagraph"/>
        <w:numPr>
          <w:ilvl w:val="0"/>
          <w:numId w:val="8"/>
        </w:numPr>
      </w:pPr>
      <w:r>
        <w:t xml:space="preserve">Strong emphasis on leakage, walk-forward testing, crisis tests and calibration.</w:t>
      </w:r>
    </w:p>
    <w:p>
      <w:pPr>
        <w:pStyle w:val="ListParagraph"/>
        <w:numPr>
          <w:ilvl w:val="0"/>
          <w:numId w:val="8"/>
        </w:numPr>
      </w:pPr>
      <w:r>
        <w:t xml:space="preserve">Separating prediction, strategy selection, sizing, risk and execution is a defensible design.</w:t>
      </w:r>
    </w:p>
    <w:p>
      <w:pPr>
        <w:pStyle w:val="ListParagraph"/>
        <w:numPr>
          <w:ilvl w:val="0"/>
          <w:numId w:val="8"/>
        </w:numPr>
      </w:pPr>
      <w:r>
        <w:t xml:space="preserve">Keeps simple benchmarks (Elastic Net, institutional VRP) that complex models must beat.</w:t>
      </w:r>
    </w:p>
    <w:p>
      <w:pPr>
        <w:pStyle w:val="ListParagraph"/>
        <w:numPr>
          <w:ilvl w:val="0"/>
          <w:numId w:val="8"/>
        </w:numPr>
      </w:pPr>
      <w:r>
        <w:t xml:space="preserve">Cites peer-reviewed and institutional sources (RFS, Gu–Kelly–Xiu, AQR, BIS, IMF, Bank of England).</w:t>
      </w:r>
    </w:p>
    <w:p>
      <w:pPr/>
      <w:r>
        <w:rPr>
          <w:b/>
        </w:rPr>
        <w:t xml:space="preserve">Internal inconsistencies to resolve</w:t>
      </w:r>
    </w:p>
    <w:tbl>
      <w:tblPr>
        <w:tblStyle w:val="TableGrid"/>
        <w:tblW w:w="0" w:type="auto"/>
        <w:tblLayout w:type="fixed"/>
        <w:tblLook w:val="04A0" w:firstRow="1" w:lastRow="0" w:firstColumn="0" w:lastColumn="0" w:noHBand="0" w:noVBand="1"/>
      </w:tblPr>
      <w:tblGrid>
        <w:gridCol w:w="3887"/>
        <w:gridCol w:w="2697"/>
        <w:gridCol w:w="2776"/>
      </w:tblGrid>
      <w:tr>
        <w:trPr>
          <w:tblHeader/>
        </w:trPr>
        <w:tc>
          <w:tcPr>
            <w:tcW w:w="3887" w:type="dxa"/>
            <w:shd w:val="clear" w:color="auto" w:fill="F2F2F2"/>
          </w:tcPr>
          <w:p>
            <w:pPr/>
            <w:r>
              <w:t xml:space="preserve">Issue</w:t>
            </w:r>
          </w:p>
        </w:tc>
        <w:tc>
          <w:tcPr>
            <w:tcW w:w="2697" w:type="dxa"/>
            <w:shd w:val="clear" w:color="auto" w:fill="F2F2F2"/>
          </w:tcPr>
          <w:p>
            <w:pPr/>
            <w:r>
              <w:t xml:space="preserve">Where it appears</w:t>
            </w:r>
          </w:p>
        </w:tc>
        <w:tc>
          <w:tcPr>
            <w:tcW w:w="2776" w:type="dxa"/>
            <w:shd w:val="clear" w:color="auto" w:fill="F2F2F2"/>
          </w:tcPr>
          <w:p>
            <w:pPr/>
            <w:r>
              <w:t xml:space="preserve">Why it matters</w:t>
            </w:r>
          </w:p>
        </w:tc>
      </w:tr>
      <w:tr>
        <w:tc>
          <w:tcPr>
            <w:tcW w:w="3887" w:type="dxa"/>
          </w:tcPr>
          <w:p>
            <w:pPr/>
            <w:r>
              <w:t xml:space="preserve">Bi-LSTM called "best", yet its quoted MSE (4.65%) is worse than plain LSTM (4.35%) and ConvLSTM (4.44%)</w:t>
            </w:r>
          </w:p>
        </w:tc>
        <w:tc>
          <w:tcPr>
            <w:tcW w:w="2697" w:type="dxa"/>
          </w:tcPr>
          <w:p>
            <w:pPr/>
            <w:r>
              <w:t xml:space="preserve">Discussion 1, model #2</w:t>
            </w:r>
          </w:p>
        </w:tc>
        <w:tc>
          <w:tcPr>
            <w:tcW w:w="2776" w:type="dxa"/>
          </w:tcPr>
          <w:p>
            <w:pPr/>
            <w:r>
              <w:t xml:space="preserve">Either the figures or the claim is wrong; check the source paper</w:t>
            </w:r>
          </w:p>
        </w:tc>
      </w:tr>
      <w:tr>
        <w:tc>
          <w:tcPr>
            <w:tcW w:w="3887" w:type="dxa"/>
          </w:tcPr>
          <w:p>
            <w:pPr/>
            <w:r>
              <w:t xml:space="preserve">Model order shifts: Transformer #3 and RF #7 overall, but LightGBM #3 and RF #5 in the tiered list</w:t>
            </w:r>
          </w:p>
        </w:tc>
        <w:tc>
          <w:tcPr>
            <w:tcW w:w="2697" w:type="dxa"/>
          </w:tcPr>
          <w:p>
            <w:pPr/>
            <w:r>
              <w:t xml:space="preserve">Discussion 1</w:t>
            </w:r>
          </w:p>
        </w:tc>
        <w:tc>
          <w:tcPr>
            <w:tcW w:w="2776" w:type="dxa"/>
          </w:tcPr>
          <w:p>
            <w:pPr/>
            <w:r>
              <w:t xml:space="preserve">The ranking is opinion, not a stable result</w:t>
            </w:r>
          </w:p>
        </w:tc>
      </w:tr>
      <w:tr>
        <w:tc>
          <w:tcPr>
            <w:tcW w:w="3887" w:type="dxa"/>
          </w:tcPr>
          <w:p>
            <w:pPr/>
            <w:r>
              <w:t xml:space="preserve">Transformer marked green (suitable) for intraday in one table but 3/5 in the matrix</w:t>
            </w:r>
          </w:p>
        </w:tc>
        <w:tc>
          <w:tcPr>
            <w:tcW w:w="2697" w:type="dxa"/>
          </w:tcPr>
          <w:p>
            <w:pPr/>
            <w:r>
              <w:t xml:space="preserve">Discussion 2</w:t>
            </w:r>
          </w:p>
        </w:tc>
        <w:tc>
          <w:tcPr>
            <w:tcW w:w="2776" w:type="dxa"/>
          </w:tcPr>
          <w:p>
            <w:pPr/>
            <w:r>
              <w:t xml:space="preserve">Use the matrix; state the latency caveat</w:t>
            </w:r>
          </w:p>
        </w:tc>
      </w:tr>
      <w:tr>
        <w:tc>
          <w:tcPr>
            <w:tcW w:w="3887" w:type="dxa"/>
          </w:tcPr>
          <w:p>
            <w:pPr/>
            <w:r>
              <w:t xml:space="preserve">PPO is in the "top five to build", yet also "not the first model"</w:t>
            </w:r>
          </w:p>
        </w:tc>
        <w:tc>
          <w:tcPr>
            <w:tcW w:w="2697" w:type="dxa"/>
          </w:tcPr>
          <w:p>
            <w:pPr/>
            <w:r>
              <w:t xml:space="preserve">Discussions 1 and 3</w:t>
            </w:r>
          </w:p>
        </w:tc>
        <w:tc>
          <w:tcPr>
            <w:tcW w:w="2776" w:type="dxa"/>
          </w:tcPr>
          <w:p>
            <w:pPr/>
            <w:r>
              <w:t xml:space="preserve">Sequence it: build prediction and risk layers first, RL later</w:t>
            </w:r>
          </w:p>
        </w:tc>
      </w:tr>
      <w:tr>
        <w:tc>
          <w:tcPr>
            <w:tcW w:w="3887" w:type="dxa"/>
          </w:tcPr>
          <w:p>
            <w:pPr/>
            <w:r>
              <w:t xml:space="preserve">Nearly every model and framework scores 4–5 stars</w:t>
            </w:r>
          </w:p>
        </w:tc>
        <w:tc>
          <w:tcPr>
            <w:tcW w:w="2697" w:type="dxa"/>
          </w:tcPr>
          <w:p>
            <w:pPr/>
            <w:r>
              <w:t xml:space="preserve">All tables</w:t>
            </w:r>
          </w:p>
        </w:tc>
        <w:tc>
          <w:tcPr>
            <w:tcW w:w="2776" w:type="dxa"/>
          </w:tcPr>
          <w:p>
            <w:pPr/>
            <w:r>
              <w:t xml:space="preserve">Ratings do not discriminate; treat them as hypotheses to test</w:t>
            </w:r>
          </w:p>
        </w:tc>
      </w:tr>
      <w:tr>
        <w:tc>
          <w:tcPr>
            <w:tcW w:w="3887" w:type="dxa"/>
          </w:tcPr>
          <w:p>
            <w:pPr/>
            <w:r>
              <w:t xml:space="preserve">Success-factor scores (9.9 vs 9.8) imply false precision</w:t>
            </w:r>
          </w:p>
        </w:tc>
        <w:tc>
          <w:tcPr>
            <w:tcW w:w="2697" w:type="dxa"/>
          </w:tcPr>
          <w:p>
            <w:pPr/>
            <w:r>
              <w:t xml:space="preserve">Discussion 1b</w:t>
            </w:r>
          </w:p>
        </w:tc>
        <w:tc>
          <w:tcPr>
            <w:tcW w:w="2776" w:type="dxa"/>
          </w:tcPr>
          <w:p>
            <w:pPr/>
            <w:r>
              <w:t xml:space="preserve">Use tiers (critical / important / useful) instead</w:t>
            </w:r>
          </w:p>
        </w:tc>
      </w:tr>
    </w:tbl>
    <w:p>
      <w:pPr/>
      <w:r>
        <w:rPr>
          <w:b/>
        </w:rPr>
        <w:t xml:space="preserve">Claims that need verification</w:t>
      </w:r>
    </w:p>
    <w:p>
      <w:pPr>
        <w:pStyle w:val="ListParagraph"/>
        <w:numPr>
          <w:ilvl w:val="0"/>
          <w:numId w:val="9"/>
        </w:numPr>
      </w:pPr>
      <w:r>
        <w:t xml:space="preserve">Many cited items are 2026 papers, SSRN preprints or arXiv drafts; confirm each exists and says what is claimed before relying on it.</w:t>
      </w:r>
    </w:p>
    <w:p>
      <w:pPr>
        <w:pStyle w:val="ListParagraph"/>
        <w:numPr>
          <w:ilvl w:val="0"/>
          <w:numId w:val="9"/>
        </w:numPr>
      </w:pPr>
      <w:r>
        <w:t xml:space="preserve">Specific numbers to re-check: 18.2M minute-bar observations; LSTM R² ~53%; GNN ≥8.81% RMSE gain; 13% Federal Reserve IV RMSE reduction; RFS 12M+ observations study.</w:t>
      </w:r>
    </w:p>
    <w:p>
      <w:pPr>
        <w:pStyle w:val="ListParagraph"/>
        <w:numPr>
          <w:ilvl w:val="0"/>
          <w:numId w:val="9"/>
        </w:numPr>
      </w:pPr>
      <w:r>
        <w:t xml:space="preserve">Gu–Kelly–Xiu figures (Sharpe 0.77 vs 0.51; 1.35 long-short) come from US equities, not options; transfer to options is an assumption.</w:t>
      </w:r>
    </w:p>
    <w:p>
      <w:pPr>
        <w:pStyle w:val="ListParagraph"/>
        <w:numPr>
          <w:ilvl w:val="0"/>
          <w:numId w:val="9"/>
        </w:numPr>
      </w:pPr>
      <w:r>
        <w:t xml:space="preserve">The Sharpe/RMSE worked examples (e.g. Elastic Net 0.72 vs XGBoost 0.81) are illustrations, not results.</w:t>
      </w:r>
    </w:p>
    <w:p>
      <w:pPr/>
      <w:r>
        <w:rPr>
          <w:b/>
        </w:rPr>
        <w:t xml:space="preserve">Gaps not covered</w:t>
      </w:r>
    </w:p>
    <w:p>
      <w:pPr>
        <w:pStyle w:val="ListParagraph"/>
        <w:numPr>
          <w:ilvl w:val="0"/>
          <w:numId w:val="10"/>
        </w:numPr>
      </w:pPr>
      <w:r>
        <w:t xml:space="preserve">Data sourcing and cost: which vendor (e.g. OptionMetrics, ORATS, CBOE DataShop), history length, and budget.</w:t>
      </w:r>
    </w:p>
    <w:p>
      <w:pPr>
        <w:pStyle w:val="ListParagraph"/>
        <w:numPr>
          <w:ilvl w:val="0"/>
          <w:numId w:val="10"/>
        </w:numPr>
      </w:pPr>
      <w:r>
        <w:t xml:space="preserve">Compute and infrastructure plan, especially for Transformers, GNNs and RL.</w:t>
      </w:r>
    </w:p>
    <w:p>
      <w:pPr>
        <w:pStyle w:val="ListParagraph"/>
        <w:numPr>
          <w:ilvl w:val="0"/>
          <w:numId w:val="10"/>
        </w:numPr>
      </w:pPr>
      <w:r>
        <w:t xml:space="preserve">Statistical safeguards against multiple testing (e.g. deflated Sharpe, White's reality check) — critical for a 20 × 20 grid.</w:t>
      </w:r>
    </w:p>
    <w:p>
      <w:pPr>
        <w:pStyle w:val="ListParagraph"/>
        <w:numPr>
          <w:ilvl w:val="0"/>
          <w:numId w:val="10"/>
        </w:numPr>
      </w:pPr>
      <w:r>
        <w:t xml:space="preserve">Margin, capital requirements and early assignment for American-style options.</w:t>
      </w:r>
    </w:p>
    <w:p>
      <w:pPr>
        <w:pStyle w:val="ListParagraph"/>
        <w:numPr>
          <w:ilvl w:val="0"/>
          <w:numId w:val="10"/>
        </w:numPr>
      </w:pPr>
      <w:r>
        <w:t xml:space="preserve">Concrete regime definitions (thresholds for VIX, IV/RV, term structure).</w:t>
      </w:r>
    </w:p>
    <w:p>
      <w:pPr>
        <w:pStyle w:val="ListParagraph"/>
        <w:numPr>
          <w:ilvl w:val="0"/>
          <w:numId w:val="10"/>
        </w:numPr>
      </w:pPr>
      <w:r>
        <w:t xml:space="preserve">The earlier "top 20 option strategies" study is referenced but not included here.</w:t>
      </w:r>
    </w:p>
    <w:p>
      <w:pPr>
        <w:pStyle w:val="ListParagraph"/>
        <w:numPr>
          <w:ilvl w:val="0"/>
          <w:numId w:val="10"/>
        </w:numPr>
      </w:pPr>
      <w:r>
        <w:t xml:space="preserve">Nothing guarantees future profitability; ChatGPT itself notes no cited study proves a live strategy will stay profitable.</w:t>
      </w:r>
    </w:p>
    <w:p>
      <w:pPr>
        <w:pStyle w:val="Heading2"/>
      </w:pPr>
      <w:r>
        <w:t xml:space="preserve">Next steps</w:t>
      </w:r>
    </w:p>
    <w:p>
      <w:pPr/>
      <w:r>
        <w:t xml:space="preserve">Build the simplest version end to end first, then add complexity only where it beats the benchmark after costs.</w:t>
      </w:r>
    </w:p>
    <w:p>
      <w:pPr>
        <w:pStyle w:val="ListParagraph"/>
        <w:numPr>
          <w:ilvl w:val="0"/>
          <w:numId w:val="11"/>
        </w:numPr>
      </w:pPr>
      <w:r>
        <w:t xml:space="preserve">Verify the key papers and numbers flagged in the review.</w:t>
      </w:r>
    </w:p>
    <w:p>
      <w:pPr>
        <w:pStyle w:val="ListParagraph"/>
        <w:numPr>
          <w:ilvl w:val="0"/>
          <w:numId w:val="11"/>
        </w:numPr>
      </w:pPr>
      <w:r>
        <w:t xml:space="preserve">Bring in the "top 20 option strategies" study so the strategy × model grid can be defined.</w:t>
      </w:r>
    </w:p>
    <w:p>
      <w:pPr>
        <w:pStyle w:val="ListParagraph"/>
        <w:numPr>
          <w:ilvl w:val="0"/>
          <w:numId w:val="11"/>
        </w:numPr>
      </w:pPr>
      <w:r>
        <w:t xml:space="preserve">Choose a data vendor and lock the dataset: underlyings, date range, frequency, bid/ask quality.</w:t>
      </w:r>
    </w:p>
    <w:p>
      <w:pPr>
        <w:pStyle w:val="ListParagraph"/>
        <w:numPr>
          <w:ilvl w:val="0"/>
          <w:numId w:val="11"/>
        </w:numPr>
      </w:pPr>
      <w:r>
        <w:t xml:space="preserve">Define targets (IV change, RV, IV-RV, P(P&amp;L &gt; 0), expected P&amp;L) and write down regime thresholds.</w:t>
      </w:r>
    </w:p>
    <w:p>
      <w:pPr>
        <w:pStyle w:val="ListParagraph"/>
        <w:numPr>
          <w:ilvl w:val="0"/>
          <w:numId w:val="11"/>
        </w:numPr>
      </w:pPr>
      <w:r>
        <w:t xml:space="preserve">Build baselines: Elastic Net, institutional VRP rule, simple overlay.</w:t>
      </w:r>
    </w:p>
    <w:p>
      <w:pPr>
        <w:pStyle w:val="ListParagraph"/>
        <w:numPr>
          <w:ilvl w:val="0"/>
          <w:numId w:val="11"/>
        </w:numPr>
      </w:pPr>
      <w:r>
        <w:t xml:space="preserve">Add XGBoost/LightGBM, then LSTM; test walk-forward with realistic costs and the cost gate.</w:t>
      </w:r>
    </w:p>
    <w:p>
      <w:pPr>
        <w:pStyle w:val="ListParagraph"/>
        <w:numPr>
          <w:ilvl w:val="0"/>
          <w:numId w:val="11"/>
        </w:numPr>
      </w:pPr>
      <w:r>
        <w:t xml:space="preserve">Add regime engine and strategy selector; then Transformer/GNN; then RL for sizing and hedging.</w:t>
      </w:r>
    </w:p>
    <w:p>
      <w:pPr>
        <w:pStyle w:val="ListParagraph"/>
        <w:numPr>
          <w:ilvl w:val="0"/>
          <w:numId w:val="11"/>
        </w:numPr>
      </w:pPr>
      <w:r>
        <w:t xml:space="preserve">Apply multiple-testing corrections before calling any result an edge; paper-trade before any capital.</w:t>
      </w:r>
    </w:p>
    <w:p>
      <w:pPr>
        <w:pStyle w:val="Heading2"/>
      </w:pPr>
      <w:r>
        <w:t xml:space="preserve">Sources</w:t>
      </w:r>
    </w:p>
    <w:p>
      <w:pPr/>
      <w:r>
        <w:t xml:space="preserve">Source conversation: </w:t>
      </w:r>
      <w:hyperlink r:id="rId3" w:history="1">
        <w:r>
          <w:rPr>
            <w:rStyle w:val="Hyperlink"/>
          </w:rPr>
          <w:t xml:space="preserve">Project Option trading — shared ChatGPT chat</w:t>
        </w:r>
      </w:hyperlink>
      <w:r>
        <w:t xml:space="preserve">. The references below are those ChatGPT cited; they were not independently opened for this review.</w:t>
      </w:r>
    </w:p>
    <w:p>
      <w:pPr>
        <w:pStyle w:val="ListParagraph"/>
        <w:numPr>
          <w:ilvl w:val="0"/>
          <w:numId w:val="12"/>
        </w:numPr>
      </w:pPr>
      <w:r>
        <w:rPr>
          <w:b/>
        </w:rPr>
        <w:t xml:space="preserve">Option-specific ML:</w:t>
      </w:r>
      <w:r>
        <w:t xml:space="preserve"> Predicting option prices from their price history (Review of Derivatives Research, 2026); Option Return Predictability with Machine Learning and Big Data (Review of Financial Studies); Option pricing using Machine Learning (Expert Systems with Applications); Non-parametric option pricing before and during COVID-19; Forecasting implied volatilities of currency options with ML; GNN momentum spillover in option pricing (Journal of Futures Markets); CNN implied-volatility surface prediction; VAE option pricing on NIFTY50; Neural-SDE pricing and hedging; Gaussian-process and deep-kernel American option pricing; Learning sequential option hedging models (Journal of Banking &amp; Finance); Deep RL algorithms for option hedging; Hedging American puts with deep RL; When Lower Pricing Error Trades Worse (SSRN, 2026).</w:t>
      </w:r>
    </w:p>
    <w:p>
      <w:pPr>
        <w:pStyle w:val="ListParagraph"/>
        <w:numPr>
          <w:ilvl w:val="0"/>
          <w:numId w:val="12"/>
        </w:numPr>
      </w:pPr>
      <w:r>
        <w:rPr>
          <w:b/>
        </w:rPr>
        <w:t xml:space="preserve">General financial ML:</w:t>
      </w:r>
      <w:r>
        <w:t xml:space="preserve"> Gu, Kelly &amp; Xiu, Empirical Asset Pricing via Machine Learning (RFS / NBER / AQR); DNN, gradient-boosted trees and random forests for S&amp;P 500 statistical arbitrage; Transformers vs simple NNs for stock returns; ML stock-market volatility forecasting; Office of Financial Research 2026 forecasting benchmark; Federal Reserve July 2026 tree-based IV forecasting.</w:t>
      </w:r>
    </w:p>
    <w:p>
      <w:pPr>
        <w:pStyle w:val="ListParagraph"/>
        <w:numPr>
          <w:ilvl w:val="0"/>
          <w:numId w:val="12"/>
        </w:numPr>
      </w:pPr>
      <w:r>
        <w:rPr>
          <w:b/>
        </w:rPr>
        <w:t xml:space="preserve">Institutions:</w:t>
      </w:r>
      <w:r>
        <w:t xml:space="preserve"> Bank of England Financial Stability Report (July 2026); BIS papers on ML for market monitoring and the expected-shortfall framework; IMF Global Financial Stability Report 2026 and AI-in-markets papers; AQR on the volatility risk premium and buying options; BlackRock on options and overlays; Morgan Stanley / Parametric VRP and Global Balanced Income; Man Group risk premia; MSCI on nonlinear factor effects; CFA Institute on deep learning and trade execution.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hatgpt.com/share/6ab9de6d-b8d8-83e8-ba15-3bcb3b369f4a" TargetMode="External"/><Relationship Id="rId4"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Option Trading — ML Research Review &amp; Handoff</dc:title>
  <dc:description>Claude Docs node/30146479-7a0f@10 docx-w7</dc:description>
  <cp:revision>10</cp:revision>
</cp:coreProperties>
</file>