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Options Trading Research Conversation Handoff</w:t>
      </w:r>
    </w:p>
    <w:p>
      <w:pPr>
        <w:pStyle w:val="Subtitle"/>
      </w:pPr>
      <w:r>
        <w:t>Conversation record and research decisions | 27 September 2026</w:t>
      </w:r>
    </w:p>
    <w:p>
      <w:r>
        <w:t>This handoff consolidates the options trading framework discussion visible in the current conversation context. The available record begins partway through an earlier assistant response. It includes the later user request for horizon suitability and the assistant reply, but does not include the opening messages or a complete verbatim transcript. A conversation export is needed to append those missing messages exactly.</w:t>
      </w:r>
    </w:p>
    <w:p>
      <w:pPr>
        <w:pStyle w:val="Heading1"/>
      </w:pPr>
      <w:r>
        <w:t>Current direction</w:t>
      </w:r>
    </w:p>
    <w:p>
      <w:r>
        <w:t>The proposed research system combines an adaptive machine learning alpha engine, a regime based strategy selector, and a constrained decision engine. Institutional volatility risk premium and portfolio overlay approaches serve as benchmarks. The research target is sustainable net risk adjusted return after execution costs, subject to explicit portfolio and tail risk limits.</w:t>
      </w:r>
    </w:p>
    <w:p>
      <w:r>
        <w:t>Daily and medium term options trading were identified as the primary research horizons. Intraday trading would be a separate module because spreads, turnover, slippage, and latency can overwhelm a forecast edge.</w:t>
      </w:r>
    </w:p>
    <w:p>
      <w:pPr>
        <w:pStyle w:val="Heading1"/>
      </w:pPr>
      <w:r>
        <w:t>How the discussion developed</w:t>
      </w:r>
    </w:p>
    <w:tbl>
      <w:tblPr>
        <w:tblW w:type="auto" w:w="0"/>
        <w:jc w:val="center"/>
        <w:tblLayout w:type="fixed"/>
        <w:tblLook w:firstColumn="1" w:firstRow="1" w:lastColumn="0" w:lastRow="0" w:noHBand="0" w:noVBand="1" w:val="04A0"/>
      </w:tblPr>
      <w:tblGrid>
        <w:gridCol w:w="1987"/>
        <w:gridCol w:w="7992"/>
      </w:tblGrid>
      <w:tr>
        <w:tc>
          <w:tcPr>
            <w:tcW w:type="dxa" w:w="4997"/>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pPr>
            <w:r>
              <w:rPr>
                <w:rFonts w:ascii="Aptos" w:hAnsi="Aptos"/>
                <w:b/>
                <w:color w:val="FFFFFF"/>
                <w:sz w:val="16"/>
              </w:rPr>
              <w:t>Stage</w:t>
            </w:r>
          </w:p>
        </w:tc>
        <w:tc>
          <w:tcPr>
            <w:tcW w:type="dxa" w:w="4997"/>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pPr>
            <w:r>
              <w:rPr>
                <w:rFonts w:ascii="Aptos" w:hAnsi="Aptos"/>
                <w:b/>
                <w:color w:val="FFFFFF"/>
                <w:sz w:val="16"/>
              </w:rPr>
              <w:t>Visible discussion and outcome</w:t>
            </w:r>
          </w:p>
        </w:tc>
      </w:tr>
      <w:tr>
        <w:tc>
          <w:tcPr>
            <w:tcW w:type="dxa" w:w="1987"/>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Five frameworks</w:t>
            </w:r>
          </w:p>
        </w:tc>
        <w:tc>
          <w:tcPr>
            <w:tcW w:type="dxa" w:w="7992"/>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Adaptive ML relative value; ML regime switching; ML plus deep hedging or reinforcement learning; institutional volatility risk premium; institutional option overlay.</w:t>
            </w:r>
          </w:p>
        </w:tc>
      </w:tr>
      <w:tr>
        <w:tc>
          <w:tcPr>
            <w:tcW w:type="dxa" w:w="1987"/>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Combined architecture</w:t>
            </w:r>
          </w:p>
        </w:tc>
        <w:tc>
          <w:tcPr>
            <w:tcW w:type="dxa" w:w="7992"/>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Data and features feed multi target forecasts, regime detection, strategy selection, portfolio decisions, risk controls, execution costs, and walk forward validation.</w:t>
            </w:r>
          </w:p>
        </w:tc>
      </w:tr>
      <w:tr>
        <w:tc>
          <w:tcPr>
            <w:tcW w:type="dxa" w:w="1987"/>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Objective</w:t>
            </w:r>
          </w:p>
        </w:tc>
        <w:tc>
          <w:tcPr>
            <w:tcW w:type="dxa" w:w="7992"/>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Survival and limits first; then risk adjusted performance, net profitability, and capital or turnover efficiency. Forecast accuracy is a supporting measure.</w:t>
            </w:r>
          </w:p>
        </w:tc>
      </w:tr>
      <w:tr>
        <w:tc>
          <w:tcPr>
            <w:tcW w:type="dxa" w:w="1987"/>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User refinement</w:t>
            </w:r>
          </w:p>
        </w:tc>
        <w:tc>
          <w:tcPr>
            <w:tcW w:type="dxa" w:w="7992"/>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The user asked to add suitability for intraday, daily, medium term, and long term options trading to the comparison table.</w:t>
            </w:r>
          </w:p>
        </w:tc>
      </w:tr>
      <w:tr>
        <w:tc>
          <w:tcPr>
            <w:tcW w:type="dxa" w:w="1987"/>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Latest response</w:t>
            </w:r>
          </w:p>
        </w:tc>
        <w:tc>
          <w:tcPr>
            <w:tcW w:type="dxa" w:w="7992"/>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The assistant supplied horizon ratings and recommended daily and medium term as the initial research focus, with an independent intraday module.</w:t>
            </w:r>
          </w:p>
        </w:tc>
      </w:tr>
    </w:tbl>
    <w:p>
      <w:pPr>
        <w:spacing w:after="20"/>
      </w:pPr>
    </w:p>
    <w:p>
      <w:pPr>
        <w:pStyle w:val="Heading1"/>
      </w:pPr>
      <w:r>
        <w:t>Framework comparison</w:t>
      </w:r>
    </w:p>
    <w:p>
      <w:r>
        <w:t>The ratings below reproduce the direction and values of the latest visible comparison. They are qualitative judgments from the conversation, not measured backtest results.</w:t>
      </w:r>
    </w:p>
    <w:tbl>
      <w:tblPr>
        <w:tblW w:type="auto" w:w="0"/>
        <w:jc w:val="center"/>
        <w:tblLayout w:type="fixed"/>
        <w:tblLook w:firstColumn="1" w:firstRow="1" w:lastColumn="0" w:lastRow="0" w:noHBand="0" w:noVBand="1" w:val="04A0"/>
      </w:tblPr>
      <w:tblGrid>
        <w:gridCol w:w="1915"/>
        <w:gridCol w:w="1843"/>
        <w:gridCol w:w="835"/>
        <w:gridCol w:w="792"/>
        <w:gridCol w:w="936"/>
        <w:gridCol w:w="936"/>
        <w:gridCol w:w="1080"/>
        <w:gridCol w:w="893"/>
      </w:tblGrid>
      <w:tr>
        <w:tc>
          <w:tcPr>
            <w:tcW w:type="dxa" w:w="1249"/>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pPr>
            <w:r>
              <w:rPr>
                <w:rFonts w:ascii="Aptos" w:hAnsi="Aptos"/>
                <w:b/>
                <w:color w:val="FFFFFF"/>
                <w:sz w:val="16"/>
              </w:rPr>
              <w:t>Framework</w:t>
            </w:r>
          </w:p>
        </w:tc>
        <w:tc>
          <w:tcPr>
            <w:tcW w:type="dxa" w:w="1249"/>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jc w:val="center"/>
            </w:pPr>
            <w:r>
              <w:rPr>
                <w:rFonts w:ascii="Aptos" w:hAnsi="Aptos"/>
                <w:b/>
                <w:color w:val="FFFFFF"/>
                <w:sz w:val="16"/>
              </w:rPr>
              <w:t>Goal</w:t>
            </w:r>
          </w:p>
        </w:tc>
        <w:tc>
          <w:tcPr>
            <w:tcW w:type="dxa" w:w="1249"/>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jc w:val="center"/>
            </w:pPr>
            <w:r>
              <w:rPr>
                <w:rFonts w:ascii="Aptos" w:hAnsi="Aptos"/>
                <w:b/>
                <w:color w:val="FFFFFF"/>
                <w:sz w:val="16"/>
              </w:rPr>
              <w:t>Profit</w:t>
            </w:r>
          </w:p>
        </w:tc>
        <w:tc>
          <w:tcPr>
            <w:tcW w:type="dxa" w:w="1249"/>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jc w:val="center"/>
            </w:pPr>
            <w:r>
              <w:rPr>
                <w:rFonts w:ascii="Aptos" w:hAnsi="Aptos"/>
                <w:b/>
                <w:color w:val="FFFFFF"/>
                <w:sz w:val="16"/>
              </w:rPr>
              <w:t>Risk</w:t>
            </w:r>
          </w:p>
        </w:tc>
        <w:tc>
          <w:tcPr>
            <w:tcW w:type="dxa" w:w="1249"/>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jc w:val="center"/>
            </w:pPr>
            <w:r>
              <w:rPr>
                <w:rFonts w:ascii="Aptos" w:hAnsi="Aptos"/>
                <w:b/>
                <w:color w:val="FFFFFF"/>
                <w:sz w:val="16"/>
              </w:rPr>
              <w:t>Intra</w:t>
            </w:r>
          </w:p>
        </w:tc>
        <w:tc>
          <w:tcPr>
            <w:tcW w:type="dxa" w:w="1249"/>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jc w:val="center"/>
            </w:pPr>
            <w:r>
              <w:rPr>
                <w:rFonts w:ascii="Aptos" w:hAnsi="Aptos"/>
                <w:b/>
                <w:color w:val="FFFFFF"/>
                <w:sz w:val="16"/>
              </w:rPr>
              <w:t>Daily</w:t>
            </w:r>
          </w:p>
        </w:tc>
        <w:tc>
          <w:tcPr>
            <w:tcW w:type="dxa" w:w="1249"/>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jc w:val="center"/>
            </w:pPr>
            <w:r>
              <w:rPr>
                <w:rFonts w:ascii="Aptos" w:hAnsi="Aptos"/>
                <w:b/>
                <w:color w:val="FFFFFF"/>
                <w:sz w:val="16"/>
              </w:rPr>
              <w:t>Medium</w:t>
            </w:r>
          </w:p>
        </w:tc>
        <w:tc>
          <w:tcPr>
            <w:tcW w:type="dxa" w:w="1249"/>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jc w:val="center"/>
            </w:pPr>
            <w:r>
              <w:rPr>
                <w:rFonts w:ascii="Aptos" w:hAnsi="Aptos"/>
                <w:b/>
                <w:color w:val="FFFFFF"/>
                <w:sz w:val="16"/>
              </w:rPr>
              <w:t>Long</w:t>
            </w:r>
          </w:p>
        </w:tc>
      </w:tr>
      <w:tr>
        <w:tc>
          <w:tcPr>
            <w:tcW w:type="dxa" w:w="191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Adaptive ML</w:t>
            </w:r>
          </w:p>
        </w:tc>
        <w:tc>
          <w:tcPr>
            <w:tcW w:type="dxa" w:w="184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Net risk adjusted alpha</w:t>
            </w:r>
          </w:p>
        </w:tc>
        <w:tc>
          <w:tcPr>
            <w:tcW w:type="dxa" w:w="83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5</w:t>
            </w:r>
          </w:p>
        </w:tc>
        <w:tc>
          <w:tcPr>
            <w:tcW w:type="dxa" w:w="792"/>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4½</w:t>
            </w:r>
          </w:p>
        </w:tc>
        <w:tc>
          <w:tcPr>
            <w:tcW w:type="dxa" w:w="9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4½</w:t>
            </w:r>
          </w:p>
        </w:tc>
        <w:tc>
          <w:tcPr>
            <w:tcW w:type="dxa" w:w="9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5</w:t>
            </w:r>
          </w:p>
        </w:tc>
        <w:tc>
          <w:tcPr>
            <w:tcW w:type="dxa" w:w="1080"/>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5</w:t>
            </w:r>
          </w:p>
        </w:tc>
        <w:tc>
          <w:tcPr>
            <w:tcW w:type="dxa" w:w="89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4</w:t>
            </w:r>
          </w:p>
        </w:tc>
      </w:tr>
      <w:tr>
        <w:tc>
          <w:tcPr>
            <w:tcW w:type="dxa" w:w="191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Regime ML</w:t>
            </w:r>
          </w:p>
        </w:tc>
        <w:tc>
          <w:tcPr>
            <w:tcW w:type="dxa" w:w="184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Consistency across regimes</w:t>
            </w:r>
          </w:p>
        </w:tc>
        <w:tc>
          <w:tcPr>
            <w:tcW w:type="dxa" w:w="83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4½</w:t>
            </w:r>
          </w:p>
        </w:tc>
        <w:tc>
          <w:tcPr>
            <w:tcW w:type="dxa" w:w="792"/>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5</w:t>
            </w:r>
          </w:p>
        </w:tc>
        <w:tc>
          <w:tcPr>
            <w:tcW w:type="dxa" w:w="9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4½</w:t>
            </w:r>
          </w:p>
        </w:tc>
        <w:tc>
          <w:tcPr>
            <w:tcW w:type="dxa" w:w="9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5</w:t>
            </w:r>
          </w:p>
        </w:tc>
        <w:tc>
          <w:tcPr>
            <w:tcW w:type="dxa" w:w="1080"/>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5</w:t>
            </w:r>
          </w:p>
        </w:tc>
        <w:tc>
          <w:tcPr>
            <w:tcW w:type="dxa" w:w="89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5</w:t>
            </w:r>
          </w:p>
        </w:tc>
      </w:tr>
      <w:tr>
        <w:tc>
          <w:tcPr>
            <w:tcW w:type="dxa" w:w="191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ML plus RL</w:t>
            </w:r>
          </w:p>
        </w:tc>
        <w:tc>
          <w:tcPr>
            <w:tcW w:type="dxa" w:w="184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Dynamic decisions after costs</w:t>
            </w:r>
          </w:p>
        </w:tc>
        <w:tc>
          <w:tcPr>
            <w:tcW w:type="dxa" w:w="83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5</w:t>
            </w:r>
          </w:p>
        </w:tc>
        <w:tc>
          <w:tcPr>
            <w:tcW w:type="dxa" w:w="792"/>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5</w:t>
            </w:r>
          </w:p>
        </w:tc>
        <w:tc>
          <w:tcPr>
            <w:tcW w:type="dxa" w:w="9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4</w:t>
            </w:r>
          </w:p>
        </w:tc>
        <w:tc>
          <w:tcPr>
            <w:tcW w:type="dxa" w:w="9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5</w:t>
            </w:r>
          </w:p>
        </w:tc>
        <w:tc>
          <w:tcPr>
            <w:tcW w:type="dxa" w:w="1080"/>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5</w:t>
            </w:r>
          </w:p>
        </w:tc>
        <w:tc>
          <w:tcPr>
            <w:tcW w:type="dxa" w:w="89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4½</w:t>
            </w:r>
          </w:p>
        </w:tc>
      </w:tr>
      <w:tr>
        <w:tc>
          <w:tcPr>
            <w:tcW w:type="dxa" w:w="191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Institutional VRP</w:t>
            </w:r>
          </w:p>
        </w:tc>
        <w:tc>
          <w:tcPr>
            <w:tcW w:type="dxa" w:w="184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Risk targeted premium</w:t>
            </w:r>
          </w:p>
        </w:tc>
        <w:tc>
          <w:tcPr>
            <w:tcW w:type="dxa" w:w="83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4</w:t>
            </w:r>
          </w:p>
        </w:tc>
        <w:tc>
          <w:tcPr>
            <w:tcW w:type="dxa" w:w="792"/>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4½</w:t>
            </w:r>
          </w:p>
        </w:tc>
        <w:tc>
          <w:tcPr>
            <w:tcW w:type="dxa" w:w="9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3</w:t>
            </w:r>
          </w:p>
        </w:tc>
        <w:tc>
          <w:tcPr>
            <w:tcW w:type="dxa" w:w="9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4½</w:t>
            </w:r>
          </w:p>
        </w:tc>
        <w:tc>
          <w:tcPr>
            <w:tcW w:type="dxa" w:w="1080"/>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5</w:t>
            </w:r>
          </w:p>
        </w:tc>
        <w:tc>
          <w:tcPr>
            <w:tcW w:type="dxa" w:w="89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jc w:val="center"/>
            </w:pPr>
            <w:r>
              <w:rPr>
                <w:rFonts w:ascii="Aptos" w:hAnsi="Aptos"/>
                <w:sz w:val="16"/>
              </w:rPr>
              <w:t>5</w:t>
            </w:r>
          </w:p>
        </w:tc>
      </w:tr>
      <w:tr>
        <w:tc>
          <w:tcPr>
            <w:tcW w:type="dxa" w:w="191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Institutional overlay</w:t>
            </w:r>
          </w:p>
        </w:tc>
        <w:tc>
          <w:tcPr>
            <w:tcW w:type="dxa" w:w="184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Portfolio outcome</w:t>
            </w:r>
          </w:p>
        </w:tc>
        <w:tc>
          <w:tcPr>
            <w:tcW w:type="dxa" w:w="83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3</w:t>
            </w:r>
          </w:p>
        </w:tc>
        <w:tc>
          <w:tcPr>
            <w:tcW w:type="dxa" w:w="792"/>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5</w:t>
            </w:r>
          </w:p>
        </w:tc>
        <w:tc>
          <w:tcPr>
            <w:tcW w:type="dxa" w:w="9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2</w:t>
            </w:r>
          </w:p>
        </w:tc>
        <w:tc>
          <w:tcPr>
            <w:tcW w:type="dxa" w:w="9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4</w:t>
            </w:r>
          </w:p>
        </w:tc>
        <w:tc>
          <w:tcPr>
            <w:tcW w:type="dxa" w:w="1080"/>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4½</w:t>
            </w:r>
          </w:p>
        </w:tc>
        <w:tc>
          <w:tcPr>
            <w:tcW w:type="dxa" w:w="89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jc w:val="center"/>
            </w:pPr>
            <w:r>
              <w:rPr>
                <w:rFonts w:ascii="Aptos" w:hAnsi="Aptos"/>
                <w:sz w:val="16"/>
              </w:rPr>
              <w:t>5</w:t>
            </w:r>
          </w:p>
        </w:tc>
      </w:tr>
    </w:tbl>
    <w:p>
      <w:pPr>
        <w:spacing w:after="20"/>
      </w:pPr>
    </w:p>
    <w:p>
      <w:r>
        <w:t>Ratings use a five point scale. The conversation characterized the first three as complementary research components, and the latter two as institutional style comparators. No live profitability was established.</w:t>
      </w:r>
    </w:p>
    <w:p>
      <w:pPr>
        <w:pStyle w:val="Heading1"/>
      </w:pPr>
      <w:r>
        <w:t>Proposed system design</w:t>
      </w:r>
    </w:p>
    <w:p>
      <w:pPr>
        <w:pStyle w:val="Heading2"/>
      </w:pPr>
      <w:r>
        <w:t>Data and forecasts</w:t>
      </w:r>
    </w:p>
    <w:p>
      <w:pPr>
        <w:pStyle w:val="ListBullet"/>
        <w:spacing w:after="60"/>
      </w:pPr>
      <w:r>
        <w:t>Inputs: option chains and prices; underlying prices; implied volatility surface and term structure; realized volatility; VIX measures; rates and macro information; volume, open interest, liquidity, and event calendars.</w:t>
      </w:r>
    </w:p>
    <w:p>
      <w:pPr>
        <w:pStyle w:val="ListBullet"/>
        <w:spacing w:after="60"/>
      </w:pPr>
      <w:r>
        <w:t>State features: IV minus expected RV, IV percentile, skew, maturity and delta, Greeks, liquidity, and a market regime label.</w:t>
      </w:r>
    </w:p>
    <w:p>
      <w:pPr>
        <w:pStyle w:val="ListBullet"/>
        <w:spacing w:after="60"/>
      </w:pPr>
      <w:r>
        <w:t>Forecast targets: expected IV, expected RV, IV versus RV, option return, probability of profit, and tail loss. Candidate models included boosted trees, LSTM, Transformer, surface CNN or GNN, and an Elastic Net benchmark.</w:t>
      </w:r>
    </w:p>
    <w:p>
      <w:pPr>
        <w:pStyle w:val="Heading2"/>
      </w:pPr>
      <w:r>
        <w:t>Selection and management</w:t>
      </w:r>
    </w:p>
    <w:p>
      <w:pPr>
        <w:pStyle w:val="ListBullet"/>
        <w:spacing w:after="60"/>
      </w:pPr>
      <w:r>
        <w:t>The regime engine distinguishes low and high volatility, rising and falling realized volatility, bull and bear trends, crisis conditions, event risk, and liquidity stress.</w:t>
      </w:r>
    </w:p>
    <w:p>
      <w:pPr>
        <w:pStyle w:val="ListBullet"/>
        <w:spacing w:after="60"/>
      </w:pPr>
      <w:r>
        <w:t>The strategy selector considers spreads, straddles, strangles, calendars, verticals, volatility premium positions, and protective structures. It can choose no trade when expected edge does not clear costs.</w:t>
      </w:r>
    </w:p>
    <w:p>
      <w:pPr>
        <w:pStyle w:val="ListBullet"/>
        <w:spacing w:after="60"/>
      </w:pPr>
      <w:r>
        <w:t>A constrained optimizer or cost aware reinforcement learning policy would choose entry, size, hedge, rebalance, roll, and exit. The discussion explicitly treated RL as a later decision and risk tool rather than the initial alpha source.</w:t>
      </w:r>
    </w:p>
    <w:p>
      <w:pPr>
        <w:pStyle w:val="Heading2"/>
      </w:pPr>
      <w:r>
        <w:t>Risk and execution</w:t>
      </w:r>
    </w:p>
    <w:p>
      <w:r>
        <w:t>Portfolio controls named in the discussion include delta, gamma, vega, concentration, margin, liquidity, stress losses, expected shortfall or CVaR, and drawdown. Trade evaluation includes bid ask spread, slippage, commission, market impact, turnover, and, for intraday trading, latency. The decision rule is to trade only when estimated net edge clears a cost and uncertainty buffer.</w:t>
      </w:r>
    </w:p>
    <w:p>
      <w:pPr>
        <w:pStyle w:val="Heading1"/>
      </w:pPr>
      <w:r>
        <w:t>Research objective and evaluation</w:t>
      </w:r>
    </w:p>
    <w:tbl>
      <w:tblPr>
        <w:tblW w:type="auto" w:w="0"/>
        <w:jc w:val="center"/>
        <w:tblLayout w:type="fixed"/>
        <w:tblLook w:firstColumn="1" w:firstRow="1" w:lastColumn="0" w:lastRow="0" w:noHBand="0" w:noVBand="1" w:val="04A0"/>
      </w:tblPr>
      <w:tblGrid>
        <w:gridCol w:w="2275"/>
        <w:gridCol w:w="7704"/>
      </w:tblGrid>
      <w:tr>
        <w:tc>
          <w:tcPr>
            <w:tcW w:type="dxa" w:w="4997"/>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pPr>
            <w:r>
              <w:rPr>
                <w:rFonts w:ascii="Aptos" w:hAnsi="Aptos"/>
                <w:b/>
                <w:color w:val="FFFFFF"/>
                <w:sz w:val="16"/>
              </w:rPr>
              <w:t>Priority</w:t>
            </w:r>
          </w:p>
        </w:tc>
        <w:tc>
          <w:tcPr>
            <w:tcW w:type="dxa" w:w="4997"/>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pPr>
            <w:r>
              <w:rPr>
                <w:rFonts w:ascii="Aptos" w:hAnsi="Aptos"/>
                <w:b/>
                <w:color w:val="FFFFFF"/>
                <w:sz w:val="16"/>
              </w:rPr>
              <w:t>Measure or gate</w:t>
            </w:r>
          </w:p>
        </w:tc>
      </w:tr>
      <w:tr>
        <w:tc>
          <w:tcPr>
            <w:tcW w:type="dxa" w:w="227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1  Survival</w:t>
            </w:r>
          </w:p>
        </w:tc>
        <w:tc>
          <w:tcPr>
            <w:tcW w:type="dxa" w:w="7704"/>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Tail loss, stress loss, margin and a practical ruin constraint</w:t>
            </w:r>
          </w:p>
        </w:tc>
      </w:tr>
      <w:tr>
        <w:tc>
          <w:tcPr>
            <w:tcW w:type="dxa" w:w="227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2  Risk control</w:t>
            </w:r>
          </w:p>
        </w:tc>
        <w:tc>
          <w:tcPr>
            <w:tcW w:type="dxa" w:w="7704"/>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Drawdown, Greeks, concentration, liquidity and exposure limits</w:t>
            </w:r>
          </w:p>
        </w:tc>
      </w:tr>
      <w:tr>
        <w:tc>
          <w:tcPr>
            <w:tcW w:type="dxa" w:w="227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3  Risk adjusted return</w:t>
            </w:r>
          </w:p>
        </w:tc>
        <w:tc>
          <w:tcPr>
            <w:tcW w:type="dxa" w:w="7704"/>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Net Sharpe and Sortino, with sensitivity to tail outcomes</w:t>
            </w:r>
          </w:p>
        </w:tc>
      </w:tr>
      <w:tr>
        <w:tc>
          <w:tcPr>
            <w:tcW w:type="dxa" w:w="227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4  Profitability</w:t>
            </w:r>
          </w:p>
        </w:tc>
        <w:tc>
          <w:tcPr>
            <w:tcW w:type="dxa" w:w="7704"/>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Net P&amp;L or CAGR after all trading and hedging costs</w:t>
            </w:r>
          </w:p>
        </w:tc>
      </w:tr>
      <w:tr>
        <w:tc>
          <w:tcPr>
            <w:tcW w:type="dxa" w:w="227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5  Efficiency</w:t>
            </w:r>
          </w:p>
        </w:tc>
        <w:tc>
          <w:tcPr>
            <w:tcW w:type="dxa" w:w="7704"/>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Return per unit of capital, margin, turnover, and tail risk</w:t>
            </w:r>
          </w:p>
        </w:tc>
      </w:tr>
      <w:tr>
        <w:tc>
          <w:tcPr>
            <w:tcW w:type="dxa" w:w="2275"/>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6  Model diagnostics</w:t>
            </w:r>
          </w:p>
        </w:tc>
        <w:tc>
          <w:tcPr>
            <w:tcW w:type="dxa" w:w="7704"/>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RMSE, MAE, classification metrics and calibration</w:t>
            </w:r>
          </w:p>
        </w:tc>
      </w:tr>
    </w:tbl>
    <w:p>
      <w:pPr>
        <w:spacing w:after="20"/>
      </w:pPr>
    </w:p>
    <w:p>
      <w:r>
        <w:t>The discussed validation approach is chronological walk forward testing with purging and embargo where labels overlap, representative market regimes, realistic executable prices, and both strategy and portfolio level outcomes. The important comparison is whether complex models add net value relative to simple rules and institutional style benchmarks.</w:t>
      </w:r>
    </w:p>
    <w:p>
      <w:pPr>
        <w:pStyle w:val="Heading1"/>
      </w:pPr>
      <w:r>
        <w:t>Horizon interpretation</w:t>
      </w:r>
    </w:p>
    <w:tbl>
      <w:tblPr>
        <w:tblW w:type="auto" w:w="0"/>
        <w:jc w:val="center"/>
        <w:tblLayout w:type="fixed"/>
        <w:tblLook w:firstColumn="1" w:firstRow="1" w:lastColumn="0" w:lastRow="0" w:noHBand="0" w:noVBand="1" w:val="04A0"/>
      </w:tblPr>
      <w:tblGrid>
        <w:gridCol w:w="1843"/>
        <w:gridCol w:w="8136"/>
      </w:tblGrid>
      <w:tr>
        <w:tc>
          <w:tcPr>
            <w:tcW w:type="dxa" w:w="4997"/>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pPr>
            <w:r>
              <w:rPr>
                <w:rFonts w:ascii="Aptos" w:hAnsi="Aptos"/>
                <w:b/>
                <w:color w:val="FFFFFF"/>
                <w:sz w:val="16"/>
              </w:rPr>
              <w:t>Horizon</w:t>
            </w:r>
          </w:p>
        </w:tc>
        <w:tc>
          <w:tcPr>
            <w:tcW w:type="dxa" w:w="4997"/>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203B5A"/>
            <w:tblHeader/>
          </w:tcPr>
          <w:p>
            <w:pPr>
              <w:spacing w:after="0" w:line="259" w:lineRule="auto"/>
            </w:pPr>
            <w:r>
              <w:rPr>
                <w:rFonts w:ascii="Aptos" w:hAnsi="Aptos"/>
                <w:b/>
                <w:color w:val="FFFFFF"/>
                <w:sz w:val="16"/>
              </w:rPr>
              <w:t>Discussion outcome</w:t>
            </w:r>
          </w:p>
        </w:tc>
      </w:tr>
      <w:tr>
        <w:tc>
          <w:tcPr>
            <w:tcW w:type="dxa" w:w="184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Intraday</w:t>
            </w:r>
          </w:p>
        </w:tc>
        <w:tc>
          <w:tcPr>
            <w:tcW w:type="dxa" w:w="81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Adaptive ML and regime switching received the highest qualitative fit, but execution quality, costs, and latency are decisive. A large Transformer was not recommended as the default centerpiece.</w:t>
            </w:r>
          </w:p>
        </w:tc>
      </w:tr>
      <w:tr>
        <w:tc>
          <w:tcPr>
            <w:tcW w:type="dxa" w:w="184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Daily</w:t>
            </w:r>
          </w:p>
        </w:tc>
        <w:tc>
          <w:tcPr>
            <w:tcW w:type="dxa" w:w="81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All three ML based components were rated highly. The assistant favored daily trading for the adaptive ML framework because it offers more observations with less microstructure noise than intraday.</w:t>
            </w:r>
          </w:p>
        </w:tc>
      </w:tr>
      <w:tr>
        <w:tc>
          <w:tcPr>
            <w:tcW w:type="dxa" w:w="184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Medium term</w:t>
            </w:r>
          </w:p>
        </w:tc>
        <w:tc>
          <w:tcPr>
            <w:tcW w:type="dxa" w:w="81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tcPr>
          <w:p>
            <w:pPr>
              <w:spacing w:after="0" w:line="259" w:lineRule="auto"/>
            </w:pPr>
            <w:r>
              <w:rPr>
                <w:rFonts w:ascii="Aptos" w:hAnsi="Aptos"/>
                <w:sz w:val="16"/>
              </w:rPr>
              <w:t>Approximately one week to three months in the latest response. Regime ML ranked first, followed by adaptive ML and ML plus RL. Term structure, skew, events, and volatility premium were emphasized.</w:t>
            </w:r>
          </w:p>
        </w:tc>
      </w:tr>
      <w:tr>
        <w:tc>
          <w:tcPr>
            <w:tcW w:type="dxa" w:w="1843"/>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Long term</w:t>
            </w:r>
          </w:p>
        </w:tc>
        <w:tc>
          <w:tcPr>
            <w:tcW w:type="dxa" w:w="8136"/>
            <w:tcBorders>
              <w:top w:val="single" w:sz="4" w:color="D9D9D9"/>
              <w:left w:val="single" w:sz="4" w:color="D9D9D9"/>
              <w:bottom w:val="single" w:sz="4" w:color="D9D9D9"/>
              <w:right w:val="single" w:sz="4" w:color="D9D9D9"/>
            </w:tcBorders>
            <w:tcMar>
              <w:top w:w="80" w:type="dxa"/>
              <w:start w:w="90" w:type="dxa"/>
              <w:bottom w:w="80" w:type="dxa"/>
              <w:end w:w="90" w:type="dxa"/>
            </w:tcMar>
            <w:vAlign w:val="center"/>
            <w:shd w:fill="F2F6FA"/>
          </w:tcPr>
          <w:p>
            <w:pPr>
              <w:spacing w:after="0" w:line="259" w:lineRule="auto"/>
            </w:pPr>
            <w:r>
              <w:rPr>
                <w:rFonts w:ascii="Aptos" w:hAnsi="Aptos"/>
                <w:sz w:val="16"/>
              </w:rPr>
              <w:t>Approximately three months to a year or more in the latest response. Regime ML, institutional VRP, and portfolio overlay were rated five of five; structural premia and portfolio outcomes were given more weight.</w:t>
            </w:r>
          </w:p>
        </w:tc>
      </w:tr>
    </w:tbl>
    <w:p>
      <w:pPr>
        <w:spacing w:after="20"/>
      </w:pPr>
    </w:p>
    <w:p>
      <w:pPr>
        <w:pStyle w:val="Heading1"/>
      </w:pPr>
      <w:r>
        <w:t>Concrete next research steps</w:t>
      </w:r>
    </w:p>
    <w:p>
      <w:pPr>
        <w:pStyle w:val="ListBullet"/>
        <w:spacing w:after="60"/>
      </w:pPr>
      <w:r>
        <w:t>Define the tradable universe, option expiries, horizons, capital basis, allowable structures, position limits, and benchmark portfolio before evaluating any model.</w:t>
      </w:r>
    </w:p>
    <w:p>
      <w:pPr>
        <w:pStyle w:val="ListBullet"/>
        <w:spacing w:after="60"/>
      </w:pPr>
      <w:r>
        <w:t>Build a point in time data set with quote quality checks and an executable cost model. Avoid using information unavailable at decision time.</w:t>
      </w:r>
    </w:p>
    <w:p>
      <w:pPr>
        <w:pStyle w:val="ListBullet"/>
        <w:spacing w:after="60"/>
      </w:pPr>
      <w:r>
        <w:t>Establish simple baselines first: no trade, rules based VRP, portfolio overlay, and a linear or tree based forecast. Compare each on net portfolio outcomes.</w:t>
      </w:r>
    </w:p>
    <w:p>
      <w:pPr>
        <w:pStyle w:val="ListBullet"/>
        <w:spacing w:after="60"/>
      </w:pPr>
      <w:r>
        <w:t>Introduce regime selection and richer forecast models only after the baselines pass walk forward validation. Evaluate RL after a faithful simulator and constraints exist.</w:t>
      </w:r>
    </w:p>
    <w:p>
      <w:pPr>
        <w:pStyle w:val="ListBullet"/>
        <w:spacing w:after="60"/>
      </w:pPr>
      <w:r>
        <w:t>Predefine stress scenarios and acceptance thresholds for tail loss, drawdown, turnover, and capital use. Report failures as well as favorable periods.</w:t>
      </w:r>
    </w:p>
    <w:p>
      <w:pPr>
        <w:pStyle w:val="Heading1"/>
      </w:pPr>
      <w:r>
        <w:t>References mentioned in the visible discussion</w:t>
      </w:r>
    </w:p>
    <w:p>
      <w:r>
        <w:t>These are sources cited in the earlier responses. Their claims and links have not been rechecked as part of this handoff.</w:t>
      </w:r>
    </w:p>
    <w:p>
      <w:pPr>
        <w:pStyle w:val="ListBullet"/>
        <w:spacing w:after="60"/>
      </w:pPr>
      <w:r>
        <w:t xml:space="preserve">Option Return Predictability with Machine Learning and Big Data  </w:t>
      </w:r>
      <w:r>
        <w:rPr>
          <w:sz w:val="16"/>
        </w:rPr>
        <w:t>https://academic.oup.com/rfs/article/36/9/3548/7056660</w:t>
      </w:r>
    </w:p>
    <w:p>
      <w:pPr>
        <w:pStyle w:val="ListBullet"/>
        <w:spacing w:after="60"/>
      </w:pPr>
      <w:r>
        <w:t xml:space="preserve">Understanding the Volatility Risk Premium  </w:t>
      </w:r>
      <w:r>
        <w:rPr>
          <w:sz w:val="16"/>
        </w:rPr>
        <w:t>https://www.aqr.com/Insights/Research/White-Papers/Understanding-the-Volatility-Risk-Premium</w:t>
      </w:r>
    </w:p>
    <w:p>
      <w:pPr>
        <w:pStyle w:val="ListBullet"/>
        <w:spacing w:after="60"/>
      </w:pPr>
      <w:r>
        <w:t xml:space="preserve">Being Right Is Not Enough  </w:t>
      </w:r>
      <w:r>
        <w:rPr>
          <w:sz w:val="16"/>
        </w:rPr>
        <w:t>https://www.aqr.com/insights/research/working-paper/being-right-is-not-enough-buying-options-to-bet-on-higher-realized-volatility</w:t>
      </w:r>
    </w:p>
    <w:p>
      <w:pPr>
        <w:pStyle w:val="ListBullet"/>
        <w:spacing w:after="60"/>
      </w:pPr>
      <w:r>
        <w:t xml:space="preserve">BlackRock options overview  </w:t>
      </w:r>
      <w:r>
        <w:rPr>
          <w:sz w:val="16"/>
        </w:rPr>
        <w:t>https://www.blackrock.com/us/financial-professionals/insights/learn-about-options</w:t>
      </w:r>
    </w:p>
    <w:p>
      <w:pPr>
        <w:pStyle w:val="ListBullet"/>
        <w:spacing w:after="60"/>
      </w:pPr>
      <w:r>
        <w:t xml:space="preserve">BlackRock option overlays  </w:t>
      </w:r>
      <w:r>
        <w:rPr>
          <w:sz w:val="16"/>
        </w:rPr>
        <w:t>https://www.blackrock.com/us/financial-professionals/investments/products/managed-accounts/option-overlays</w:t>
      </w:r>
    </w:p>
    <w:p>
      <w:pPr>
        <w:pStyle w:val="ListBullet"/>
        <w:spacing w:after="60"/>
      </w:pPr>
      <w:r>
        <w:t xml:space="preserve">BIS market risk framework  </w:t>
      </w:r>
      <w:r>
        <w:rPr>
          <w:sz w:val="16"/>
        </w:rPr>
        <w:t>https://www.bis.org/committees/bcbs/basel-framework/standard/mar/33/inforce/2023-01-01/published/2020-06-05</w:t>
      </w:r>
    </w:p>
    <w:p>
      <w:pPr>
        <w:pStyle w:val="ListBullet"/>
        <w:spacing w:after="60"/>
      </w:pPr>
      <w:r>
        <w:t xml:space="preserve">CFA Institute deep learning chapter  </w:t>
      </w:r>
      <w:r>
        <w:rPr>
          <w:sz w:val="16"/>
        </w:rPr>
        <w:t>https://rpc.cfainstitute.org/research/foundation/2025/chapter-5-deep-learning</w:t>
      </w:r>
    </w:p>
    <w:p>
      <w:pPr>
        <w:pStyle w:val="ListBullet"/>
        <w:spacing w:after="60"/>
      </w:pPr>
      <w:r>
        <w:t xml:space="preserve">Federal Reserve heterogeneous IV forecasting  </w:t>
      </w:r>
      <w:r>
        <w:rPr>
          <w:sz w:val="16"/>
        </w:rPr>
        <w:t>https://www.federalreserve.gov/econres/feds/capturing-heterogeneity-machine-learning-approaches-to-implied-volatility-forecasting.htm</w:t>
      </w:r>
    </w:p>
    <w:p>
      <w:pPr>
        <w:pStyle w:val="Heading1"/>
      </w:pPr>
      <w:r>
        <w:t>Transcript coverage</w:t>
      </w:r>
    </w:p>
    <w:p>
      <w:r>
        <w:t>The supplied context contains a long assistant response beginning midstream with option trading targets and continuing through framework design, risk objectives, literature links, and a combined architecture. It then contains one complete user message asking for horizon suitability columns and the complete assistant answer to that request. It does not expose the conversation opening, earlier user prompts, or any intervening turns omitted by the context window. This document is therefore a content handoff, not a complete transcript from the beginning.</w:t>
      </w:r>
    </w:p>
    <w:p>
      <w:r>
        <w:t>Most recent visible user request: “add to that table another column for suitability to intraday/daily/medium term/and long term option trading”</w:t>
      </w:r>
    </w:p>
    <w:p>
      <w:r>
        <w:t>Most recent assistant answer: an updated five framework table with four horizon columns, horizon specific rankings and interpretations, a functional comparison, and the recommendation to focus first on daily and medium term trading. Its main conclusion was “Maximum sustainable NET risk-adjusted return” subject to predefined CVaR, drawdown, Greeks, turnover, liquidity, and margin limits.</w:t>
      </w:r>
    </w:p>
    <w:p>
      <w:r>
        <w:t>To make a verbatim archive, append a ChatGPT conversation export or pasted messages in chronological order. Preserve each speaker, timestamp if available, original wording, equations, tables, and links. The handoff above can then remain as the front section.</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E"/>
        <w:sz w:val="16"/>
      </w:rPr>
      <w:t>Options trading research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328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val="0"/>
      <w:iCs/>
      <w:color w:val="3C444C"/>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