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C4AEDC" w14:textId="2211CF34" w:rsidR="009E796B" w:rsidRPr="00105DBB" w:rsidRDefault="0009419B" w:rsidP="00500F9F">
      <w:pPr>
        <w:spacing w:line="276" w:lineRule="auto"/>
        <w:jc w:val="center"/>
        <w:rPr>
          <w:rFonts w:asciiTheme="majorBidi" w:hAnsiTheme="majorBidi" w:cstheme="majorBidi"/>
          <w:b/>
          <w:bCs/>
          <w:sz w:val="24"/>
          <w:szCs w:val="24"/>
        </w:rPr>
      </w:pPr>
      <w:r w:rsidRPr="00105DBB">
        <w:rPr>
          <w:rFonts w:asciiTheme="majorBidi" w:hAnsiTheme="majorBidi" w:cstheme="majorBidi"/>
          <w:b/>
          <w:bCs/>
          <w:sz w:val="24"/>
          <w:szCs w:val="24"/>
        </w:rPr>
        <w:t>Anxiety, Depression and Resilience among University Staff in Herat, Afghanistan – 2021</w:t>
      </w:r>
    </w:p>
    <w:p w14:paraId="7AA36F59" w14:textId="029DEB54" w:rsidR="0009419B" w:rsidRPr="00DD635D" w:rsidRDefault="009D2997" w:rsidP="0021266E">
      <w:pPr>
        <w:spacing w:after="0" w:line="276" w:lineRule="auto"/>
        <w:jc w:val="center"/>
        <w:rPr>
          <w:rFonts w:asciiTheme="majorBidi" w:hAnsiTheme="majorBidi" w:cstheme="majorBidi"/>
          <w:sz w:val="21"/>
          <w:szCs w:val="21"/>
          <w:vertAlign w:val="superscript"/>
        </w:rPr>
      </w:pPr>
      <w:r w:rsidRPr="00DD635D">
        <w:rPr>
          <w:rFonts w:asciiTheme="majorBidi" w:hAnsiTheme="majorBidi" w:cstheme="majorBidi"/>
          <w:sz w:val="21"/>
          <w:szCs w:val="21"/>
        </w:rPr>
        <w:t>Rahim Bakhsh FAQIRYAR</w:t>
      </w:r>
      <w:r w:rsidR="00223408" w:rsidRPr="00DD635D">
        <w:rPr>
          <w:rFonts w:asciiTheme="majorBidi" w:hAnsiTheme="majorBidi" w:cstheme="majorBidi"/>
          <w:sz w:val="21"/>
          <w:szCs w:val="21"/>
          <w:vertAlign w:val="superscript"/>
        </w:rPr>
        <w:t>1</w:t>
      </w:r>
      <w:r w:rsidRPr="00DD635D">
        <w:rPr>
          <w:rFonts w:asciiTheme="majorBidi" w:hAnsiTheme="majorBidi" w:cstheme="majorBidi"/>
          <w:sz w:val="21"/>
          <w:szCs w:val="21"/>
        </w:rPr>
        <w:t>, Moham</w:t>
      </w:r>
      <w:r w:rsidR="00FA60D1" w:rsidRPr="00DD635D">
        <w:rPr>
          <w:rFonts w:asciiTheme="majorBidi" w:hAnsiTheme="majorBidi" w:cstheme="majorBidi"/>
          <w:sz w:val="21"/>
          <w:szCs w:val="21"/>
        </w:rPr>
        <w:t>mad Hakim NIAZMAND</w:t>
      </w:r>
      <w:r w:rsidR="00223408" w:rsidRPr="00DD635D">
        <w:rPr>
          <w:rFonts w:asciiTheme="majorBidi" w:hAnsiTheme="majorBidi" w:cstheme="majorBidi"/>
          <w:sz w:val="21"/>
          <w:szCs w:val="21"/>
          <w:vertAlign w:val="superscript"/>
        </w:rPr>
        <w:t>2</w:t>
      </w:r>
      <w:r w:rsidR="00E14968" w:rsidRPr="00DD635D">
        <w:rPr>
          <w:rFonts w:asciiTheme="majorBidi" w:hAnsiTheme="majorBidi" w:cstheme="majorBidi"/>
          <w:sz w:val="21"/>
          <w:szCs w:val="21"/>
        </w:rPr>
        <w:t>, Hele</w:t>
      </w:r>
      <w:r w:rsidR="00FA60D1" w:rsidRPr="00DD635D">
        <w:rPr>
          <w:rFonts w:asciiTheme="majorBidi" w:hAnsiTheme="majorBidi" w:cstheme="majorBidi"/>
          <w:sz w:val="21"/>
          <w:szCs w:val="21"/>
        </w:rPr>
        <w:t>na HANIF</w:t>
      </w:r>
      <w:r w:rsidR="00223408" w:rsidRPr="00DD635D">
        <w:rPr>
          <w:rFonts w:asciiTheme="majorBidi" w:hAnsiTheme="majorBidi" w:cstheme="majorBidi"/>
          <w:sz w:val="21"/>
          <w:szCs w:val="21"/>
          <w:vertAlign w:val="superscript"/>
        </w:rPr>
        <w:t>1</w:t>
      </w:r>
      <w:r w:rsidR="00FA60D1" w:rsidRPr="00DD635D">
        <w:rPr>
          <w:rFonts w:asciiTheme="majorBidi" w:hAnsiTheme="majorBidi" w:cstheme="majorBidi"/>
          <w:sz w:val="21"/>
          <w:szCs w:val="21"/>
        </w:rPr>
        <w:t>, Abdul Fattah NAJM</w:t>
      </w:r>
      <w:r w:rsidR="00223408" w:rsidRPr="00DD635D">
        <w:rPr>
          <w:rFonts w:asciiTheme="majorBidi" w:hAnsiTheme="majorBidi" w:cstheme="majorBidi"/>
          <w:sz w:val="21"/>
          <w:szCs w:val="21"/>
          <w:vertAlign w:val="superscript"/>
        </w:rPr>
        <w:t>3</w:t>
      </w:r>
      <w:r w:rsidR="00FA60D1" w:rsidRPr="00DD635D">
        <w:rPr>
          <w:rFonts w:asciiTheme="majorBidi" w:hAnsiTheme="majorBidi" w:cstheme="majorBidi"/>
          <w:sz w:val="21"/>
          <w:szCs w:val="21"/>
        </w:rPr>
        <w:t>, Aziz-ur-Rahman NIAZI</w:t>
      </w:r>
      <w:r w:rsidR="00223408" w:rsidRPr="00DD635D">
        <w:rPr>
          <w:rFonts w:asciiTheme="majorBidi" w:hAnsiTheme="majorBidi" w:cstheme="majorBidi"/>
          <w:sz w:val="21"/>
          <w:szCs w:val="21"/>
          <w:vertAlign w:val="superscript"/>
        </w:rPr>
        <w:t>4</w:t>
      </w:r>
    </w:p>
    <w:p w14:paraId="4E4EE9EA" w14:textId="2BE12026" w:rsidR="00223408" w:rsidRPr="007F7656" w:rsidRDefault="00223408" w:rsidP="00DD635D">
      <w:pPr>
        <w:spacing w:after="0" w:line="276" w:lineRule="auto"/>
        <w:jc w:val="center"/>
        <w:rPr>
          <w:rFonts w:asciiTheme="majorBidi" w:hAnsiTheme="majorBidi" w:cstheme="majorBidi"/>
          <w:i/>
          <w:iCs/>
          <w:sz w:val="21"/>
          <w:szCs w:val="21"/>
        </w:rPr>
      </w:pPr>
      <w:r w:rsidRPr="007F7656">
        <w:rPr>
          <w:rFonts w:asciiTheme="majorBidi" w:hAnsiTheme="majorBidi" w:cstheme="majorBidi"/>
          <w:i/>
          <w:iCs/>
          <w:sz w:val="21"/>
          <w:szCs w:val="21"/>
          <w:vertAlign w:val="superscript"/>
        </w:rPr>
        <w:t>1</w:t>
      </w:r>
      <w:r w:rsidRPr="007F7656">
        <w:rPr>
          <w:rFonts w:asciiTheme="majorBidi" w:hAnsiTheme="majorBidi" w:cstheme="majorBidi"/>
          <w:i/>
          <w:iCs/>
          <w:sz w:val="21"/>
          <w:szCs w:val="21"/>
        </w:rPr>
        <w:t xml:space="preserve"> Faculty of Education, Herat University, Herat, Afghanistan</w:t>
      </w:r>
    </w:p>
    <w:p w14:paraId="71B38EA6" w14:textId="769B2858" w:rsidR="00223408" w:rsidRPr="007F7656" w:rsidRDefault="00223408" w:rsidP="00DD635D">
      <w:pPr>
        <w:spacing w:after="0" w:line="276" w:lineRule="auto"/>
        <w:jc w:val="center"/>
        <w:rPr>
          <w:rFonts w:asciiTheme="majorBidi" w:hAnsiTheme="majorBidi" w:cstheme="majorBidi"/>
          <w:i/>
          <w:iCs/>
          <w:sz w:val="21"/>
          <w:szCs w:val="21"/>
        </w:rPr>
      </w:pPr>
      <w:r w:rsidRPr="007F7656">
        <w:rPr>
          <w:rFonts w:asciiTheme="majorBidi" w:hAnsiTheme="majorBidi" w:cstheme="majorBidi"/>
          <w:i/>
          <w:iCs/>
          <w:sz w:val="21"/>
          <w:szCs w:val="21"/>
          <w:vertAlign w:val="superscript"/>
        </w:rPr>
        <w:t>2</w:t>
      </w:r>
      <w:r w:rsidRPr="007F7656">
        <w:rPr>
          <w:rFonts w:asciiTheme="majorBidi" w:hAnsiTheme="majorBidi" w:cstheme="majorBidi"/>
          <w:i/>
          <w:iCs/>
          <w:sz w:val="21"/>
          <w:szCs w:val="21"/>
        </w:rPr>
        <w:t xml:space="preserve"> Faculty of Veterinary Sciences, Herat University, Herat, Afghanistan</w:t>
      </w:r>
    </w:p>
    <w:p w14:paraId="3967B04E" w14:textId="371E9559" w:rsidR="00223408" w:rsidRPr="007F7656" w:rsidRDefault="00223408" w:rsidP="00DD635D">
      <w:pPr>
        <w:spacing w:after="0" w:line="276" w:lineRule="auto"/>
        <w:jc w:val="center"/>
        <w:rPr>
          <w:rFonts w:asciiTheme="majorBidi" w:hAnsiTheme="majorBidi" w:cstheme="majorBidi"/>
          <w:i/>
          <w:iCs/>
          <w:sz w:val="21"/>
          <w:szCs w:val="21"/>
        </w:rPr>
      </w:pPr>
      <w:r w:rsidRPr="007F7656">
        <w:rPr>
          <w:rFonts w:asciiTheme="majorBidi" w:hAnsiTheme="majorBidi" w:cstheme="majorBidi"/>
          <w:i/>
          <w:iCs/>
          <w:sz w:val="21"/>
          <w:szCs w:val="21"/>
          <w:vertAlign w:val="superscript"/>
        </w:rPr>
        <w:t>3</w:t>
      </w:r>
      <w:r w:rsidRPr="007F7656">
        <w:rPr>
          <w:rFonts w:asciiTheme="majorBidi" w:hAnsiTheme="majorBidi" w:cstheme="majorBidi"/>
          <w:i/>
          <w:iCs/>
          <w:sz w:val="21"/>
          <w:szCs w:val="21"/>
        </w:rPr>
        <w:t xml:space="preserve"> International Assistance Mission, Herat Office</w:t>
      </w:r>
    </w:p>
    <w:p w14:paraId="2B543753" w14:textId="61C589F5" w:rsidR="00223408" w:rsidRPr="007F7656" w:rsidRDefault="00223408" w:rsidP="00DD635D">
      <w:pPr>
        <w:spacing w:after="0" w:line="276" w:lineRule="auto"/>
        <w:jc w:val="center"/>
        <w:rPr>
          <w:rFonts w:asciiTheme="majorBidi" w:hAnsiTheme="majorBidi" w:cstheme="majorBidi"/>
          <w:i/>
          <w:iCs/>
          <w:sz w:val="21"/>
          <w:szCs w:val="21"/>
        </w:rPr>
      </w:pPr>
      <w:r w:rsidRPr="007F7656">
        <w:rPr>
          <w:rFonts w:asciiTheme="majorBidi" w:hAnsiTheme="majorBidi" w:cstheme="majorBidi"/>
          <w:i/>
          <w:iCs/>
          <w:sz w:val="21"/>
          <w:szCs w:val="21"/>
          <w:vertAlign w:val="superscript"/>
        </w:rPr>
        <w:t xml:space="preserve">4 </w:t>
      </w:r>
      <w:r w:rsidRPr="007F7656">
        <w:rPr>
          <w:rFonts w:asciiTheme="majorBidi" w:hAnsiTheme="majorBidi" w:cstheme="majorBidi"/>
          <w:i/>
          <w:iCs/>
          <w:sz w:val="21"/>
          <w:szCs w:val="21"/>
        </w:rPr>
        <w:t>Faculty of Medicine, Herat University, Herat, Afghanistan</w:t>
      </w:r>
    </w:p>
    <w:p w14:paraId="3A456047" w14:textId="77777777" w:rsidR="00FA5664" w:rsidRPr="007F7656" w:rsidRDefault="00FA5664" w:rsidP="0021266E">
      <w:pPr>
        <w:spacing w:after="0" w:line="276" w:lineRule="auto"/>
        <w:jc w:val="center"/>
        <w:rPr>
          <w:rFonts w:asciiTheme="majorBidi" w:hAnsiTheme="majorBidi" w:cstheme="majorBidi"/>
          <w:sz w:val="24"/>
          <w:szCs w:val="24"/>
        </w:rPr>
      </w:pPr>
    </w:p>
    <w:p w14:paraId="3FBD4EB7" w14:textId="26E87634" w:rsidR="00C20167" w:rsidRPr="00105DBB" w:rsidRDefault="00C20167" w:rsidP="0021266E">
      <w:pPr>
        <w:autoSpaceDE w:val="0"/>
        <w:autoSpaceDN w:val="0"/>
        <w:adjustRightInd w:val="0"/>
        <w:spacing w:after="0" w:line="276" w:lineRule="auto"/>
        <w:jc w:val="both"/>
        <w:rPr>
          <w:rFonts w:asciiTheme="majorBidi" w:hAnsiTheme="majorBidi" w:cstheme="majorBidi"/>
          <w:b/>
          <w:bCs/>
          <w:sz w:val="24"/>
          <w:szCs w:val="24"/>
        </w:rPr>
      </w:pPr>
      <w:r w:rsidRPr="00105DBB">
        <w:rPr>
          <w:rFonts w:asciiTheme="majorBidi" w:hAnsiTheme="majorBidi" w:cstheme="majorBidi"/>
          <w:b/>
          <w:bCs/>
          <w:sz w:val="24"/>
          <w:szCs w:val="24"/>
        </w:rPr>
        <w:t>ABSTRACT</w:t>
      </w:r>
    </w:p>
    <w:p w14:paraId="5468B9DF" w14:textId="51C34227" w:rsidR="00B473E4" w:rsidRPr="00105DBB" w:rsidRDefault="00B473E4" w:rsidP="00582AAC">
      <w:pPr>
        <w:spacing w:line="276" w:lineRule="auto"/>
        <w:jc w:val="both"/>
        <w:rPr>
          <w:rFonts w:asciiTheme="majorBidi" w:hAnsiTheme="majorBidi" w:cstheme="majorBidi"/>
          <w:sz w:val="24"/>
          <w:szCs w:val="24"/>
        </w:rPr>
      </w:pPr>
      <w:r w:rsidRPr="00105DBB">
        <w:rPr>
          <w:rFonts w:asciiTheme="majorBidi" w:hAnsiTheme="majorBidi" w:cstheme="majorBidi"/>
          <w:sz w:val="24"/>
          <w:szCs w:val="24"/>
        </w:rPr>
        <w:t>Anxiety and depression are the two most common mental illnesses in the world. Multiple risk factors contribute in developing anxiety and depression; the latter leading to suicide. The aim of this study is to identify the prevalence and associated factors of anxiety and depression, and assess their association with the level of resilience among academic and non-acad</w:t>
      </w:r>
      <w:r w:rsidR="00A4168A" w:rsidRPr="00105DBB">
        <w:rPr>
          <w:rFonts w:asciiTheme="majorBidi" w:hAnsiTheme="majorBidi" w:cstheme="majorBidi"/>
          <w:sz w:val="24"/>
          <w:szCs w:val="24"/>
        </w:rPr>
        <w:t>emic staff of Herat University.</w:t>
      </w:r>
      <w:r w:rsidRPr="00105DBB">
        <w:rPr>
          <w:rFonts w:asciiTheme="majorBidi" w:hAnsiTheme="majorBidi" w:cstheme="majorBidi"/>
          <w:sz w:val="24"/>
          <w:szCs w:val="24"/>
        </w:rPr>
        <w:t xml:space="preserve"> This cross-sectional study was conducted between November 1</w:t>
      </w:r>
      <w:r w:rsidRPr="00105DBB">
        <w:rPr>
          <w:rFonts w:asciiTheme="majorBidi" w:hAnsiTheme="majorBidi" w:cstheme="majorBidi"/>
          <w:sz w:val="24"/>
          <w:szCs w:val="24"/>
          <w:vertAlign w:val="superscript"/>
        </w:rPr>
        <w:t>st</w:t>
      </w:r>
      <w:r w:rsidRPr="00105DBB">
        <w:rPr>
          <w:rFonts w:asciiTheme="majorBidi" w:hAnsiTheme="majorBidi" w:cstheme="majorBidi"/>
          <w:sz w:val="24"/>
          <w:szCs w:val="24"/>
        </w:rPr>
        <w:t xml:space="preserve"> and December 28</w:t>
      </w:r>
      <w:r w:rsidRPr="00105DBB">
        <w:rPr>
          <w:rFonts w:asciiTheme="majorBidi" w:hAnsiTheme="majorBidi" w:cstheme="majorBidi"/>
          <w:sz w:val="24"/>
          <w:szCs w:val="24"/>
          <w:vertAlign w:val="superscript"/>
        </w:rPr>
        <w:t>th</w:t>
      </w:r>
      <w:r w:rsidRPr="00105DBB">
        <w:rPr>
          <w:rFonts w:asciiTheme="majorBidi" w:hAnsiTheme="majorBidi" w:cstheme="majorBidi"/>
          <w:sz w:val="24"/>
          <w:szCs w:val="24"/>
        </w:rPr>
        <w:t xml:space="preserve"> 2021. Sociodemographic data was collected using a structured questionnaire. Data on depression and anxiety was collected using the validated Dari version of DASS-42 questionnaire. Data on resilie</w:t>
      </w:r>
      <w:bookmarkStart w:id="0" w:name="_GoBack"/>
      <w:bookmarkEnd w:id="0"/>
      <w:r w:rsidRPr="00105DBB">
        <w:rPr>
          <w:rFonts w:asciiTheme="majorBidi" w:hAnsiTheme="majorBidi" w:cstheme="majorBidi"/>
          <w:sz w:val="24"/>
          <w:szCs w:val="24"/>
        </w:rPr>
        <w:t xml:space="preserve">nce was obtained using the 10-item Connor-Davidson Resilience Scale (CD-RICS-10). Statistical analyses were performed in IBM SPSS Statistics (version 27). A total of 210 university staff including 154 (73.3%) male and 56 (26.7%) female, with a mean age of 37.67 ± 9.62 years were included in the study. Of All participant in this study, 85.6% and 54.8% had anxiety and depression, respectively. </w:t>
      </w:r>
      <w:r w:rsidR="00582AAC" w:rsidRPr="00105DBB">
        <w:rPr>
          <w:rFonts w:asciiTheme="majorBidi" w:hAnsiTheme="majorBidi" w:cstheme="majorBidi"/>
          <w:sz w:val="24"/>
          <w:szCs w:val="24"/>
        </w:rPr>
        <w:t xml:space="preserve">There was a </w:t>
      </w:r>
      <w:r w:rsidRPr="00105DBB">
        <w:rPr>
          <w:rFonts w:asciiTheme="majorBidi" w:hAnsiTheme="majorBidi" w:cstheme="majorBidi"/>
          <w:sz w:val="24"/>
          <w:szCs w:val="24"/>
        </w:rPr>
        <w:t>significant association between resilience with depression and anxiety. A significant association was found between depression, anxiety and resilience with economic status, general health condition, concern about food shortage, losing house, and losing job. While no significant association was found between depression, anxiety and resilience with gender, marital status,</w:t>
      </w:r>
      <w:r w:rsidR="00980971" w:rsidRPr="00105DBB">
        <w:rPr>
          <w:rFonts w:asciiTheme="majorBidi" w:hAnsiTheme="majorBidi" w:cstheme="majorBidi"/>
          <w:sz w:val="24"/>
          <w:szCs w:val="24"/>
        </w:rPr>
        <w:t xml:space="preserve"> and</w:t>
      </w:r>
      <w:r w:rsidRPr="00105DBB">
        <w:rPr>
          <w:rFonts w:asciiTheme="majorBidi" w:hAnsiTheme="majorBidi" w:cstheme="majorBidi"/>
          <w:sz w:val="24"/>
          <w:szCs w:val="24"/>
        </w:rPr>
        <w:t xml:space="preserve"> losing family member in childhood. The prevalence of mental illnesses is considerably high among Herat University staff. The leadership of Herat University and public health authorities should implement strategies to tackle this important public health challenge.</w:t>
      </w:r>
    </w:p>
    <w:p w14:paraId="0117F173" w14:textId="77777777" w:rsidR="002E4839" w:rsidRPr="00105DBB" w:rsidRDefault="002A4DF3" w:rsidP="0021266E">
      <w:pPr>
        <w:spacing w:line="276" w:lineRule="auto"/>
        <w:jc w:val="both"/>
        <w:rPr>
          <w:rFonts w:asciiTheme="majorBidi" w:hAnsiTheme="majorBidi" w:cstheme="majorBidi"/>
          <w:sz w:val="24"/>
          <w:szCs w:val="24"/>
        </w:rPr>
      </w:pPr>
      <w:r w:rsidRPr="00105DBB">
        <w:rPr>
          <w:rFonts w:asciiTheme="majorBidi" w:hAnsiTheme="majorBidi" w:cstheme="majorBidi"/>
          <w:i/>
          <w:iCs/>
          <w:sz w:val="24"/>
          <w:szCs w:val="24"/>
        </w:rPr>
        <w:t>Keywords:</w:t>
      </w:r>
      <w:r w:rsidRPr="00105DBB">
        <w:rPr>
          <w:rFonts w:asciiTheme="majorBidi" w:hAnsiTheme="majorBidi" w:cstheme="majorBidi"/>
          <w:sz w:val="24"/>
          <w:szCs w:val="24"/>
        </w:rPr>
        <w:t xml:space="preserve"> Anxiety, depression, resilience, Herat, Afghanistan</w:t>
      </w:r>
    </w:p>
    <w:p w14:paraId="3C2FB20C" w14:textId="77777777" w:rsidR="002E4839" w:rsidRPr="007F7656" w:rsidRDefault="002E4839" w:rsidP="0021266E">
      <w:pPr>
        <w:spacing w:line="276" w:lineRule="auto"/>
        <w:rPr>
          <w:rFonts w:asciiTheme="majorBidi" w:hAnsiTheme="majorBidi" w:cstheme="majorBidi"/>
          <w:sz w:val="24"/>
          <w:szCs w:val="24"/>
        </w:rPr>
      </w:pPr>
      <w:r w:rsidRPr="007F7656">
        <w:rPr>
          <w:rFonts w:asciiTheme="majorBidi" w:hAnsiTheme="majorBidi" w:cstheme="majorBidi"/>
          <w:sz w:val="24"/>
          <w:szCs w:val="24"/>
        </w:rPr>
        <w:br w:type="page"/>
      </w:r>
    </w:p>
    <w:p w14:paraId="6DC9A523" w14:textId="193D0154" w:rsidR="00685DEA" w:rsidRPr="00105DBB" w:rsidRDefault="00BA5554" w:rsidP="006A5DCD">
      <w:pPr>
        <w:autoSpaceDE w:val="0"/>
        <w:autoSpaceDN w:val="0"/>
        <w:adjustRightInd w:val="0"/>
        <w:spacing w:after="0" w:line="276" w:lineRule="auto"/>
        <w:jc w:val="both"/>
        <w:rPr>
          <w:rFonts w:asciiTheme="majorBidi" w:hAnsiTheme="majorBidi" w:cstheme="majorBidi"/>
          <w:b/>
          <w:bCs/>
          <w:sz w:val="24"/>
          <w:szCs w:val="24"/>
        </w:rPr>
      </w:pPr>
      <w:r w:rsidRPr="00105DBB">
        <w:rPr>
          <w:rFonts w:asciiTheme="majorBidi" w:hAnsiTheme="majorBidi" w:cstheme="majorBidi"/>
          <w:b/>
          <w:bCs/>
          <w:sz w:val="24"/>
          <w:szCs w:val="24"/>
        </w:rPr>
        <w:lastRenderedPageBreak/>
        <w:t>INTRODUCTION</w:t>
      </w:r>
    </w:p>
    <w:p w14:paraId="121B3C6C" w14:textId="77777777" w:rsidR="00500F9F" w:rsidRPr="00105DBB" w:rsidRDefault="00A67B00" w:rsidP="00500F9F">
      <w:pPr>
        <w:autoSpaceDE w:val="0"/>
        <w:autoSpaceDN w:val="0"/>
        <w:adjustRightInd w:val="0"/>
        <w:spacing w:line="276" w:lineRule="auto"/>
        <w:ind w:firstLine="360"/>
        <w:jc w:val="both"/>
        <w:rPr>
          <w:rFonts w:asciiTheme="majorBidi" w:hAnsiTheme="majorBidi" w:cstheme="majorBidi"/>
          <w:sz w:val="24"/>
          <w:szCs w:val="24"/>
        </w:rPr>
      </w:pPr>
      <w:r w:rsidRPr="00105DBB">
        <w:rPr>
          <w:rFonts w:asciiTheme="majorBidi" w:hAnsiTheme="majorBidi" w:cstheme="majorBidi"/>
          <w:sz w:val="24"/>
          <w:szCs w:val="24"/>
        </w:rPr>
        <w:t xml:space="preserve">Inclusion of mental health in the Sustainable Development Goals highlights the important role it plays in </w:t>
      </w:r>
      <w:r w:rsidR="00DB0050" w:rsidRPr="00105DBB">
        <w:rPr>
          <w:rFonts w:asciiTheme="majorBidi" w:hAnsiTheme="majorBidi" w:cstheme="majorBidi"/>
          <w:sz w:val="24"/>
          <w:szCs w:val="24"/>
        </w:rPr>
        <w:t>international</w:t>
      </w:r>
      <w:r w:rsidR="00917900" w:rsidRPr="00105DBB">
        <w:rPr>
          <w:rFonts w:asciiTheme="majorBidi" w:hAnsiTheme="majorBidi" w:cstheme="majorBidi"/>
          <w:sz w:val="24"/>
          <w:szCs w:val="24"/>
        </w:rPr>
        <w:t xml:space="preserve"> development goals </w:t>
      </w:r>
      <w:r w:rsidR="00960249" w:rsidRPr="00105DBB">
        <w:rPr>
          <w:rFonts w:asciiTheme="majorBidi" w:hAnsiTheme="majorBidi" w:cstheme="majorBidi"/>
          <w:sz w:val="24"/>
          <w:szCs w:val="24"/>
        </w:rPr>
        <w:t xml:space="preserve">(World Health Organization, 2021). </w:t>
      </w:r>
      <w:r w:rsidR="007C23F3" w:rsidRPr="00105DBB">
        <w:rPr>
          <w:rFonts w:asciiTheme="majorBidi" w:hAnsiTheme="majorBidi" w:cstheme="majorBidi"/>
          <w:sz w:val="24"/>
          <w:szCs w:val="24"/>
        </w:rPr>
        <w:t xml:space="preserve">According to </w:t>
      </w:r>
      <w:proofErr w:type="spellStart"/>
      <w:r w:rsidR="007C23F3" w:rsidRPr="00105DBB">
        <w:rPr>
          <w:rFonts w:asciiTheme="majorBidi" w:hAnsiTheme="majorBidi" w:cstheme="majorBidi"/>
          <w:sz w:val="24"/>
          <w:szCs w:val="24"/>
        </w:rPr>
        <w:t>Dattani</w:t>
      </w:r>
      <w:proofErr w:type="spellEnd"/>
      <w:r w:rsidR="007C23F3" w:rsidRPr="00105DBB">
        <w:rPr>
          <w:rFonts w:asciiTheme="majorBidi" w:hAnsiTheme="majorBidi" w:cstheme="majorBidi"/>
          <w:sz w:val="24"/>
          <w:szCs w:val="24"/>
        </w:rPr>
        <w:t xml:space="preserve"> et al. (2021), </w:t>
      </w:r>
      <w:r w:rsidR="00671C2D" w:rsidRPr="00105DBB">
        <w:rPr>
          <w:rFonts w:asciiTheme="majorBidi" w:hAnsiTheme="majorBidi" w:cstheme="majorBidi"/>
          <w:sz w:val="24"/>
          <w:szCs w:val="24"/>
        </w:rPr>
        <w:t xml:space="preserve">in 2017, more than 10% of global population (792 million) suffered with a mental illness. </w:t>
      </w:r>
      <w:r w:rsidR="00A4465D" w:rsidRPr="00105DBB">
        <w:rPr>
          <w:rFonts w:asciiTheme="majorBidi" w:hAnsiTheme="majorBidi" w:cstheme="majorBidi"/>
          <w:sz w:val="24"/>
          <w:szCs w:val="24"/>
        </w:rPr>
        <w:t>Anxiety and d</w:t>
      </w:r>
      <w:r w:rsidR="00975EAF" w:rsidRPr="00105DBB">
        <w:rPr>
          <w:rFonts w:asciiTheme="majorBidi" w:hAnsiTheme="majorBidi" w:cstheme="majorBidi"/>
          <w:sz w:val="24"/>
          <w:szCs w:val="24"/>
        </w:rPr>
        <w:t xml:space="preserve">epression are the two </w:t>
      </w:r>
      <w:r w:rsidR="00A4465D" w:rsidRPr="00105DBB">
        <w:rPr>
          <w:rFonts w:asciiTheme="majorBidi" w:hAnsiTheme="majorBidi" w:cstheme="majorBidi"/>
          <w:sz w:val="24"/>
          <w:szCs w:val="24"/>
        </w:rPr>
        <w:t xml:space="preserve">most </w:t>
      </w:r>
      <w:r w:rsidR="00975EAF" w:rsidRPr="00105DBB">
        <w:rPr>
          <w:rFonts w:asciiTheme="majorBidi" w:hAnsiTheme="majorBidi" w:cstheme="majorBidi"/>
          <w:sz w:val="24"/>
          <w:szCs w:val="24"/>
        </w:rPr>
        <w:t>common mental illnesses</w:t>
      </w:r>
      <w:r w:rsidR="00A4465D" w:rsidRPr="00105DBB">
        <w:rPr>
          <w:rFonts w:asciiTheme="majorBidi" w:hAnsiTheme="majorBidi" w:cstheme="majorBidi"/>
          <w:sz w:val="24"/>
          <w:szCs w:val="24"/>
        </w:rPr>
        <w:t>, accounting for 3.8% and 3.4% of the world population</w:t>
      </w:r>
      <w:r w:rsidR="00A17A2D" w:rsidRPr="00105DBB">
        <w:rPr>
          <w:rFonts w:asciiTheme="majorBidi" w:hAnsiTheme="majorBidi" w:cstheme="majorBidi"/>
          <w:sz w:val="24"/>
          <w:szCs w:val="24"/>
        </w:rPr>
        <w:t>, respectively</w:t>
      </w:r>
      <w:r w:rsidR="00917900" w:rsidRPr="00105DBB">
        <w:rPr>
          <w:rFonts w:asciiTheme="majorBidi" w:hAnsiTheme="majorBidi" w:cstheme="majorBidi"/>
          <w:sz w:val="24"/>
          <w:szCs w:val="24"/>
        </w:rPr>
        <w:t xml:space="preserve"> (</w:t>
      </w:r>
      <w:proofErr w:type="spellStart"/>
      <w:r w:rsidR="00917900" w:rsidRPr="00105DBB">
        <w:rPr>
          <w:rFonts w:asciiTheme="majorBidi" w:hAnsiTheme="majorBidi" w:cstheme="majorBidi"/>
          <w:sz w:val="24"/>
          <w:szCs w:val="24"/>
        </w:rPr>
        <w:t>Dattani</w:t>
      </w:r>
      <w:proofErr w:type="spellEnd"/>
      <w:r w:rsidR="00917900" w:rsidRPr="00105DBB">
        <w:rPr>
          <w:rFonts w:asciiTheme="majorBidi" w:hAnsiTheme="majorBidi" w:cstheme="majorBidi"/>
          <w:sz w:val="24"/>
          <w:szCs w:val="24"/>
        </w:rPr>
        <w:t xml:space="preserve"> et al.,</w:t>
      </w:r>
      <w:r w:rsidR="008D538C" w:rsidRPr="00105DBB">
        <w:rPr>
          <w:rFonts w:asciiTheme="majorBidi" w:hAnsiTheme="majorBidi" w:cstheme="majorBidi"/>
          <w:sz w:val="24"/>
          <w:szCs w:val="24"/>
        </w:rPr>
        <w:t xml:space="preserve"> 2021</w:t>
      </w:r>
      <w:r w:rsidR="00A4465D" w:rsidRPr="00105DBB">
        <w:rPr>
          <w:rFonts w:asciiTheme="majorBidi" w:hAnsiTheme="majorBidi" w:cstheme="majorBidi"/>
          <w:sz w:val="24"/>
          <w:szCs w:val="24"/>
        </w:rPr>
        <w:t>).</w:t>
      </w:r>
    </w:p>
    <w:p w14:paraId="0B85DC7A" w14:textId="77777777" w:rsidR="00500F9F" w:rsidRPr="00105DBB" w:rsidRDefault="00870A50" w:rsidP="00500F9F">
      <w:pPr>
        <w:autoSpaceDE w:val="0"/>
        <w:autoSpaceDN w:val="0"/>
        <w:adjustRightInd w:val="0"/>
        <w:spacing w:line="276" w:lineRule="auto"/>
        <w:ind w:firstLine="360"/>
        <w:jc w:val="both"/>
        <w:rPr>
          <w:rFonts w:asciiTheme="majorBidi" w:hAnsiTheme="majorBidi" w:cstheme="majorBidi"/>
          <w:sz w:val="24"/>
          <w:szCs w:val="24"/>
        </w:rPr>
      </w:pPr>
      <w:r w:rsidRPr="00105DBB">
        <w:rPr>
          <w:rFonts w:asciiTheme="majorBidi" w:hAnsiTheme="majorBidi" w:cstheme="majorBidi"/>
          <w:sz w:val="24"/>
          <w:szCs w:val="24"/>
        </w:rPr>
        <w:t xml:space="preserve">A systematic review and meta-analysis of global prevalence of common mental health illnesses by </w:t>
      </w:r>
      <w:r w:rsidR="009972EA" w:rsidRPr="00105DBB">
        <w:rPr>
          <w:rFonts w:asciiTheme="majorBidi" w:hAnsiTheme="majorBidi" w:cstheme="majorBidi"/>
          <w:sz w:val="24"/>
          <w:szCs w:val="24"/>
        </w:rPr>
        <w:t>Steel et al. (2014) revealed</w:t>
      </w:r>
      <w:r w:rsidR="00083C15" w:rsidRPr="00105DBB">
        <w:rPr>
          <w:rFonts w:asciiTheme="majorBidi" w:hAnsiTheme="majorBidi" w:cstheme="majorBidi"/>
          <w:sz w:val="24"/>
          <w:szCs w:val="24"/>
        </w:rPr>
        <w:t xml:space="preserve"> that during the last twelve month preceding to the study,</w:t>
      </w:r>
      <w:r w:rsidR="009972EA" w:rsidRPr="00105DBB">
        <w:rPr>
          <w:rFonts w:asciiTheme="majorBidi" w:hAnsiTheme="majorBidi" w:cstheme="majorBidi"/>
          <w:sz w:val="24"/>
          <w:szCs w:val="24"/>
        </w:rPr>
        <w:t xml:space="preserve"> at least 20% of adults </w:t>
      </w:r>
      <w:r w:rsidR="00083C15" w:rsidRPr="00105DBB">
        <w:rPr>
          <w:rFonts w:asciiTheme="majorBidi" w:hAnsiTheme="majorBidi" w:cstheme="majorBidi"/>
          <w:sz w:val="24"/>
          <w:szCs w:val="24"/>
        </w:rPr>
        <w:t>had a history of mental illness</w:t>
      </w:r>
      <w:r w:rsidR="005D4409" w:rsidRPr="00105DBB">
        <w:rPr>
          <w:rFonts w:asciiTheme="majorBidi" w:hAnsiTheme="majorBidi" w:cstheme="majorBidi"/>
          <w:sz w:val="24"/>
          <w:szCs w:val="24"/>
        </w:rPr>
        <w:t xml:space="preserve">. </w:t>
      </w:r>
      <w:r w:rsidR="00901687" w:rsidRPr="00105DBB">
        <w:rPr>
          <w:rFonts w:asciiTheme="majorBidi" w:hAnsiTheme="majorBidi" w:cstheme="majorBidi"/>
          <w:sz w:val="24"/>
          <w:szCs w:val="24"/>
        </w:rPr>
        <w:t>In a</w:t>
      </w:r>
      <w:r w:rsidR="005D4409" w:rsidRPr="00105DBB">
        <w:rPr>
          <w:rFonts w:asciiTheme="majorBidi" w:hAnsiTheme="majorBidi" w:cstheme="majorBidi"/>
          <w:sz w:val="24"/>
          <w:szCs w:val="24"/>
        </w:rPr>
        <w:t xml:space="preserve"> recent study </w:t>
      </w:r>
      <w:r w:rsidR="002D40E1" w:rsidRPr="00105DBB">
        <w:rPr>
          <w:rFonts w:asciiTheme="majorBidi" w:hAnsiTheme="majorBidi" w:cstheme="majorBidi"/>
          <w:sz w:val="24"/>
          <w:szCs w:val="24"/>
        </w:rPr>
        <w:t xml:space="preserve">focusing </w:t>
      </w:r>
      <w:r w:rsidR="00603326" w:rsidRPr="00105DBB">
        <w:rPr>
          <w:rFonts w:asciiTheme="majorBidi" w:hAnsiTheme="majorBidi" w:cstheme="majorBidi"/>
          <w:sz w:val="24"/>
          <w:szCs w:val="24"/>
        </w:rPr>
        <w:t xml:space="preserve">on the prevalence of common mental illnesses in South Asia, </w:t>
      </w:r>
      <w:r w:rsidR="00901687" w:rsidRPr="00105DBB">
        <w:rPr>
          <w:rFonts w:asciiTheme="majorBidi" w:hAnsiTheme="majorBidi" w:cstheme="majorBidi"/>
          <w:sz w:val="24"/>
          <w:szCs w:val="24"/>
        </w:rPr>
        <w:t xml:space="preserve">the prevalence of anxiety </w:t>
      </w:r>
      <w:r w:rsidR="002D40E1" w:rsidRPr="00105DBB">
        <w:rPr>
          <w:rFonts w:asciiTheme="majorBidi" w:hAnsiTheme="majorBidi" w:cstheme="majorBidi"/>
          <w:sz w:val="24"/>
          <w:szCs w:val="24"/>
        </w:rPr>
        <w:t xml:space="preserve">was reported to be 25.8% and depression accounted for 26.4% (Naveed et al., 2020). </w:t>
      </w:r>
    </w:p>
    <w:p w14:paraId="70105A7D" w14:textId="77777777" w:rsidR="00500F9F" w:rsidRPr="00105DBB" w:rsidRDefault="006E254B" w:rsidP="00500F9F">
      <w:pPr>
        <w:autoSpaceDE w:val="0"/>
        <w:autoSpaceDN w:val="0"/>
        <w:adjustRightInd w:val="0"/>
        <w:spacing w:line="276" w:lineRule="auto"/>
        <w:ind w:firstLine="360"/>
        <w:jc w:val="both"/>
        <w:rPr>
          <w:rFonts w:asciiTheme="majorBidi" w:hAnsiTheme="majorBidi" w:cstheme="majorBidi"/>
          <w:sz w:val="24"/>
          <w:szCs w:val="24"/>
        </w:rPr>
      </w:pPr>
      <w:r w:rsidRPr="00105DBB">
        <w:rPr>
          <w:rFonts w:asciiTheme="majorBidi" w:hAnsiTheme="majorBidi" w:cstheme="majorBidi"/>
          <w:sz w:val="24"/>
          <w:szCs w:val="24"/>
        </w:rPr>
        <w:t xml:space="preserve">According to the World Health Organization (2017), a total of 4.0% and 3.3% of Afghan population lived with anxiety and depression, respectively. </w:t>
      </w:r>
      <w:r w:rsidR="00824F82" w:rsidRPr="00105DBB">
        <w:rPr>
          <w:rFonts w:asciiTheme="majorBidi" w:hAnsiTheme="majorBidi" w:cstheme="majorBidi"/>
          <w:sz w:val="24"/>
          <w:szCs w:val="24"/>
        </w:rPr>
        <w:t>The National Mental Health Survey and Assessment of Mental Health Services in Afghanistan</w:t>
      </w:r>
      <w:r w:rsidR="0035405C" w:rsidRPr="00105DBB">
        <w:rPr>
          <w:rFonts w:asciiTheme="majorBidi" w:hAnsiTheme="majorBidi" w:cstheme="majorBidi"/>
          <w:sz w:val="24"/>
          <w:szCs w:val="24"/>
        </w:rPr>
        <w:t xml:space="preserve"> reported </w:t>
      </w:r>
      <w:r w:rsidR="000D46EF" w:rsidRPr="00105DBB">
        <w:rPr>
          <w:rFonts w:asciiTheme="majorBidi" w:hAnsiTheme="majorBidi" w:cstheme="majorBidi"/>
          <w:sz w:val="24"/>
          <w:szCs w:val="24"/>
        </w:rPr>
        <w:t>that 2.8% and 4.9</w:t>
      </w:r>
      <w:r w:rsidR="00C145E6" w:rsidRPr="00105DBB">
        <w:rPr>
          <w:rFonts w:asciiTheme="majorBidi" w:hAnsiTheme="majorBidi" w:cstheme="majorBidi"/>
          <w:sz w:val="24"/>
          <w:szCs w:val="24"/>
        </w:rPr>
        <w:t>% of Afghan population lived with anxiety and depression, respectively</w:t>
      </w:r>
      <w:r w:rsidR="00DD55FC" w:rsidRPr="00105DBB">
        <w:rPr>
          <w:rFonts w:asciiTheme="majorBidi" w:hAnsiTheme="majorBidi" w:cstheme="majorBidi"/>
          <w:sz w:val="24"/>
          <w:szCs w:val="24"/>
        </w:rPr>
        <w:t xml:space="preserve"> (</w:t>
      </w:r>
      <w:proofErr w:type="spellStart"/>
      <w:r w:rsidR="00DD55FC" w:rsidRPr="00105DBB">
        <w:rPr>
          <w:rFonts w:asciiTheme="majorBidi" w:hAnsiTheme="majorBidi" w:cstheme="majorBidi"/>
          <w:sz w:val="24"/>
          <w:szCs w:val="24"/>
        </w:rPr>
        <w:t>Kovess-Masfety</w:t>
      </w:r>
      <w:proofErr w:type="spellEnd"/>
      <w:r w:rsidR="00D64BE9" w:rsidRPr="00105DBB">
        <w:rPr>
          <w:rFonts w:asciiTheme="majorBidi" w:hAnsiTheme="majorBidi" w:cstheme="majorBidi"/>
          <w:sz w:val="24"/>
          <w:szCs w:val="24"/>
        </w:rPr>
        <w:t xml:space="preserve"> &amp; </w:t>
      </w:r>
      <w:proofErr w:type="spellStart"/>
      <w:r w:rsidR="00D64BE9" w:rsidRPr="00105DBB">
        <w:rPr>
          <w:rFonts w:asciiTheme="majorBidi" w:hAnsiTheme="majorBidi" w:cstheme="majorBidi"/>
          <w:sz w:val="24"/>
          <w:szCs w:val="24"/>
        </w:rPr>
        <w:t>Sabawoon</w:t>
      </w:r>
      <w:proofErr w:type="spellEnd"/>
      <w:r w:rsidR="00676D3D" w:rsidRPr="00105DBB">
        <w:rPr>
          <w:rFonts w:asciiTheme="majorBidi" w:hAnsiTheme="majorBidi" w:cstheme="majorBidi"/>
          <w:sz w:val="24"/>
          <w:szCs w:val="24"/>
        </w:rPr>
        <w:t>,</w:t>
      </w:r>
      <w:r w:rsidR="00D64BE9" w:rsidRPr="00105DBB">
        <w:rPr>
          <w:rFonts w:asciiTheme="majorBidi" w:hAnsiTheme="majorBidi" w:cstheme="majorBidi"/>
          <w:sz w:val="24"/>
          <w:szCs w:val="24"/>
        </w:rPr>
        <w:t xml:space="preserve"> 2018)</w:t>
      </w:r>
      <w:r w:rsidR="00C145E6" w:rsidRPr="00105DBB">
        <w:rPr>
          <w:rFonts w:asciiTheme="majorBidi" w:hAnsiTheme="majorBidi" w:cstheme="majorBidi"/>
          <w:sz w:val="24"/>
          <w:szCs w:val="24"/>
        </w:rPr>
        <w:t>.</w:t>
      </w:r>
      <w:r w:rsidR="00CB1639" w:rsidRPr="00105DBB">
        <w:rPr>
          <w:rFonts w:asciiTheme="majorBidi" w:hAnsiTheme="majorBidi" w:cstheme="majorBidi"/>
          <w:sz w:val="24"/>
          <w:szCs w:val="24"/>
        </w:rPr>
        <w:t xml:space="preserve"> It is worth noting that m</w:t>
      </w:r>
      <w:r w:rsidR="00D45EE9" w:rsidRPr="00105DBB">
        <w:rPr>
          <w:rFonts w:asciiTheme="majorBidi" w:hAnsiTheme="majorBidi" w:cstheme="majorBidi"/>
          <w:sz w:val="24"/>
          <w:szCs w:val="24"/>
        </w:rPr>
        <w:t>ultiple risk factors rather than one individual factor contribute in developing mental illnesses</w:t>
      </w:r>
      <w:r w:rsidR="007A1D45" w:rsidRPr="00105DBB">
        <w:rPr>
          <w:rFonts w:asciiTheme="majorBidi" w:hAnsiTheme="majorBidi" w:cstheme="majorBidi"/>
          <w:sz w:val="24"/>
          <w:szCs w:val="24"/>
        </w:rPr>
        <w:t xml:space="preserve"> (</w:t>
      </w:r>
      <w:proofErr w:type="spellStart"/>
      <w:r w:rsidR="007A1D45" w:rsidRPr="00105DBB">
        <w:rPr>
          <w:rFonts w:asciiTheme="majorBidi" w:hAnsiTheme="majorBidi" w:cstheme="majorBidi"/>
          <w:sz w:val="24"/>
          <w:szCs w:val="24"/>
        </w:rPr>
        <w:t>Gobel</w:t>
      </w:r>
      <w:proofErr w:type="spellEnd"/>
      <w:r w:rsidR="001F6A07" w:rsidRPr="00105DBB">
        <w:rPr>
          <w:rFonts w:asciiTheme="majorBidi" w:hAnsiTheme="majorBidi" w:cstheme="majorBidi"/>
          <w:sz w:val="24"/>
          <w:szCs w:val="24"/>
        </w:rPr>
        <w:t xml:space="preserve"> &amp; </w:t>
      </w:r>
      <w:proofErr w:type="spellStart"/>
      <w:r w:rsidR="001F6A07" w:rsidRPr="00105DBB">
        <w:rPr>
          <w:rFonts w:asciiTheme="majorBidi" w:hAnsiTheme="majorBidi" w:cstheme="majorBidi"/>
          <w:sz w:val="24"/>
          <w:szCs w:val="24"/>
        </w:rPr>
        <w:t>Cohrdes</w:t>
      </w:r>
      <w:proofErr w:type="spellEnd"/>
      <w:r w:rsidR="001F6A07" w:rsidRPr="00105DBB">
        <w:rPr>
          <w:rFonts w:asciiTheme="majorBidi" w:hAnsiTheme="majorBidi" w:cstheme="majorBidi"/>
          <w:sz w:val="24"/>
          <w:szCs w:val="24"/>
        </w:rPr>
        <w:t>, 2021)</w:t>
      </w:r>
      <w:r w:rsidR="00D45EE9" w:rsidRPr="00105DBB">
        <w:rPr>
          <w:rFonts w:asciiTheme="majorBidi" w:hAnsiTheme="majorBidi" w:cstheme="majorBidi"/>
          <w:sz w:val="24"/>
          <w:szCs w:val="24"/>
        </w:rPr>
        <w:t xml:space="preserve">. </w:t>
      </w:r>
    </w:p>
    <w:p w14:paraId="2DEE50ED" w14:textId="77777777" w:rsidR="00500F9F" w:rsidRPr="00105DBB" w:rsidRDefault="00CB1639" w:rsidP="00500F9F">
      <w:pPr>
        <w:autoSpaceDE w:val="0"/>
        <w:autoSpaceDN w:val="0"/>
        <w:adjustRightInd w:val="0"/>
        <w:spacing w:line="276" w:lineRule="auto"/>
        <w:ind w:firstLine="360"/>
        <w:jc w:val="both"/>
        <w:rPr>
          <w:rFonts w:asciiTheme="majorBidi" w:hAnsiTheme="majorBidi" w:cstheme="majorBidi"/>
          <w:sz w:val="24"/>
          <w:szCs w:val="24"/>
        </w:rPr>
      </w:pPr>
      <w:r w:rsidRPr="00105DBB">
        <w:rPr>
          <w:rFonts w:asciiTheme="majorBidi" w:hAnsiTheme="majorBidi" w:cstheme="majorBidi"/>
          <w:sz w:val="24"/>
          <w:szCs w:val="24"/>
        </w:rPr>
        <w:t xml:space="preserve">There is a negative correlation between </w:t>
      </w:r>
      <w:r w:rsidR="00C31A39" w:rsidRPr="00105DBB">
        <w:rPr>
          <w:rFonts w:asciiTheme="majorBidi" w:hAnsiTheme="majorBidi" w:cstheme="majorBidi"/>
          <w:sz w:val="24"/>
          <w:szCs w:val="24"/>
        </w:rPr>
        <w:t>mental illness</w:t>
      </w:r>
      <w:r w:rsidRPr="00105DBB">
        <w:rPr>
          <w:rFonts w:asciiTheme="majorBidi" w:hAnsiTheme="majorBidi" w:cstheme="majorBidi"/>
          <w:sz w:val="24"/>
          <w:szCs w:val="24"/>
        </w:rPr>
        <w:t xml:space="preserve"> </w:t>
      </w:r>
      <w:r w:rsidR="00F934DA" w:rsidRPr="00105DBB">
        <w:rPr>
          <w:rFonts w:asciiTheme="majorBidi" w:hAnsiTheme="majorBidi" w:cstheme="majorBidi"/>
          <w:sz w:val="24"/>
          <w:szCs w:val="24"/>
        </w:rPr>
        <w:t>with the level of resilience in a community</w:t>
      </w:r>
      <w:r w:rsidR="00C31A39" w:rsidRPr="00105DBB">
        <w:rPr>
          <w:rFonts w:asciiTheme="majorBidi" w:hAnsiTheme="majorBidi" w:cstheme="majorBidi"/>
          <w:sz w:val="24"/>
          <w:szCs w:val="24"/>
        </w:rPr>
        <w:t>; the greater the</w:t>
      </w:r>
      <w:r w:rsidR="006A68E8" w:rsidRPr="00105DBB">
        <w:rPr>
          <w:rFonts w:asciiTheme="majorBidi" w:hAnsiTheme="majorBidi" w:cstheme="majorBidi"/>
          <w:sz w:val="24"/>
          <w:szCs w:val="24"/>
        </w:rPr>
        <w:t xml:space="preserve"> severity of</w:t>
      </w:r>
      <w:r w:rsidR="00C31A39" w:rsidRPr="00105DBB">
        <w:rPr>
          <w:rFonts w:asciiTheme="majorBidi" w:hAnsiTheme="majorBidi" w:cstheme="majorBidi"/>
          <w:sz w:val="24"/>
          <w:szCs w:val="24"/>
        </w:rPr>
        <w:t xml:space="preserve"> mental illness, the lower the resilience</w:t>
      </w:r>
      <w:r w:rsidR="005C7514" w:rsidRPr="00105DBB">
        <w:rPr>
          <w:rFonts w:asciiTheme="majorBidi" w:hAnsiTheme="majorBidi" w:cstheme="majorBidi"/>
          <w:sz w:val="24"/>
          <w:szCs w:val="24"/>
        </w:rPr>
        <w:t>.</w:t>
      </w:r>
      <w:r w:rsidR="006A68E8" w:rsidRPr="00105DBB">
        <w:rPr>
          <w:rFonts w:asciiTheme="majorBidi" w:hAnsiTheme="majorBidi" w:cstheme="majorBidi"/>
          <w:sz w:val="24"/>
          <w:szCs w:val="24"/>
        </w:rPr>
        <w:t xml:space="preserve"> </w:t>
      </w:r>
      <w:r w:rsidR="003471FC" w:rsidRPr="00105DBB">
        <w:rPr>
          <w:rFonts w:asciiTheme="majorBidi" w:hAnsiTheme="majorBidi" w:cstheme="majorBidi"/>
          <w:sz w:val="24"/>
          <w:szCs w:val="24"/>
        </w:rPr>
        <w:t xml:space="preserve">Additionally, resilience </w:t>
      </w:r>
      <w:r w:rsidR="005C33BB" w:rsidRPr="00105DBB">
        <w:rPr>
          <w:rFonts w:asciiTheme="majorBidi" w:hAnsiTheme="majorBidi" w:cstheme="majorBidi"/>
          <w:sz w:val="24"/>
          <w:szCs w:val="24"/>
        </w:rPr>
        <w:t>also serves as predictor of mental health</w:t>
      </w:r>
      <w:r w:rsidR="00F67267" w:rsidRPr="00105DBB">
        <w:rPr>
          <w:rFonts w:asciiTheme="majorBidi" w:hAnsiTheme="majorBidi" w:cstheme="majorBidi"/>
          <w:sz w:val="24"/>
          <w:szCs w:val="24"/>
        </w:rPr>
        <w:t xml:space="preserve">; </w:t>
      </w:r>
      <w:r w:rsidR="005C33BB" w:rsidRPr="00105DBB">
        <w:rPr>
          <w:rFonts w:asciiTheme="majorBidi" w:hAnsiTheme="majorBidi" w:cstheme="majorBidi"/>
          <w:sz w:val="24"/>
          <w:szCs w:val="24"/>
        </w:rPr>
        <w:t>the higher the level of resilience, the lower the prevalence of mental illnesses</w:t>
      </w:r>
      <w:r w:rsidR="005C7514" w:rsidRPr="00105DBB">
        <w:rPr>
          <w:rFonts w:asciiTheme="majorBidi" w:hAnsiTheme="majorBidi" w:cstheme="majorBidi"/>
          <w:sz w:val="24"/>
          <w:szCs w:val="24"/>
        </w:rPr>
        <w:t xml:space="preserve"> (Farber &amp; </w:t>
      </w:r>
      <w:proofErr w:type="spellStart"/>
      <w:r w:rsidR="005C7514" w:rsidRPr="00105DBB">
        <w:rPr>
          <w:rFonts w:asciiTheme="majorBidi" w:hAnsiTheme="majorBidi" w:cstheme="majorBidi"/>
          <w:sz w:val="24"/>
          <w:szCs w:val="24"/>
        </w:rPr>
        <w:t>Rosendahl</w:t>
      </w:r>
      <w:proofErr w:type="spellEnd"/>
      <w:r w:rsidR="005C7514" w:rsidRPr="00105DBB">
        <w:rPr>
          <w:rFonts w:asciiTheme="majorBidi" w:hAnsiTheme="majorBidi" w:cstheme="majorBidi"/>
          <w:sz w:val="24"/>
          <w:szCs w:val="24"/>
        </w:rPr>
        <w:t xml:space="preserve">, 2018; </w:t>
      </w:r>
      <w:proofErr w:type="spellStart"/>
      <w:r w:rsidR="005C7514" w:rsidRPr="00105DBB">
        <w:rPr>
          <w:rFonts w:asciiTheme="majorBidi" w:hAnsiTheme="majorBidi" w:cstheme="majorBidi"/>
          <w:sz w:val="24"/>
          <w:szCs w:val="24"/>
        </w:rPr>
        <w:t>Konaszewski</w:t>
      </w:r>
      <w:proofErr w:type="spellEnd"/>
      <w:r w:rsidR="005C7514" w:rsidRPr="00105DBB">
        <w:rPr>
          <w:rFonts w:asciiTheme="majorBidi" w:hAnsiTheme="majorBidi" w:cstheme="majorBidi"/>
          <w:sz w:val="24"/>
          <w:szCs w:val="24"/>
        </w:rPr>
        <w:t xml:space="preserve"> et al., 2021; </w:t>
      </w:r>
      <w:proofErr w:type="spellStart"/>
      <w:r w:rsidR="005C7514" w:rsidRPr="00105DBB">
        <w:rPr>
          <w:rFonts w:asciiTheme="majorBidi" w:hAnsiTheme="majorBidi" w:cstheme="majorBidi"/>
          <w:sz w:val="24"/>
          <w:szCs w:val="24"/>
        </w:rPr>
        <w:t>Rayani</w:t>
      </w:r>
      <w:proofErr w:type="spellEnd"/>
      <w:r w:rsidR="005C7514" w:rsidRPr="00105DBB">
        <w:rPr>
          <w:rFonts w:asciiTheme="majorBidi" w:hAnsiTheme="majorBidi" w:cstheme="majorBidi"/>
          <w:sz w:val="24"/>
          <w:szCs w:val="24"/>
        </w:rPr>
        <w:t xml:space="preserve"> et al., 2021; Wu et al., 2020).</w:t>
      </w:r>
    </w:p>
    <w:p w14:paraId="6705A541" w14:textId="607970EE" w:rsidR="00D45EE9" w:rsidRPr="00105DBB" w:rsidRDefault="00253472" w:rsidP="00500F9F">
      <w:pPr>
        <w:autoSpaceDE w:val="0"/>
        <w:autoSpaceDN w:val="0"/>
        <w:adjustRightInd w:val="0"/>
        <w:spacing w:line="276" w:lineRule="auto"/>
        <w:ind w:firstLine="360"/>
        <w:jc w:val="both"/>
        <w:rPr>
          <w:rFonts w:asciiTheme="majorBidi" w:hAnsiTheme="majorBidi" w:cstheme="majorBidi"/>
          <w:sz w:val="24"/>
          <w:szCs w:val="24"/>
        </w:rPr>
      </w:pPr>
      <w:r w:rsidRPr="00105DBB">
        <w:rPr>
          <w:rFonts w:asciiTheme="majorBidi" w:hAnsiTheme="majorBidi" w:cstheme="majorBidi"/>
          <w:sz w:val="24"/>
          <w:szCs w:val="24"/>
        </w:rPr>
        <w:t xml:space="preserve">Recent </w:t>
      </w:r>
      <w:r w:rsidR="004A6626" w:rsidRPr="00105DBB">
        <w:rPr>
          <w:rFonts w:asciiTheme="majorBidi" w:hAnsiTheme="majorBidi" w:cstheme="majorBidi"/>
          <w:sz w:val="24"/>
          <w:szCs w:val="24"/>
        </w:rPr>
        <w:t xml:space="preserve">socio-economic developments in Afghanistan may have </w:t>
      </w:r>
      <w:r w:rsidR="00F45EB7" w:rsidRPr="00105DBB">
        <w:rPr>
          <w:rFonts w:asciiTheme="majorBidi" w:hAnsiTheme="majorBidi" w:cstheme="majorBidi"/>
          <w:sz w:val="24"/>
          <w:szCs w:val="24"/>
        </w:rPr>
        <w:t>altered</w:t>
      </w:r>
      <w:r w:rsidR="004A6626" w:rsidRPr="00105DBB">
        <w:rPr>
          <w:rFonts w:asciiTheme="majorBidi" w:hAnsiTheme="majorBidi" w:cstheme="majorBidi"/>
          <w:sz w:val="24"/>
          <w:szCs w:val="24"/>
        </w:rPr>
        <w:t xml:space="preserve"> the </w:t>
      </w:r>
      <w:r w:rsidR="00F45EB7" w:rsidRPr="00105DBB">
        <w:rPr>
          <w:rFonts w:asciiTheme="majorBidi" w:hAnsiTheme="majorBidi" w:cstheme="majorBidi"/>
          <w:sz w:val="24"/>
          <w:szCs w:val="24"/>
        </w:rPr>
        <w:t>level</w:t>
      </w:r>
      <w:r w:rsidR="004A6626" w:rsidRPr="00105DBB">
        <w:rPr>
          <w:rFonts w:asciiTheme="majorBidi" w:hAnsiTheme="majorBidi" w:cstheme="majorBidi"/>
          <w:sz w:val="24"/>
          <w:szCs w:val="24"/>
        </w:rPr>
        <w:t xml:space="preserve"> </w:t>
      </w:r>
      <w:r w:rsidR="00F45EB7" w:rsidRPr="00105DBB">
        <w:rPr>
          <w:rFonts w:asciiTheme="majorBidi" w:hAnsiTheme="majorBidi" w:cstheme="majorBidi"/>
          <w:sz w:val="24"/>
          <w:szCs w:val="24"/>
        </w:rPr>
        <w:t>of mental illnesses</w:t>
      </w:r>
      <w:r w:rsidR="00122B38" w:rsidRPr="00105DBB">
        <w:rPr>
          <w:rFonts w:asciiTheme="majorBidi" w:hAnsiTheme="majorBidi" w:cstheme="majorBidi"/>
          <w:sz w:val="24"/>
          <w:szCs w:val="24"/>
        </w:rPr>
        <w:t xml:space="preserve"> and resilience</w:t>
      </w:r>
      <w:r w:rsidR="00F45EB7" w:rsidRPr="00105DBB">
        <w:rPr>
          <w:rFonts w:asciiTheme="majorBidi" w:hAnsiTheme="majorBidi" w:cstheme="majorBidi"/>
          <w:sz w:val="24"/>
          <w:szCs w:val="24"/>
        </w:rPr>
        <w:t xml:space="preserve"> in the country. </w:t>
      </w:r>
      <w:r w:rsidR="006E798C" w:rsidRPr="00105DBB">
        <w:rPr>
          <w:rFonts w:asciiTheme="majorBidi" w:hAnsiTheme="majorBidi" w:cstheme="majorBidi"/>
          <w:sz w:val="24"/>
          <w:szCs w:val="24"/>
        </w:rPr>
        <w:t>The aim of this study is to identify the prevalence and associated factors of anxiety and depression</w:t>
      </w:r>
      <w:r w:rsidR="000D26C1" w:rsidRPr="00105DBB">
        <w:rPr>
          <w:rFonts w:asciiTheme="majorBidi" w:hAnsiTheme="majorBidi" w:cstheme="majorBidi"/>
          <w:sz w:val="24"/>
          <w:szCs w:val="24"/>
        </w:rPr>
        <w:t>;</w:t>
      </w:r>
      <w:r w:rsidR="002C30DB" w:rsidRPr="00105DBB">
        <w:rPr>
          <w:rFonts w:asciiTheme="majorBidi" w:hAnsiTheme="majorBidi" w:cstheme="majorBidi"/>
          <w:sz w:val="24"/>
          <w:szCs w:val="24"/>
        </w:rPr>
        <w:t xml:space="preserve"> and assess their </w:t>
      </w:r>
      <w:r w:rsidR="00901495" w:rsidRPr="00105DBB">
        <w:rPr>
          <w:rFonts w:asciiTheme="majorBidi" w:hAnsiTheme="majorBidi" w:cstheme="majorBidi"/>
          <w:sz w:val="24"/>
          <w:szCs w:val="24"/>
        </w:rPr>
        <w:t>association</w:t>
      </w:r>
      <w:r w:rsidR="002C30DB" w:rsidRPr="00105DBB">
        <w:rPr>
          <w:rFonts w:asciiTheme="majorBidi" w:hAnsiTheme="majorBidi" w:cstheme="majorBidi"/>
          <w:sz w:val="24"/>
          <w:szCs w:val="24"/>
        </w:rPr>
        <w:t xml:space="preserve"> with the level of resilience</w:t>
      </w:r>
      <w:r w:rsidR="006E798C" w:rsidRPr="00105DBB">
        <w:rPr>
          <w:rFonts w:asciiTheme="majorBidi" w:hAnsiTheme="majorBidi" w:cstheme="majorBidi"/>
          <w:sz w:val="24"/>
          <w:szCs w:val="24"/>
        </w:rPr>
        <w:t xml:space="preserve"> among academic </w:t>
      </w:r>
      <w:r w:rsidR="00C823E4" w:rsidRPr="00105DBB">
        <w:rPr>
          <w:rFonts w:asciiTheme="majorBidi" w:hAnsiTheme="majorBidi" w:cstheme="majorBidi"/>
          <w:sz w:val="24"/>
          <w:szCs w:val="24"/>
        </w:rPr>
        <w:t>and non-academic staff of Herat University.</w:t>
      </w:r>
    </w:p>
    <w:p w14:paraId="71C28A31" w14:textId="77777777" w:rsidR="00A74B48" w:rsidRPr="00105DBB" w:rsidRDefault="00A74B48" w:rsidP="0021266E">
      <w:pPr>
        <w:spacing w:after="0" w:line="276" w:lineRule="auto"/>
        <w:jc w:val="both"/>
        <w:rPr>
          <w:rFonts w:asciiTheme="majorBidi" w:hAnsiTheme="majorBidi" w:cstheme="majorBidi"/>
          <w:b/>
          <w:bCs/>
          <w:sz w:val="24"/>
          <w:szCs w:val="24"/>
        </w:rPr>
      </w:pPr>
      <w:r w:rsidRPr="00105DBB">
        <w:rPr>
          <w:rFonts w:asciiTheme="majorBidi" w:hAnsiTheme="majorBidi" w:cstheme="majorBidi"/>
          <w:b/>
          <w:bCs/>
          <w:sz w:val="24"/>
          <w:szCs w:val="24"/>
        </w:rPr>
        <w:t>Material and Methods</w:t>
      </w:r>
    </w:p>
    <w:p w14:paraId="5E9CE49F" w14:textId="33662B2E" w:rsidR="00A74B48" w:rsidRPr="00105DBB" w:rsidRDefault="00A74B48" w:rsidP="0021266E">
      <w:pPr>
        <w:spacing w:line="276" w:lineRule="auto"/>
        <w:jc w:val="both"/>
        <w:rPr>
          <w:rFonts w:asciiTheme="majorBidi" w:hAnsiTheme="majorBidi" w:cstheme="majorBidi"/>
          <w:b/>
          <w:bCs/>
          <w:i/>
          <w:iCs/>
          <w:sz w:val="24"/>
          <w:szCs w:val="24"/>
        </w:rPr>
      </w:pPr>
      <w:r w:rsidRPr="00105DBB">
        <w:rPr>
          <w:rFonts w:asciiTheme="majorBidi" w:hAnsiTheme="majorBidi" w:cstheme="majorBidi"/>
          <w:b/>
          <w:bCs/>
          <w:i/>
          <w:iCs/>
          <w:sz w:val="24"/>
          <w:szCs w:val="24"/>
        </w:rPr>
        <w:t>Study</w:t>
      </w:r>
      <w:r w:rsidR="00396C2A" w:rsidRPr="00105DBB">
        <w:rPr>
          <w:rFonts w:asciiTheme="majorBidi" w:hAnsiTheme="majorBidi" w:cstheme="majorBidi"/>
          <w:b/>
          <w:bCs/>
          <w:i/>
          <w:iCs/>
          <w:sz w:val="24"/>
          <w:szCs w:val="24"/>
        </w:rPr>
        <w:t xml:space="preserve"> design, duration and location: </w:t>
      </w:r>
      <w:r w:rsidRPr="00105DBB">
        <w:rPr>
          <w:rFonts w:asciiTheme="majorBidi" w:hAnsiTheme="majorBidi" w:cstheme="majorBidi"/>
          <w:sz w:val="24"/>
          <w:szCs w:val="24"/>
        </w:rPr>
        <w:t xml:space="preserve">This cross-sectional study was conducted </w:t>
      </w:r>
      <w:r w:rsidR="005567FE" w:rsidRPr="00105DBB">
        <w:rPr>
          <w:rFonts w:asciiTheme="majorBidi" w:hAnsiTheme="majorBidi" w:cstheme="majorBidi"/>
          <w:sz w:val="24"/>
          <w:szCs w:val="24"/>
        </w:rPr>
        <w:t>between</w:t>
      </w:r>
      <w:r w:rsidRPr="00105DBB">
        <w:rPr>
          <w:rFonts w:asciiTheme="majorBidi" w:hAnsiTheme="majorBidi" w:cstheme="majorBidi"/>
          <w:sz w:val="24"/>
          <w:szCs w:val="24"/>
        </w:rPr>
        <w:t xml:space="preserve"> November</w:t>
      </w:r>
      <w:r w:rsidR="00305B91" w:rsidRPr="00105DBB">
        <w:rPr>
          <w:rFonts w:asciiTheme="majorBidi" w:hAnsiTheme="majorBidi" w:cstheme="majorBidi"/>
          <w:sz w:val="24"/>
          <w:szCs w:val="24"/>
        </w:rPr>
        <w:t xml:space="preserve"> 1</w:t>
      </w:r>
      <w:r w:rsidR="00305B91" w:rsidRPr="00105DBB">
        <w:rPr>
          <w:rFonts w:asciiTheme="majorBidi" w:hAnsiTheme="majorBidi" w:cstheme="majorBidi"/>
          <w:sz w:val="24"/>
          <w:szCs w:val="24"/>
          <w:vertAlign w:val="superscript"/>
        </w:rPr>
        <w:t>st</w:t>
      </w:r>
      <w:r w:rsidRPr="00105DBB">
        <w:rPr>
          <w:rFonts w:asciiTheme="majorBidi" w:hAnsiTheme="majorBidi" w:cstheme="majorBidi"/>
          <w:sz w:val="24"/>
          <w:szCs w:val="24"/>
        </w:rPr>
        <w:t xml:space="preserve"> </w:t>
      </w:r>
      <w:r w:rsidR="00305B91" w:rsidRPr="00105DBB">
        <w:rPr>
          <w:rFonts w:asciiTheme="majorBidi" w:hAnsiTheme="majorBidi" w:cstheme="majorBidi"/>
          <w:sz w:val="24"/>
          <w:szCs w:val="24"/>
        </w:rPr>
        <w:t>and</w:t>
      </w:r>
      <w:r w:rsidRPr="00105DBB">
        <w:rPr>
          <w:rFonts w:asciiTheme="majorBidi" w:hAnsiTheme="majorBidi" w:cstheme="majorBidi"/>
          <w:sz w:val="24"/>
          <w:szCs w:val="24"/>
        </w:rPr>
        <w:t xml:space="preserve"> December</w:t>
      </w:r>
      <w:r w:rsidR="00821E9B" w:rsidRPr="00105DBB">
        <w:rPr>
          <w:rFonts w:asciiTheme="majorBidi" w:hAnsiTheme="majorBidi" w:cstheme="majorBidi"/>
          <w:sz w:val="24"/>
          <w:szCs w:val="24"/>
        </w:rPr>
        <w:t xml:space="preserve"> 28</w:t>
      </w:r>
      <w:r w:rsidR="00821E9B" w:rsidRPr="00105DBB">
        <w:rPr>
          <w:rFonts w:asciiTheme="majorBidi" w:hAnsiTheme="majorBidi" w:cstheme="majorBidi"/>
          <w:sz w:val="24"/>
          <w:szCs w:val="24"/>
          <w:vertAlign w:val="superscript"/>
        </w:rPr>
        <w:t>th</w:t>
      </w:r>
      <w:r w:rsidRPr="00105DBB">
        <w:rPr>
          <w:rFonts w:asciiTheme="majorBidi" w:hAnsiTheme="majorBidi" w:cstheme="majorBidi"/>
          <w:sz w:val="24"/>
          <w:szCs w:val="24"/>
        </w:rPr>
        <w:t xml:space="preserve"> 2021 at Herat University.</w:t>
      </w:r>
    </w:p>
    <w:p w14:paraId="26DDB21F" w14:textId="7F32EB56" w:rsidR="00A74B48" w:rsidRPr="00105DBB" w:rsidRDefault="00396C2A" w:rsidP="0021266E">
      <w:pPr>
        <w:spacing w:line="276" w:lineRule="auto"/>
        <w:jc w:val="both"/>
        <w:rPr>
          <w:rFonts w:asciiTheme="majorBidi" w:hAnsiTheme="majorBidi" w:cstheme="majorBidi"/>
          <w:b/>
          <w:bCs/>
          <w:i/>
          <w:iCs/>
          <w:sz w:val="24"/>
          <w:szCs w:val="24"/>
        </w:rPr>
      </w:pPr>
      <w:r w:rsidRPr="00105DBB">
        <w:rPr>
          <w:rFonts w:asciiTheme="majorBidi" w:hAnsiTheme="majorBidi" w:cstheme="majorBidi"/>
          <w:b/>
          <w:bCs/>
          <w:i/>
          <w:iCs/>
          <w:sz w:val="24"/>
          <w:szCs w:val="24"/>
        </w:rPr>
        <w:t xml:space="preserve">Study participants: </w:t>
      </w:r>
      <w:r w:rsidR="00A74B48" w:rsidRPr="00105DBB">
        <w:rPr>
          <w:rFonts w:asciiTheme="majorBidi" w:hAnsiTheme="majorBidi" w:cstheme="majorBidi"/>
          <w:sz w:val="24"/>
          <w:szCs w:val="24"/>
        </w:rPr>
        <w:t>The participants of this study included lecturers, mid-level managers, and support staff of Herat University.</w:t>
      </w:r>
      <w:r w:rsidR="005D4525" w:rsidRPr="00105DBB">
        <w:rPr>
          <w:rFonts w:asciiTheme="majorBidi" w:hAnsiTheme="majorBidi" w:cstheme="majorBidi"/>
          <w:sz w:val="24"/>
          <w:szCs w:val="24"/>
        </w:rPr>
        <w:t xml:space="preserve"> A total of 423</w:t>
      </w:r>
      <w:r w:rsidR="00A74B48" w:rsidRPr="00105DBB">
        <w:rPr>
          <w:rFonts w:asciiTheme="majorBidi" w:hAnsiTheme="majorBidi" w:cstheme="majorBidi"/>
          <w:sz w:val="24"/>
          <w:szCs w:val="24"/>
        </w:rPr>
        <w:t xml:space="preserve"> staff were employed at Herat University at the time of the study. </w:t>
      </w:r>
    </w:p>
    <w:p w14:paraId="060E8FA6" w14:textId="671B3FCA" w:rsidR="00A74B48" w:rsidRPr="00105DBB" w:rsidRDefault="00A74B48" w:rsidP="0021266E">
      <w:pPr>
        <w:spacing w:after="0" w:line="276" w:lineRule="auto"/>
        <w:jc w:val="both"/>
        <w:rPr>
          <w:rFonts w:asciiTheme="majorBidi" w:hAnsiTheme="majorBidi" w:cstheme="majorBidi"/>
          <w:b/>
          <w:bCs/>
          <w:i/>
          <w:iCs/>
          <w:sz w:val="24"/>
          <w:szCs w:val="24"/>
        </w:rPr>
      </w:pPr>
      <w:r w:rsidRPr="00105DBB">
        <w:rPr>
          <w:rFonts w:asciiTheme="majorBidi" w:hAnsiTheme="majorBidi" w:cstheme="majorBidi"/>
          <w:b/>
          <w:bCs/>
          <w:i/>
          <w:iCs/>
          <w:sz w:val="24"/>
          <w:szCs w:val="24"/>
        </w:rPr>
        <w:t>Sample size ca</w:t>
      </w:r>
      <w:r w:rsidR="00396C2A" w:rsidRPr="00105DBB">
        <w:rPr>
          <w:rFonts w:asciiTheme="majorBidi" w:hAnsiTheme="majorBidi" w:cstheme="majorBidi"/>
          <w:b/>
          <w:bCs/>
          <w:i/>
          <w:iCs/>
          <w:sz w:val="24"/>
          <w:szCs w:val="24"/>
        </w:rPr>
        <w:t xml:space="preserve">lculation and sampling strategy: </w:t>
      </w:r>
      <w:r w:rsidRPr="00105DBB">
        <w:rPr>
          <w:rFonts w:asciiTheme="majorBidi" w:hAnsiTheme="majorBidi" w:cstheme="majorBidi"/>
          <w:sz w:val="24"/>
          <w:szCs w:val="24"/>
        </w:rPr>
        <w:t xml:space="preserve">Sample size was calculated by </w:t>
      </w:r>
      <w:r w:rsidR="009C6C1C" w:rsidRPr="00105DBB">
        <w:rPr>
          <w:rFonts w:asciiTheme="majorBidi" w:hAnsiTheme="majorBidi" w:cstheme="majorBidi"/>
          <w:sz w:val="24"/>
          <w:szCs w:val="24"/>
        </w:rPr>
        <w:t>R</w:t>
      </w:r>
      <w:r w:rsidRPr="00105DBB">
        <w:rPr>
          <w:rFonts w:asciiTheme="majorBidi" w:hAnsiTheme="majorBidi" w:cstheme="majorBidi"/>
          <w:sz w:val="24"/>
          <w:szCs w:val="24"/>
        </w:rPr>
        <w:t>aosoft sample size calculator, using the following formula:</w:t>
      </w:r>
    </w:p>
    <w:p w14:paraId="77A98ECB" w14:textId="77777777" w:rsidR="00A74B48" w:rsidRPr="004637F0" w:rsidRDefault="00A74B48" w:rsidP="0021266E">
      <w:pPr>
        <w:spacing w:line="276" w:lineRule="auto"/>
        <w:jc w:val="center"/>
        <w:rPr>
          <w:rFonts w:asciiTheme="majorBidi" w:hAnsiTheme="majorBidi" w:cstheme="majorBidi"/>
          <w:sz w:val="21"/>
          <w:szCs w:val="21"/>
          <w:lang w:val="de-DE"/>
        </w:rPr>
      </w:pPr>
      <w:r w:rsidRPr="004637F0">
        <w:rPr>
          <w:rFonts w:asciiTheme="majorBidi" w:hAnsiTheme="majorBidi" w:cstheme="majorBidi"/>
          <w:i/>
          <w:iCs/>
          <w:sz w:val="21"/>
          <w:szCs w:val="21"/>
          <w:lang w:val="de-DE"/>
        </w:rPr>
        <w:t>x</w:t>
      </w:r>
      <w:r w:rsidRPr="004637F0">
        <w:rPr>
          <w:rFonts w:asciiTheme="majorBidi" w:hAnsiTheme="majorBidi" w:cstheme="majorBidi"/>
          <w:sz w:val="21"/>
          <w:szCs w:val="21"/>
          <w:lang w:val="de-DE"/>
        </w:rPr>
        <w:t>=</w:t>
      </w:r>
      <w:r w:rsidRPr="004637F0">
        <w:rPr>
          <w:rFonts w:asciiTheme="majorBidi" w:hAnsiTheme="majorBidi" w:cstheme="majorBidi"/>
          <w:i/>
          <w:iCs/>
          <w:sz w:val="21"/>
          <w:szCs w:val="21"/>
          <w:lang w:val="de-DE"/>
        </w:rPr>
        <w:t>Z</w:t>
      </w:r>
      <w:r w:rsidRPr="004637F0">
        <w:rPr>
          <w:rFonts w:asciiTheme="majorBidi" w:hAnsiTheme="majorBidi" w:cstheme="majorBidi"/>
          <w:sz w:val="21"/>
          <w:szCs w:val="21"/>
          <w:lang w:val="de-DE"/>
        </w:rPr>
        <w:t>(</w:t>
      </w:r>
      <w:r w:rsidRPr="004637F0">
        <w:rPr>
          <w:rFonts w:asciiTheme="majorBidi" w:hAnsiTheme="majorBidi" w:cstheme="majorBidi"/>
          <w:i/>
          <w:iCs/>
          <w:sz w:val="21"/>
          <w:szCs w:val="21"/>
          <w:vertAlign w:val="superscript"/>
          <w:lang w:val="de-DE"/>
        </w:rPr>
        <w:t>c</w:t>
      </w:r>
      <w:r w:rsidRPr="004637F0">
        <w:rPr>
          <w:rFonts w:asciiTheme="majorBidi" w:hAnsiTheme="majorBidi" w:cstheme="majorBidi"/>
          <w:sz w:val="21"/>
          <w:szCs w:val="21"/>
          <w:lang w:val="de-DE"/>
        </w:rPr>
        <w:t>/</w:t>
      </w:r>
      <w:r w:rsidRPr="004637F0">
        <w:rPr>
          <w:rFonts w:asciiTheme="majorBidi" w:hAnsiTheme="majorBidi" w:cstheme="majorBidi"/>
          <w:sz w:val="21"/>
          <w:szCs w:val="21"/>
          <w:vertAlign w:val="subscript"/>
          <w:lang w:val="de-DE"/>
        </w:rPr>
        <w:t>100</w:t>
      </w:r>
      <w:r w:rsidRPr="004637F0">
        <w:rPr>
          <w:rFonts w:asciiTheme="majorBidi" w:hAnsiTheme="majorBidi" w:cstheme="majorBidi"/>
          <w:sz w:val="21"/>
          <w:szCs w:val="21"/>
          <w:lang w:val="de-DE"/>
        </w:rPr>
        <w:t>)</w:t>
      </w:r>
      <w:r w:rsidRPr="004637F0">
        <w:rPr>
          <w:rFonts w:asciiTheme="majorBidi" w:hAnsiTheme="majorBidi" w:cstheme="majorBidi"/>
          <w:sz w:val="21"/>
          <w:szCs w:val="21"/>
          <w:vertAlign w:val="superscript"/>
          <w:lang w:val="de-DE"/>
        </w:rPr>
        <w:t>2</w:t>
      </w:r>
      <w:r w:rsidRPr="004637F0">
        <w:rPr>
          <w:rFonts w:asciiTheme="majorBidi" w:hAnsiTheme="majorBidi" w:cstheme="majorBidi"/>
          <w:i/>
          <w:iCs/>
          <w:sz w:val="21"/>
          <w:szCs w:val="21"/>
          <w:lang w:val="de-DE"/>
        </w:rPr>
        <w:t>r</w:t>
      </w:r>
      <w:r w:rsidRPr="004637F0">
        <w:rPr>
          <w:rFonts w:asciiTheme="majorBidi" w:hAnsiTheme="majorBidi" w:cstheme="majorBidi"/>
          <w:sz w:val="21"/>
          <w:szCs w:val="21"/>
          <w:lang w:val="de-DE"/>
        </w:rPr>
        <w:t>(100-</w:t>
      </w:r>
      <w:r w:rsidRPr="004637F0">
        <w:rPr>
          <w:rFonts w:asciiTheme="majorBidi" w:hAnsiTheme="majorBidi" w:cstheme="majorBidi"/>
          <w:i/>
          <w:iCs/>
          <w:sz w:val="21"/>
          <w:szCs w:val="21"/>
          <w:lang w:val="de-DE"/>
        </w:rPr>
        <w:t>r</w:t>
      </w:r>
      <w:r w:rsidRPr="004637F0">
        <w:rPr>
          <w:rFonts w:asciiTheme="majorBidi" w:hAnsiTheme="majorBidi" w:cstheme="majorBidi"/>
          <w:sz w:val="21"/>
          <w:szCs w:val="21"/>
          <w:lang w:val="de-DE"/>
        </w:rPr>
        <w:t>)</w:t>
      </w:r>
    </w:p>
    <w:p w14:paraId="3ED80A7E" w14:textId="77777777" w:rsidR="00A74B48" w:rsidRPr="004637F0" w:rsidRDefault="00A74B48" w:rsidP="0021266E">
      <w:pPr>
        <w:spacing w:line="276" w:lineRule="auto"/>
        <w:jc w:val="center"/>
        <w:rPr>
          <w:rFonts w:asciiTheme="majorBidi" w:hAnsiTheme="majorBidi" w:cstheme="majorBidi"/>
          <w:sz w:val="21"/>
          <w:szCs w:val="21"/>
          <w:vertAlign w:val="subscript"/>
          <w:lang w:val="de-DE"/>
        </w:rPr>
      </w:pPr>
      <w:r w:rsidRPr="004637F0">
        <w:rPr>
          <w:rFonts w:asciiTheme="majorBidi" w:hAnsiTheme="majorBidi" w:cstheme="majorBidi"/>
          <w:i/>
          <w:iCs/>
          <w:sz w:val="21"/>
          <w:szCs w:val="21"/>
          <w:lang w:val="de-DE"/>
        </w:rPr>
        <w:lastRenderedPageBreak/>
        <w:t>n</w:t>
      </w:r>
      <w:r w:rsidRPr="004637F0">
        <w:rPr>
          <w:rFonts w:asciiTheme="majorBidi" w:hAnsiTheme="majorBidi" w:cstheme="majorBidi"/>
          <w:sz w:val="21"/>
          <w:szCs w:val="21"/>
          <w:lang w:val="de-DE"/>
        </w:rPr>
        <w:t>=</w:t>
      </w:r>
      <w:r w:rsidRPr="004637F0">
        <w:rPr>
          <w:rFonts w:asciiTheme="majorBidi" w:hAnsiTheme="majorBidi" w:cstheme="majorBidi"/>
          <w:i/>
          <w:iCs/>
          <w:sz w:val="21"/>
          <w:szCs w:val="21"/>
          <w:vertAlign w:val="superscript"/>
          <w:lang w:val="de-DE"/>
        </w:rPr>
        <w:t>N x</w:t>
      </w:r>
      <w:r w:rsidRPr="004637F0">
        <w:rPr>
          <w:rFonts w:asciiTheme="majorBidi" w:hAnsiTheme="majorBidi" w:cstheme="majorBidi"/>
          <w:sz w:val="21"/>
          <w:szCs w:val="21"/>
          <w:lang w:val="de-DE"/>
        </w:rPr>
        <w:t>/</w:t>
      </w:r>
      <w:r w:rsidRPr="004637F0">
        <w:rPr>
          <w:rFonts w:asciiTheme="majorBidi" w:hAnsiTheme="majorBidi" w:cstheme="majorBidi"/>
          <w:sz w:val="21"/>
          <w:szCs w:val="21"/>
          <w:vertAlign w:val="subscript"/>
          <w:lang w:val="de-DE"/>
        </w:rPr>
        <w:t>((</w:t>
      </w:r>
      <w:r w:rsidRPr="004637F0">
        <w:rPr>
          <w:rFonts w:asciiTheme="majorBidi" w:hAnsiTheme="majorBidi" w:cstheme="majorBidi"/>
          <w:i/>
          <w:iCs/>
          <w:sz w:val="21"/>
          <w:szCs w:val="21"/>
          <w:vertAlign w:val="subscript"/>
          <w:lang w:val="de-DE"/>
        </w:rPr>
        <w:t>N</w:t>
      </w:r>
      <w:r w:rsidRPr="004637F0">
        <w:rPr>
          <w:rFonts w:asciiTheme="majorBidi" w:hAnsiTheme="majorBidi" w:cstheme="majorBidi"/>
          <w:sz w:val="21"/>
          <w:szCs w:val="21"/>
          <w:vertAlign w:val="subscript"/>
          <w:lang w:val="de-DE"/>
        </w:rPr>
        <w:t>-1)</w:t>
      </w:r>
      <w:r w:rsidRPr="004637F0">
        <w:rPr>
          <w:rFonts w:asciiTheme="majorBidi" w:hAnsiTheme="majorBidi" w:cstheme="majorBidi"/>
          <w:i/>
          <w:iCs/>
          <w:sz w:val="21"/>
          <w:szCs w:val="21"/>
          <w:vertAlign w:val="subscript"/>
          <w:lang w:val="de-DE"/>
        </w:rPr>
        <w:t>E</w:t>
      </w:r>
      <w:r w:rsidRPr="004637F0">
        <w:rPr>
          <w:rFonts w:asciiTheme="majorBidi" w:hAnsiTheme="majorBidi" w:cstheme="majorBidi"/>
          <w:sz w:val="21"/>
          <w:szCs w:val="21"/>
          <w:vertAlign w:val="superscript"/>
          <w:lang w:val="de-DE"/>
        </w:rPr>
        <w:t>2</w:t>
      </w:r>
      <w:r w:rsidRPr="004637F0">
        <w:rPr>
          <w:rFonts w:asciiTheme="majorBidi" w:hAnsiTheme="majorBidi" w:cstheme="majorBidi"/>
          <w:sz w:val="21"/>
          <w:szCs w:val="21"/>
          <w:vertAlign w:val="subscript"/>
          <w:lang w:val="de-DE"/>
        </w:rPr>
        <w:t> + </w:t>
      </w:r>
      <w:r w:rsidRPr="004637F0">
        <w:rPr>
          <w:rFonts w:asciiTheme="majorBidi" w:hAnsiTheme="majorBidi" w:cstheme="majorBidi"/>
          <w:i/>
          <w:iCs/>
          <w:sz w:val="21"/>
          <w:szCs w:val="21"/>
          <w:vertAlign w:val="subscript"/>
          <w:lang w:val="de-DE"/>
        </w:rPr>
        <w:t>x</w:t>
      </w:r>
      <w:r w:rsidRPr="004637F0">
        <w:rPr>
          <w:rFonts w:asciiTheme="majorBidi" w:hAnsiTheme="majorBidi" w:cstheme="majorBidi"/>
          <w:sz w:val="21"/>
          <w:szCs w:val="21"/>
          <w:vertAlign w:val="subscript"/>
          <w:lang w:val="de-DE"/>
        </w:rPr>
        <w:t>)</w:t>
      </w:r>
    </w:p>
    <w:p w14:paraId="01174A49" w14:textId="77777777" w:rsidR="00A74B48" w:rsidRPr="004637F0" w:rsidRDefault="00A74B48" w:rsidP="0021266E">
      <w:pPr>
        <w:spacing w:line="276" w:lineRule="auto"/>
        <w:jc w:val="center"/>
        <w:rPr>
          <w:rFonts w:asciiTheme="majorBidi" w:hAnsiTheme="majorBidi" w:cstheme="majorBidi"/>
          <w:sz w:val="21"/>
          <w:szCs w:val="21"/>
          <w:lang w:val="de-DE"/>
        </w:rPr>
      </w:pPr>
      <w:r w:rsidRPr="004637F0">
        <w:rPr>
          <w:rFonts w:asciiTheme="majorBidi" w:hAnsiTheme="majorBidi" w:cstheme="majorBidi"/>
          <w:i/>
          <w:iCs/>
          <w:sz w:val="21"/>
          <w:szCs w:val="21"/>
          <w:lang w:val="de-DE"/>
        </w:rPr>
        <w:t>E</w:t>
      </w:r>
      <w:r w:rsidRPr="004637F0">
        <w:rPr>
          <w:rFonts w:asciiTheme="majorBidi" w:hAnsiTheme="majorBidi" w:cstheme="majorBidi"/>
          <w:sz w:val="21"/>
          <w:szCs w:val="21"/>
          <w:lang w:val="de-DE"/>
        </w:rPr>
        <w:t>=Sqrt[</w:t>
      </w:r>
      <w:r w:rsidRPr="004637F0">
        <w:rPr>
          <w:rFonts w:asciiTheme="majorBidi" w:hAnsiTheme="majorBidi" w:cstheme="majorBidi"/>
          <w:sz w:val="21"/>
          <w:szCs w:val="21"/>
          <w:vertAlign w:val="superscript"/>
          <w:lang w:val="de-DE"/>
        </w:rPr>
        <w:t>(</w:t>
      </w:r>
      <w:r w:rsidRPr="004637F0">
        <w:rPr>
          <w:rFonts w:asciiTheme="majorBidi" w:hAnsiTheme="majorBidi" w:cstheme="majorBidi"/>
          <w:i/>
          <w:iCs/>
          <w:sz w:val="21"/>
          <w:szCs w:val="21"/>
          <w:vertAlign w:val="superscript"/>
          <w:lang w:val="de-DE"/>
        </w:rPr>
        <w:t>N</w:t>
      </w:r>
      <w:r w:rsidRPr="004637F0">
        <w:rPr>
          <w:rFonts w:asciiTheme="majorBidi" w:hAnsiTheme="majorBidi" w:cstheme="majorBidi"/>
          <w:sz w:val="21"/>
          <w:szCs w:val="21"/>
          <w:vertAlign w:val="superscript"/>
          <w:lang w:val="de-DE"/>
        </w:rPr>
        <w:t> - </w:t>
      </w:r>
      <w:r w:rsidRPr="004637F0">
        <w:rPr>
          <w:rFonts w:asciiTheme="majorBidi" w:hAnsiTheme="majorBidi" w:cstheme="majorBidi"/>
          <w:i/>
          <w:iCs/>
          <w:sz w:val="21"/>
          <w:szCs w:val="21"/>
          <w:vertAlign w:val="superscript"/>
          <w:lang w:val="de-DE"/>
        </w:rPr>
        <w:t>n</w:t>
      </w:r>
      <w:r w:rsidRPr="004637F0">
        <w:rPr>
          <w:rFonts w:asciiTheme="majorBidi" w:hAnsiTheme="majorBidi" w:cstheme="majorBidi"/>
          <w:sz w:val="21"/>
          <w:szCs w:val="21"/>
          <w:vertAlign w:val="superscript"/>
          <w:lang w:val="de-DE"/>
        </w:rPr>
        <w:t>)</w:t>
      </w:r>
      <w:r w:rsidRPr="004637F0">
        <w:rPr>
          <w:rFonts w:asciiTheme="majorBidi" w:hAnsiTheme="majorBidi" w:cstheme="majorBidi"/>
          <w:i/>
          <w:iCs/>
          <w:sz w:val="21"/>
          <w:szCs w:val="21"/>
          <w:vertAlign w:val="superscript"/>
          <w:lang w:val="de-DE"/>
        </w:rPr>
        <w:t>x</w:t>
      </w:r>
      <w:r w:rsidRPr="004637F0">
        <w:rPr>
          <w:rFonts w:asciiTheme="majorBidi" w:hAnsiTheme="majorBidi" w:cstheme="majorBidi"/>
          <w:sz w:val="21"/>
          <w:szCs w:val="21"/>
          <w:lang w:val="de-DE"/>
        </w:rPr>
        <w:t>/</w:t>
      </w:r>
      <w:r w:rsidRPr="004637F0">
        <w:rPr>
          <w:rFonts w:asciiTheme="majorBidi" w:hAnsiTheme="majorBidi" w:cstheme="majorBidi"/>
          <w:i/>
          <w:iCs/>
          <w:sz w:val="21"/>
          <w:szCs w:val="21"/>
          <w:vertAlign w:val="subscript"/>
          <w:lang w:val="de-DE"/>
        </w:rPr>
        <w:t>n</w:t>
      </w:r>
      <w:r w:rsidRPr="004637F0">
        <w:rPr>
          <w:rFonts w:asciiTheme="majorBidi" w:hAnsiTheme="majorBidi" w:cstheme="majorBidi"/>
          <w:sz w:val="21"/>
          <w:szCs w:val="21"/>
          <w:vertAlign w:val="subscript"/>
          <w:lang w:val="de-DE"/>
        </w:rPr>
        <w:t>(</w:t>
      </w:r>
      <w:r w:rsidRPr="004637F0">
        <w:rPr>
          <w:rFonts w:asciiTheme="majorBidi" w:hAnsiTheme="majorBidi" w:cstheme="majorBidi"/>
          <w:i/>
          <w:iCs/>
          <w:sz w:val="21"/>
          <w:szCs w:val="21"/>
          <w:vertAlign w:val="subscript"/>
          <w:lang w:val="de-DE"/>
        </w:rPr>
        <w:t>N</w:t>
      </w:r>
      <w:r w:rsidRPr="004637F0">
        <w:rPr>
          <w:rFonts w:asciiTheme="majorBidi" w:hAnsiTheme="majorBidi" w:cstheme="majorBidi"/>
          <w:sz w:val="21"/>
          <w:szCs w:val="21"/>
          <w:vertAlign w:val="subscript"/>
          <w:lang w:val="de-DE"/>
        </w:rPr>
        <w:t>-1)</w:t>
      </w:r>
      <w:r w:rsidRPr="004637F0">
        <w:rPr>
          <w:rFonts w:asciiTheme="majorBidi" w:hAnsiTheme="majorBidi" w:cstheme="majorBidi"/>
          <w:sz w:val="21"/>
          <w:szCs w:val="21"/>
          <w:lang w:val="de-DE"/>
        </w:rPr>
        <w:t>]</w:t>
      </w:r>
    </w:p>
    <w:p w14:paraId="37763E5B" w14:textId="71DC3BAA" w:rsidR="00A74B48" w:rsidRPr="00105DBB" w:rsidRDefault="00A74B48" w:rsidP="00500F9F">
      <w:pPr>
        <w:spacing w:line="276" w:lineRule="auto"/>
        <w:ind w:firstLine="360"/>
        <w:jc w:val="both"/>
        <w:rPr>
          <w:rFonts w:asciiTheme="majorBidi" w:hAnsiTheme="majorBidi" w:cstheme="majorBidi"/>
          <w:sz w:val="24"/>
          <w:szCs w:val="24"/>
        </w:rPr>
      </w:pPr>
      <w:r w:rsidRPr="00105DBB">
        <w:rPr>
          <w:rFonts w:asciiTheme="majorBidi" w:hAnsiTheme="majorBidi" w:cstheme="majorBidi"/>
          <w:sz w:val="24"/>
          <w:szCs w:val="24"/>
        </w:rPr>
        <w:t xml:space="preserve">In this formula, </w:t>
      </w:r>
      <w:r w:rsidRPr="00105DBB">
        <w:rPr>
          <w:rFonts w:asciiTheme="majorBidi" w:hAnsiTheme="majorBidi" w:cstheme="majorBidi"/>
          <w:i/>
          <w:iCs/>
          <w:sz w:val="24"/>
          <w:szCs w:val="24"/>
        </w:rPr>
        <w:t>Z</w:t>
      </w:r>
      <w:r w:rsidRPr="00105DBB">
        <w:rPr>
          <w:rFonts w:asciiTheme="majorBidi" w:hAnsiTheme="majorBidi" w:cstheme="majorBidi"/>
          <w:sz w:val="24"/>
          <w:szCs w:val="24"/>
        </w:rPr>
        <w:t xml:space="preserve"> is the critical value, </w:t>
      </w:r>
      <w:r w:rsidRPr="00105DBB">
        <w:rPr>
          <w:rFonts w:asciiTheme="majorBidi" w:hAnsiTheme="majorBidi" w:cstheme="majorBidi"/>
          <w:i/>
          <w:iCs/>
          <w:sz w:val="24"/>
          <w:szCs w:val="24"/>
        </w:rPr>
        <w:t xml:space="preserve">c </w:t>
      </w:r>
      <w:r w:rsidRPr="00105DBB">
        <w:rPr>
          <w:rFonts w:asciiTheme="majorBidi" w:hAnsiTheme="majorBidi" w:cstheme="majorBidi"/>
          <w:sz w:val="24"/>
          <w:szCs w:val="24"/>
        </w:rPr>
        <w:t xml:space="preserve">is the confidence level, </w:t>
      </w:r>
      <w:r w:rsidRPr="00105DBB">
        <w:rPr>
          <w:rFonts w:asciiTheme="majorBidi" w:hAnsiTheme="majorBidi" w:cstheme="majorBidi"/>
          <w:i/>
          <w:iCs/>
          <w:sz w:val="24"/>
          <w:szCs w:val="24"/>
        </w:rPr>
        <w:t>r</w:t>
      </w:r>
      <w:r w:rsidRPr="00105DBB">
        <w:rPr>
          <w:rFonts w:asciiTheme="majorBidi" w:hAnsiTheme="majorBidi" w:cstheme="majorBidi"/>
          <w:sz w:val="24"/>
          <w:szCs w:val="24"/>
        </w:rPr>
        <w:t xml:space="preserve"> is the fraction of responses, </w:t>
      </w:r>
      <w:r w:rsidRPr="00105DBB">
        <w:rPr>
          <w:rFonts w:asciiTheme="majorBidi" w:hAnsiTheme="majorBidi" w:cstheme="majorBidi"/>
          <w:i/>
          <w:iCs/>
          <w:sz w:val="24"/>
          <w:szCs w:val="24"/>
        </w:rPr>
        <w:t>n</w:t>
      </w:r>
      <w:r w:rsidRPr="00105DBB">
        <w:rPr>
          <w:rFonts w:asciiTheme="majorBidi" w:hAnsiTheme="majorBidi" w:cstheme="majorBidi"/>
          <w:sz w:val="24"/>
          <w:szCs w:val="24"/>
        </w:rPr>
        <w:t xml:space="preserve"> is the estimated sample size, </w:t>
      </w:r>
      <w:r w:rsidRPr="00105DBB">
        <w:rPr>
          <w:rFonts w:asciiTheme="majorBidi" w:hAnsiTheme="majorBidi" w:cstheme="majorBidi"/>
          <w:i/>
          <w:iCs/>
          <w:sz w:val="24"/>
          <w:szCs w:val="24"/>
        </w:rPr>
        <w:t>N</w:t>
      </w:r>
      <w:r w:rsidRPr="00105DBB">
        <w:rPr>
          <w:rFonts w:asciiTheme="majorBidi" w:hAnsiTheme="majorBidi" w:cstheme="majorBidi"/>
          <w:sz w:val="24"/>
          <w:szCs w:val="24"/>
        </w:rPr>
        <w:t xml:space="preserve"> is the population size, and </w:t>
      </w:r>
      <w:r w:rsidRPr="00105DBB">
        <w:rPr>
          <w:rFonts w:asciiTheme="majorBidi" w:hAnsiTheme="majorBidi" w:cstheme="majorBidi"/>
          <w:i/>
          <w:iCs/>
          <w:sz w:val="24"/>
          <w:szCs w:val="24"/>
        </w:rPr>
        <w:t>E</w:t>
      </w:r>
      <w:r w:rsidRPr="00105DBB">
        <w:rPr>
          <w:rFonts w:asciiTheme="majorBidi" w:hAnsiTheme="majorBidi" w:cstheme="majorBidi"/>
          <w:sz w:val="24"/>
          <w:szCs w:val="24"/>
        </w:rPr>
        <w:t xml:space="preserve"> is the margin of error.</w:t>
      </w:r>
      <w:r w:rsidR="00B42240" w:rsidRPr="00105DBB">
        <w:rPr>
          <w:rFonts w:asciiTheme="majorBidi" w:hAnsiTheme="majorBidi" w:cstheme="majorBidi"/>
          <w:sz w:val="24"/>
          <w:szCs w:val="24"/>
        </w:rPr>
        <w:t xml:space="preserve"> </w:t>
      </w:r>
      <w:r w:rsidRPr="00105DBB">
        <w:rPr>
          <w:rFonts w:asciiTheme="majorBidi" w:hAnsiTheme="majorBidi" w:cstheme="majorBidi"/>
          <w:sz w:val="24"/>
          <w:szCs w:val="24"/>
        </w:rPr>
        <w:t>The minim</w:t>
      </w:r>
      <w:r w:rsidR="00F91E63" w:rsidRPr="00105DBB">
        <w:rPr>
          <w:rFonts w:asciiTheme="majorBidi" w:hAnsiTheme="majorBidi" w:cstheme="majorBidi"/>
          <w:sz w:val="24"/>
          <w:szCs w:val="24"/>
        </w:rPr>
        <w:t>um estimated sample size was 202</w:t>
      </w:r>
      <w:r w:rsidRPr="00105DBB">
        <w:rPr>
          <w:rFonts w:asciiTheme="majorBidi" w:hAnsiTheme="majorBidi" w:cstheme="majorBidi"/>
          <w:sz w:val="24"/>
          <w:szCs w:val="24"/>
        </w:rPr>
        <w:t>, using an error margin of 5% and confidence level of 95%. We added 10% to the estimated sample size to compensate for any possible incomplete or inappropriate responses.</w:t>
      </w:r>
    </w:p>
    <w:p w14:paraId="78D665A0" w14:textId="19BC4C45" w:rsidR="00A74B48" w:rsidRPr="00105DBB" w:rsidRDefault="00A74B48" w:rsidP="0021266E">
      <w:pPr>
        <w:spacing w:line="276" w:lineRule="auto"/>
        <w:jc w:val="both"/>
        <w:rPr>
          <w:rFonts w:asciiTheme="majorBidi" w:hAnsiTheme="majorBidi" w:cstheme="majorBidi"/>
          <w:b/>
          <w:bCs/>
          <w:i/>
          <w:iCs/>
          <w:sz w:val="24"/>
          <w:szCs w:val="24"/>
        </w:rPr>
      </w:pPr>
      <w:r w:rsidRPr="00105DBB">
        <w:rPr>
          <w:rFonts w:asciiTheme="majorBidi" w:hAnsiTheme="majorBidi" w:cstheme="majorBidi"/>
          <w:b/>
          <w:bCs/>
          <w:i/>
          <w:iCs/>
          <w:sz w:val="24"/>
          <w:szCs w:val="24"/>
        </w:rPr>
        <w:t>Ethical consid</w:t>
      </w:r>
      <w:r w:rsidR="00284AD8" w:rsidRPr="00105DBB">
        <w:rPr>
          <w:rFonts w:asciiTheme="majorBidi" w:hAnsiTheme="majorBidi" w:cstheme="majorBidi"/>
          <w:b/>
          <w:bCs/>
          <w:i/>
          <w:iCs/>
          <w:sz w:val="24"/>
          <w:szCs w:val="24"/>
        </w:rPr>
        <w:t xml:space="preserve">eration: </w:t>
      </w:r>
      <w:r w:rsidRPr="00105DBB">
        <w:rPr>
          <w:rFonts w:asciiTheme="majorBidi" w:hAnsiTheme="majorBidi" w:cstheme="majorBidi"/>
          <w:sz w:val="24"/>
          <w:szCs w:val="24"/>
        </w:rPr>
        <w:t>The Ethics Committee of</w:t>
      </w:r>
      <w:r w:rsidR="002F334A" w:rsidRPr="00105DBB">
        <w:rPr>
          <w:rFonts w:asciiTheme="majorBidi" w:hAnsiTheme="majorBidi" w:cstheme="majorBidi"/>
          <w:sz w:val="24"/>
          <w:szCs w:val="24"/>
        </w:rPr>
        <w:t xml:space="preserve"> the R</w:t>
      </w:r>
      <w:r w:rsidRPr="00105DBB">
        <w:rPr>
          <w:rFonts w:asciiTheme="majorBidi" w:hAnsiTheme="majorBidi" w:cstheme="majorBidi"/>
          <w:sz w:val="24"/>
          <w:szCs w:val="24"/>
        </w:rPr>
        <w:t xml:space="preserve">esearch </w:t>
      </w:r>
      <w:r w:rsidR="002F334A" w:rsidRPr="00105DBB">
        <w:rPr>
          <w:rFonts w:asciiTheme="majorBidi" w:hAnsiTheme="majorBidi" w:cstheme="majorBidi"/>
          <w:sz w:val="24"/>
          <w:szCs w:val="24"/>
        </w:rPr>
        <w:t>C</w:t>
      </w:r>
      <w:r w:rsidRPr="00105DBB">
        <w:rPr>
          <w:rFonts w:asciiTheme="majorBidi" w:hAnsiTheme="majorBidi" w:cstheme="majorBidi"/>
          <w:sz w:val="24"/>
          <w:szCs w:val="24"/>
        </w:rPr>
        <w:t xml:space="preserve">enter of Herat University approved the study protocol (Approval number #200221). Prior to the conduct of interview, a written informed consent was obtained from each participant. </w:t>
      </w:r>
    </w:p>
    <w:p w14:paraId="7606A43A" w14:textId="6C183659" w:rsidR="00A74B48" w:rsidRPr="00105DBB" w:rsidRDefault="00284AD8" w:rsidP="0021266E">
      <w:pPr>
        <w:spacing w:line="276" w:lineRule="auto"/>
        <w:jc w:val="both"/>
        <w:rPr>
          <w:rFonts w:asciiTheme="majorBidi" w:hAnsiTheme="majorBidi" w:cstheme="majorBidi"/>
          <w:b/>
          <w:bCs/>
          <w:i/>
          <w:iCs/>
          <w:sz w:val="24"/>
          <w:szCs w:val="24"/>
        </w:rPr>
      </w:pPr>
      <w:r w:rsidRPr="00105DBB">
        <w:rPr>
          <w:rFonts w:asciiTheme="majorBidi" w:hAnsiTheme="majorBidi" w:cstheme="majorBidi"/>
          <w:b/>
          <w:bCs/>
          <w:i/>
          <w:iCs/>
          <w:sz w:val="24"/>
          <w:szCs w:val="24"/>
        </w:rPr>
        <w:t xml:space="preserve">Survey instrument: </w:t>
      </w:r>
      <w:r w:rsidR="00A74B48" w:rsidRPr="00105DBB">
        <w:rPr>
          <w:rFonts w:asciiTheme="majorBidi" w:hAnsiTheme="majorBidi" w:cstheme="majorBidi"/>
          <w:sz w:val="24"/>
          <w:szCs w:val="24"/>
        </w:rPr>
        <w:t>Sociodemographic data including participan</w:t>
      </w:r>
      <w:r w:rsidR="00307ECF" w:rsidRPr="00105DBB">
        <w:rPr>
          <w:rFonts w:asciiTheme="majorBidi" w:hAnsiTheme="majorBidi" w:cstheme="majorBidi"/>
          <w:sz w:val="24"/>
          <w:szCs w:val="24"/>
        </w:rPr>
        <w:t>t’s</w:t>
      </w:r>
      <w:r w:rsidR="00A74B48" w:rsidRPr="00105DBB">
        <w:rPr>
          <w:rFonts w:asciiTheme="majorBidi" w:hAnsiTheme="majorBidi" w:cstheme="majorBidi"/>
          <w:sz w:val="24"/>
          <w:szCs w:val="24"/>
        </w:rPr>
        <w:t xml:space="preserve"> age, gender, job category, education, marital status, economic status, gen</w:t>
      </w:r>
      <w:r w:rsidR="0066237F" w:rsidRPr="00105DBB">
        <w:rPr>
          <w:rFonts w:asciiTheme="majorBidi" w:hAnsiTheme="majorBidi" w:cstheme="majorBidi"/>
          <w:sz w:val="24"/>
          <w:szCs w:val="24"/>
        </w:rPr>
        <w:t xml:space="preserve">eral health, type of residence, </w:t>
      </w:r>
      <w:r w:rsidR="00A74B48" w:rsidRPr="00105DBB">
        <w:rPr>
          <w:rFonts w:asciiTheme="majorBidi" w:hAnsiTheme="majorBidi" w:cstheme="majorBidi"/>
          <w:sz w:val="24"/>
          <w:szCs w:val="24"/>
        </w:rPr>
        <w:t xml:space="preserve">concern about shortage of food in near future, </w:t>
      </w:r>
      <w:r w:rsidR="0066237F" w:rsidRPr="00105DBB">
        <w:rPr>
          <w:rFonts w:asciiTheme="majorBidi" w:hAnsiTheme="majorBidi" w:cstheme="majorBidi"/>
          <w:sz w:val="24"/>
          <w:szCs w:val="24"/>
        </w:rPr>
        <w:t xml:space="preserve">concern about losing house, </w:t>
      </w:r>
      <w:r w:rsidR="00A74B48" w:rsidRPr="00105DBB">
        <w:rPr>
          <w:rFonts w:asciiTheme="majorBidi" w:hAnsiTheme="majorBidi" w:cstheme="majorBidi"/>
          <w:sz w:val="24"/>
          <w:szCs w:val="24"/>
        </w:rPr>
        <w:t>and concern about losing job were collected usi</w:t>
      </w:r>
      <w:r w:rsidR="00226471" w:rsidRPr="00105DBB">
        <w:rPr>
          <w:rFonts w:asciiTheme="majorBidi" w:hAnsiTheme="majorBidi" w:cstheme="majorBidi"/>
          <w:sz w:val="24"/>
          <w:szCs w:val="24"/>
        </w:rPr>
        <w:t>ng a structured questionnaire. D</w:t>
      </w:r>
      <w:r w:rsidR="00A74B48" w:rsidRPr="00105DBB">
        <w:rPr>
          <w:rFonts w:asciiTheme="majorBidi" w:hAnsiTheme="majorBidi" w:cstheme="majorBidi"/>
          <w:sz w:val="24"/>
          <w:szCs w:val="24"/>
        </w:rPr>
        <w:t>ata on depression and anxiety were collected using the validated Dari version of DASS-42 questionnaire (</w:t>
      </w:r>
      <w:proofErr w:type="spellStart"/>
      <w:r w:rsidR="00226471" w:rsidRPr="00105DBB">
        <w:rPr>
          <w:rFonts w:asciiTheme="majorBidi" w:hAnsiTheme="majorBidi" w:cstheme="majorBidi"/>
          <w:sz w:val="24"/>
          <w:szCs w:val="24"/>
        </w:rPr>
        <w:t>S</w:t>
      </w:r>
      <w:r w:rsidR="00A74B48" w:rsidRPr="00105DBB">
        <w:rPr>
          <w:rFonts w:asciiTheme="majorBidi" w:hAnsiTheme="majorBidi" w:cstheme="majorBidi"/>
          <w:sz w:val="24"/>
          <w:szCs w:val="24"/>
        </w:rPr>
        <w:t>hayan</w:t>
      </w:r>
      <w:proofErr w:type="spellEnd"/>
      <w:r w:rsidR="00A74B48" w:rsidRPr="00105DBB">
        <w:rPr>
          <w:rFonts w:asciiTheme="majorBidi" w:hAnsiTheme="majorBidi" w:cstheme="majorBidi"/>
          <w:sz w:val="24"/>
          <w:szCs w:val="24"/>
        </w:rPr>
        <w:t xml:space="preserve"> et al.</w:t>
      </w:r>
      <w:r w:rsidR="00A201B0" w:rsidRPr="00105DBB">
        <w:rPr>
          <w:rFonts w:asciiTheme="majorBidi" w:hAnsiTheme="majorBidi" w:cstheme="majorBidi"/>
          <w:sz w:val="24"/>
          <w:szCs w:val="24"/>
        </w:rPr>
        <w:t xml:space="preserve">, </w:t>
      </w:r>
      <w:r w:rsidR="00A74B48" w:rsidRPr="00105DBB">
        <w:rPr>
          <w:rFonts w:asciiTheme="majorBidi" w:hAnsiTheme="majorBidi" w:cstheme="majorBidi"/>
          <w:sz w:val="24"/>
          <w:szCs w:val="24"/>
        </w:rPr>
        <w:t xml:space="preserve">2021); and scored according to the instrument </w:t>
      </w:r>
      <w:r w:rsidR="00757BCC" w:rsidRPr="00105DBB">
        <w:rPr>
          <w:rFonts w:asciiTheme="majorBidi" w:hAnsiTheme="majorBidi" w:cstheme="majorBidi"/>
          <w:sz w:val="24"/>
          <w:szCs w:val="24"/>
        </w:rPr>
        <w:t>instruction</w:t>
      </w:r>
      <w:r w:rsidR="00A74B48" w:rsidRPr="00105DBB">
        <w:rPr>
          <w:rFonts w:asciiTheme="majorBidi" w:hAnsiTheme="majorBidi" w:cstheme="majorBidi"/>
          <w:sz w:val="24"/>
          <w:szCs w:val="24"/>
        </w:rPr>
        <w:t xml:space="preserve">. Data on resilience was obtained using the 10-item Connor-Davidson Resilience Scale and scored according to the instrument guideline (Connor &amp; Davidson, 2003). </w:t>
      </w:r>
    </w:p>
    <w:p w14:paraId="19DF70DD" w14:textId="05F7C53C" w:rsidR="00A74B48" w:rsidRPr="00105DBB" w:rsidRDefault="00284AD8" w:rsidP="0021266E">
      <w:pPr>
        <w:spacing w:line="276" w:lineRule="auto"/>
        <w:jc w:val="both"/>
        <w:rPr>
          <w:rFonts w:asciiTheme="majorBidi" w:hAnsiTheme="majorBidi" w:cstheme="majorBidi"/>
          <w:b/>
          <w:bCs/>
          <w:i/>
          <w:iCs/>
          <w:sz w:val="24"/>
          <w:szCs w:val="24"/>
        </w:rPr>
      </w:pPr>
      <w:r w:rsidRPr="00105DBB">
        <w:rPr>
          <w:rFonts w:asciiTheme="majorBidi" w:hAnsiTheme="majorBidi" w:cstheme="majorBidi"/>
          <w:b/>
          <w:bCs/>
          <w:i/>
          <w:iCs/>
          <w:sz w:val="24"/>
          <w:szCs w:val="24"/>
        </w:rPr>
        <w:t xml:space="preserve">Statistical analyses: </w:t>
      </w:r>
      <w:r w:rsidR="00A74B48" w:rsidRPr="00105DBB">
        <w:rPr>
          <w:rFonts w:asciiTheme="majorBidi" w:hAnsiTheme="majorBidi" w:cstheme="majorBidi"/>
          <w:sz w:val="24"/>
          <w:szCs w:val="24"/>
        </w:rPr>
        <w:t xml:space="preserve">Statistical analyses were performed in IBM SPSS Statistics (version 27). Categorical variables are presented as numbers and percentages. Continuous variables with normal distribution are displayed as means ± standard deviation (SD); non-normal distribution is presented as median and interquartile range (IQR). The association between categorical variables are assessed using Chi-square test; and the linear association between two continuous variables were evaluated using bivariate Pearson correlation coefficient. The significance level was set to 0.05 in all analyses.  </w:t>
      </w:r>
    </w:p>
    <w:p w14:paraId="2BF997A4" w14:textId="6396A864" w:rsidR="00A74B48" w:rsidRPr="00105DBB" w:rsidRDefault="00BA5554" w:rsidP="0021266E">
      <w:pPr>
        <w:spacing w:after="0" w:line="276" w:lineRule="auto"/>
        <w:jc w:val="both"/>
        <w:rPr>
          <w:rFonts w:asciiTheme="majorBidi" w:hAnsiTheme="majorBidi" w:cstheme="majorBidi"/>
          <w:b/>
          <w:bCs/>
          <w:sz w:val="24"/>
          <w:szCs w:val="24"/>
        </w:rPr>
      </w:pPr>
      <w:r w:rsidRPr="00105DBB">
        <w:rPr>
          <w:rFonts w:asciiTheme="majorBidi" w:hAnsiTheme="majorBidi" w:cstheme="majorBidi"/>
          <w:b/>
          <w:bCs/>
          <w:sz w:val="24"/>
          <w:szCs w:val="24"/>
        </w:rPr>
        <w:t>RESULTS</w:t>
      </w:r>
    </w:p>
    <w:p w14:paraId="33FAC203" w14:textId="3955488D" w:rsidR="00217324" w:rsidRPr="00105DBB" w:rsidRDefault="00DA7F84" w:rsidP="00500F9F">
      <w:pPr>
        <w:spacing w:line="276" w:lineRule="auto"/>
        <w:ind w:firstLine="360"/>
        <w:jc w:val="both"/>
        <w:rPr>
          <w:rFonts w:asciiTheme="majorBidi" w:hAnsiTheme="majorBidi" w:cstheme="majorBidi"/>
          <w:sz w:val="24"/>
          <w:szCs w:val="24"/>
        </w:rPr>
      </w:pPr>
      <w:r w:rsidRPr="00105DBB">
        <w:rPr>
          <w:rFonts w:asciiTheme="majorBidi" w:hAnsiTheme="majorBidi" w:cstheme="majorBidi"/>
          <w:sz w:val="24"/>
          <w:szCs w:val="24"/>
        </w:rPr>
        <w:t xml:space="preserve">A total of 210 university </w:t>
      </w:r>
      <w:r w:rsidR="00F801D1" w:rsidRPr="00105DBB">
        <w:rPr>
          <w:rFonts w:asciiTheme="majorBidi" w:hAnsiTheme="majorBidi" w:cstheme="majorBidi"/>
          <w:sz w:val="24"/>
          <w:szCs w:val="24"/>
        </w:rPr>
        <w:t>staff including</w:t>
      </w:r>
      <w:r w:rsidR="00FF18F1" w:rsidRPr="00105DBB">
        <w:rPr>
          <w:rFonts w:asciiTheme="majorBidi" w:hAnsiTheme="majorBidi" w:cstheme="majorBidi"/>
          <w:sz w:val="24"/>
          <w:szCs w:val="24"/>
        </w:rPr>
        <w:t xml:space="preserve"> 154 (73.3%) male and 56 (2</w:t>
      </w:r>
      <w:r w:rsidR="00F801D1" w:rsidRPr="00105DBB">
        <w:rPr>
          <w:rFonts w:asciiTheme="majorBidi" w:hAnsiTheme="majorBidi" w:cstheme="majorBidi"/>
          <w:sz w:val="24"/>
          <w:szCs w:val="24"/>
        </w:rPr>
        <w:t>6.7%)</w:t>
      </w:r>
      <w:r w:rsidR="00AB7F71" w:rsidRPr="00105DBB">
        <w:rPr>
          <w:rFonts w:asciiTheme="majorBidi" w:hAnsiTheme="majorBidi" w:cstheme="majorBidi"/>
          <w:sz w:val="24"/>
          <w:szCs w:val="24"/>
        </w:rPr>
        <w:t xml:space="preserve"> female</w:t>
      </w:r>
      <w:r w:rsidR="00F801D1" w:rsidRPr="00105DBB">
        <w:rPr>
          <w:rFonts w:asciiTheme="majorBidi" w:hAnsiTheme="majorBidi" w:cstheme="majorBidi"/>
          <w:sz w:val="24"/>
          <w:szCs w:val="24"/>
        </w:rPr>
        <w:t xml:space="preserve"> </w:t>
      </w:r>
      <w:r w:rsidR="0076677E" w:rsidRPr="00105DBB">
        <w:rPr>
          <w:rFonts w:asciiTheme="majorBidi" w:hAnsiTheme="majorBidi" w:cstheme="majorBidi"/>
          <w:sz w:val="24"/>
          <w:szCs w:val="24"/>
        </w:rPr>
        <w:t>was</w:t>
      </w:r>
      <w:r w:rsidRPr="00105DBB">
        <w:rPr>
          <w:rFonts w:asciiTheme="majorBidi" w:hAnsiTheme="majorBidi" w:cstheme="majorBidi"/>
          <w:sz w:val="24"/>
          <w:szCs w:val="24"/>
        </w:rPr>
        <w:t xml:space="preserve"> included in this study. </w:t>
      </w:r>
      <w:r w:rsidR="00F801D1" w:rsidRPr="00105DBB">
        <w:rPr>
          <w:rFonts w:asciiTheme="majorBidi" w:hAnsiTheme="majorBidi" w:cstheme="majorBidi"/>
          <w:sz w:val="24"/>
          <w:szCs w:val="24"/>
        </w:rPr>
        <w:t xml:space="preserve">The mean age of the participants was 37.67 ± 9.62 years. </w:t>
      </w:r>
      <w:r w:rsidRPr="00105DBB">
        <w:rPr>
          <w:rFonts w:asciiTheme="majorBidi" w:hAnsiTheme="majorBidi" w:cstheme="majorBidi"/>
          <w:b/>
          <w:bCs/>
          <w:sz w:val="24"/>
          <w:szCs w:val="24"/>
        </w:rPr>
        <w:t>Table 1</w:t>
      </w:r>
      <w:r w:rsidRPr="00105DBB">
        <w:rPr>
          <w:rFonts w:asciiTheme="majorBidi" w:hAnsiTheme="majorBidi" w:cstheme="majorBidi"/>
          <w:sz w:val="24"/>
          <w:szCs w:val="24"/>
        </w:rPr>
        <w:t xml:space="preserve"> shows the sociodemographic characteristics of study participants.</w:t>
      </w:r>
      <w:r w:rsidR="00D54825" w:rsidRPr="00105DBB">
        <w:rPr>
          <w:rFonts w:asciiTheme="majorBidi" w:hAnsiTheme="majorBidi" w:cstheme="majorBidi"/>
          <w:sz w:val="24"/>
          <w:szCs w:val="24"/>
        </w:rPr>
        <w:t xml:space="preserve"> </w:t>
      </w:r>
    </w:p>
    <w:p w14:paraId="7007FD22" w14:textId="77777777" w:rsidR="00217324" w:rsidRPr="00105DBB" w:rsidRDefault="00217324" w:rsidP="0021266E">
      <w:pPr>
        <w:bidi/>
        <w:spacing w:line="276" w:lineRule="auto"/>
        <w:jc w:val="right"/>
        <w:rPr>
          <w:rFonts w:asciiTheme="majorBidi" w:hAnsiTheme="majorBidi" w:cstheme="majorBidi"/>
          <w:sz w:val="24"/>
          <w:szCs w:val="24"/>
        </w:rPr>
      </w:pPr>
      <w:r w:rsidRPr="00105DBB">
        <w:rPr>
          <w:rFonts w:asciiTheme="majorBidi" w:hAnsiTheme="majorBidi" w:cstheme="majorBidi"/>
          <w:b/>
          <w:bCs/>
          <w:sz w:val="24"/>
          <w:szCs w:val="24"/>
        </w:rPr>
        <w:t>Table1</w:t>
      </w:r>
      <w:r w:rsidRPr="00105DBB">
        <w:rPr>
          <w:rFonts w:asciiTheme="majorBidi" w:hAnsiTheme="majorBidi" w:cstheme="majorBidi"/>
          <w:sz w:val="24"/>
          <w:szCs w:val="24"/>
        </w:rPr>
        <w:t>. Sociodemographic characteristics of study participants</w:t>
      </w:r>
    </w:p>
    <w:tbl>
      <w:tblPr>
        <w:tblW w:w="9090" w:type="dxa"/>
        <w:tblLook w:val="04A0" w:firstRow="1" w:lastRow="0" w:firstColumn="1" w:lastColumn="0" w:noHBand="0" w:noVBand="1"/>
      </w:tblPr>
      <w:tblGrid>
        <w:gridCol w:w="4590"/>
        <w:gridCol w:w="1710"/>
        <w:gridCol w:w="1350"/>
        <w:gridCol w:w="1440"/>
      </w:tblGrid>
      <w:tr w:rsidR="007F7656" w:rsidRPr="007F7656" w14:paraId="2109C6D4" w14:textId="77777777" w:rsidTr="008E2E4B">
        <w:trPr>
          <w:trHeight w:val="374"/>
        </w:trPr>
        <w:tc>
          <w:tcPr>
            <w:tcW w:w="6300" w:type="dxa"/>
            <w:gridSpan w:val="2"/>
            <w:tcBorders>
              <w:top w:val="single" w:sz="4" w:space="0" w:color="000000"/>
              <w:bottom w:val="single" w:sz="4" w:space="0" w:color="000000"/>
              <w:right w:val="nil"/>
            </w:tcBorders>
            <w:shd w:val="clear" w:color="auto" w:fill="auto"/>
            <w:noWrap/>
            <w:vAlign w:val="center"/>
            <w:hideMark/>
          </w:tcPr>
          <w:p w14:paraId="70031A5C" w14:textId="73DDE442" w:rsidR="00217324" w:rsidRPr="007F7656" w:rsidRDefault="00217324" w:rsidP="00A30B05">
            <w:pPr>
              <w:spacing w:after="0" w:line="276" w:lineRule="auto"/>
              <w:jc w:val="center"/>
              <w:rPr>
                <w:rFonts w:asciiTheme="majorBidi" w:eastAsia="Times New Roman" w:hAnsiTheme="majorBidi" w:cstheme="majorBidi"/>
                <w:b/>
                <w:bCs/>
                <w:sz w:val="18"/>
                <w:szCs w:val="18"/>
              </w:rPr>
            </w:pPr>
            <w:r w:rsidRPr="007F7656">
              <w:rPr>
                <w:rFonts w:asciiTheme="majorBidi" w:eastAsia="Times New Roman" w:hAnsiTheme="majorBidi" w:cstheme="majorBidi"/>
                <w:b/>
                <w:bCs/>
                <w:sz w:val="18"/>
                <w:szCs w:val="18"/>
              </w:rPr>
              <w:t>Data</w:t>
            </w:r>
          </w:p>
        </w:tc>
        <w:tc>
          <w:tcPr>
            <w:tcW w:w="1350" w:type="dxa"/>
            <w:tcBorders>
              <w:top w:val="single" w:sz="4" w:space="0" w:color="000000"/>
              <w:left w:val="nil"/>
              <w:bottom w:val="single" w:sz="4" w:space="0" w:color="000000"/>
              <w:right w:val="nil"/>
            </w:tcBorders>
            <w:shd w:val="clear" w:color="auto" w:fill="auto"/>
            <w:noWrap/>
            <w:vAlign w:val="center"/>
            <w:hideMark/>
          </w:tcPr>
          <w:p w14:paraId="4217369B" w14:textId="77777777" w:rsidR="00217324" w:rsidRPr="007F7656" w:rsidRDefault="00217324" w:rsidP="00A30B05">
            <w:pPr>
              <w:spacing w:after="0" w:line="276" w:lineRule="auto"/>
              <w:jc w:val="center"/>
              <w:rPr>
                <w:rFonts w:asciiTheme="majorBidi" w:eastAsia="Times New Roman" w:hAnsiTheme="majorBidi" w:cstheme="majorBidi"/>
                <w:b/>
                <w:bCs/>
                <w:sz w:val="18"/>
                <w:szCs w:val="18"/>
              </w:rPr>
            </w:pPr>
            <w:r w:rsidRPr="007F7656">
              <w:rPr>
                <w:rFonts w:asciiTheme="majorBidi" w:eastAsia="Times New Roman" w:hAnsiTheme="majorBidi" w:cstheme="majorBidi"/>
                <w:b/>
                <w:bCs/>
                <w:sz w:val="18"/>
                <w:szCs w:val="18"/>
              </w:rPr>
              <w:t>No</w:t>
            </w:r>
          </w:p>
        </w:tc>
        <w:tc>
          <w:tcPr>
            <w:tcW w:w="1440" w:type="dxa"/>
            <w:tcBorders>
              <w:top w:val="single" w:sz="4" w:space="0" w:color="000000"/>
              <w:left w:val="nil"/>
              <w:bottom w:val="single" w:sz="4" w:space="0" w:color="000000"/>
            </w:tcBorders>
            <w:shd w:val="clear" w:color="auto" w:fill="auto"/>
            <w:noWrap/>
            <w:vAlign w:val="center"/>
            <w:hideMark/>
          </w:tcPr>
          <w:p w14:paraId="0F96A377" w14:textId="77777777" w:rsidR="00217324" w:rsidRPr="007F7656" w:rsidRDefault="00217324" w:rsidP="00A30B05">
            <w:pPr>
              <w:spacing w:after="0" w:line="276" w:lineRule="auto"/>
              <w:jc w:val="center"/>
              <w:rPr>
                <w:rFonts w:asciiTheme="majorBidi" w:eastAsia="Times New Roman" w:hAnsiTheme="majorBidi" w:cstheme="majorBidi"/>
                <w:b/>
                <w:bCs/>
                <w:sz w:val="18"/>
                <w:szCs w:val="18"/>
              </w:rPr>
            </w:pPr>
            <w:r w:rsidRPr="007F7656">
              <w:rPr>
                <w:rFonts w:asciiTheme="majorBidi" w:eastAsia="Times New Roman" w:hAnsiTheme="majorBidi" w:cstheme="majorBidi"/>
                <w:b/>
                <w:bCs/>
                <w:sz w:val="18"/>
                <w:szCs w:val="18"/>
              </w:rPr>
              <w:t>%</w:t>
            </w:r>
          </w:p>
        </w:tc>
      </w:tr>
      <w:tr w:rsidR="007F7656" w:rsidRPr="007F7656" w14:paraId="3C270F8E" w14:textId="77777777" w:rsidTr="008E2E4B">
        <w:trPr>
          <w:trHeight w:val="283"/>
        </w:trPr>
        <w:tc>
          <w:tcPr>
            <w:tcW w:w="4590" w:type="dxa"/>
            <w:vMerge w:val="restart"/>
            <w:tcBorders>
              <w:top w:val="single" w:sz="4" w:space="0" w:color="000000"/>
              <w:bottom w:val="single" w:sz="8" w:space="0" w:color="000000"/>
              <w:right w:val="nil"/>
            </w:tcBorders>
            <w:shd w:val="clear" w:color="auto" w:fill="auto"/>
            <w:noWrap/>
            <w:vAlign w:val="center"/>
            <w:hideMark/>
          </w:tcPr>
          <w:p w14:paraId="0F1D6825" w14:textId="77777777" w:rsidR="00217324" w:rsidRPr="007F7656" w:rsidRDefault="00217324" w:rsidP="0021266E">
            <w:pPr>
              <w:spacing w:after="0" w:line="276" w:lineRule="auto"/>
              <w:jc w:val="both"/>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Gender</w:t>
            </w:r>
          </w:p>
        </w:tc>
        <w:tc>
          <w:tcPr>
            <w:tcW w:w="1710" w:type="dxa"/>
            <w:tcBorders>
              <w:top w:val="single" w:sz="4" w:space="0" w:color="000000"/>
              <w:left w:val="nil"/>
              <w:bottom w:val="nil"/>
              <w:right w:val="nil"/>
            </w:tcBorders>
            <w:shd w:val="clear" w:color="auto" w:fill="auto"/>
            <w:noWrap/>
            <w:vAlign w:val="center"/>
            <w:hideMark/>
          </w:tcPr>
          <w:p w14:paraId="7630FE99" w14:textId="228AB33C" w:rsidR="00217324" w:rsidRPr="007F7656" w:rsidRDefault="00217324" w:rsidP="00A30B05">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Male</w:t>
            </w:r>
          </w:p>
        </w:tc>
        <w:tc>
          <w:tcPr>
            <w:tcW w:w="1350" w:type="dxa"/>
            <w:tcBorders>
              <w:top w:val="single" w:sz="4" w:space="0" w:color="000000"/>
              <w:left w:val="nil"/>
              <w:bottom w:val="nil"/>
              <w:right w:val="nil"/>
            </w:tcBorders>
            <w:shd w:val="clear" w:color="auto" w:fill="auto"/>
            <w:noWrap/>
            <w:vAlign w:val="center"/>
            <w:hideMark/>
          </w:tcPr>
          <w:p w14:paraId="50A42566" w14:textId="77777777" w:rsidR="00217324" w:rsidRPr="007F7656" w:rsidRDefault="00217324" w:rsidP="00A30B05">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154</w:t>
            </w:r>
          </w:p>
        </w:tc>
        <w:tc>
          <w:tcPr>
            <w:tcW w:w="1440" w:type="dxa"/>
            <w:tcBorders>
              <w:top w:val="single" w:sz="4" w:space="0" w:color="000000"/>
              <w:left w:val="nil"/>
              <w:bottom w:val="nil"/>
            </w:tcBorders>
            <w:shd w:val="clear" w:color="auto" w:fill="auto"/>
            <w:noWrap/>
            <w:vAlign w:val="center"/>
            <w:hideMark/>
          </w:tcPr>
          <w:p w14:paraId="443B9099" w14:textId="77777777" w:rsidR="00217324" w:rsidRPr="007F7656" w:rsidRDefault="00217324" w:rsidP="00A30B05">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73.3</w:t>
            </w:r>
          </w:p>
        </w:tc>
      </w:tr>
      <w:tr w:rsidR="007F7656" w:rsidRPr="007F7656" w14:paraId="683682D0" w14:textId="77777777" w:rsidTr="008E2E4B">
        <w:trPr>
          <w:trHeight w:val="293"/>
        </w:trPr>
        <w:tc>
          <w:tcPr>
            <w:tcW w:w="4590" w:type="dxa"/>
            <w:vMerge/>
            <w:tcBorders>
              <w:top w:val="nil"/>
              <w:bottom w:val="single" w:sz="8" w:space="0" w:color="000000"/>
              <w:right w:val="nil"/>
            </w:tcBorders>
            <w:vAlign w:val="center"/>
            <w:hideMark/>
          </w:tcPr>
          <w:p w14:paraId="418C897C" w14:textId="77777777" w:rsidR="00217324" w:rsidRPr="007F7656" w:rsidRDefault="00217324" w:rsidP="0021266E">
            <w:pPr>
              <w:spacing w:after="0" w:line="276" w:lineRule="auto"/>
              <w:jc w:val="both"/>
              <w:rPr>
                <w:rFonts w:asciiTheme="majorBidi" w:eastAsia="Times New Roman" w:hAnsiTheme="majorBidi" w:cstheme="majorBidi"/>
                <w:sz w:val="18"/>
                <w:szCs w:val="18"/>
              </w:rPr>
            </w:pPr>
          </w:p>
        </w:tc>
        <w:tc>
          <w:tcPr>
            <w:tcW w:w="1710" w:type="dxa"/>
            <w:tcBorders>
              <w:top w:val="nil"/>
              <w:left w:val="nil"/>
              <w:bottom w:val="single" w:sz="8" w:space="0" w:color="auto"/>
              <w:right w:val="nil"/>
            </w:tcBorders>
            <w:shd w:val="clear" w:color="auto" w:fill="auto"/>
            <w:noWrap/>
            <w:vAlign w:val="center"/>
            <w:hideMark/>
          </w:tcPr>
          <w:p w14:paraId="47833E27" w14:textId="3E0AD6FE" w:rsidR="00217324" w:rsidRPr="007F7656" w:rsidRDefault="00217324" w:rsidP="00A30B05">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Female</w:t>
            </w:r>
          </w:p>
        </w:tc>
        <w:tc>
          <w:tcPr>
            <w:tcW w:w="1350" w:type="dxa"/>
            <w:tcBorders>
              <w:top w:val="nil"/>
              <w:left w:val="nil"/>
              <w:bottom w:val="single" w:sz="8" w:space="0" w:color="auto"/>
              <w:right w:val="nil"/>
            </w:tcBorders>
            <w:shd w:val="clear" w:color="auto" w:fill="auto"/>
            <w:noWrap/>
            <w:vAlign w:val="center"/>
            <w:hideMark/>
          </w:tcPr>
          <w:p w14:paraId="10F42B6C" w14:textId="77777777" w:rsidR="00217324" w:rsidRPr="007F7656" w:rsidRDefault="00217324" w:rsidP="00A30B05">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56</w:t>
            </w:r>
          </w:p>
        </w:tc>
        <w:tc>
          <w:tcPr>
            <w:tcW w:w="1440" w:type="dxa"/>
            <w:tcBorders>
              <w:top w:val="nil"/>
              <w:left w:val="nil"/>
              <w:bottom w:val="single" w:sz="8" w:space="0" w:color="auto"/>
            </w:tcBorders>
            <w:shd w:val="clear" w:color="auto" w:fill="auto"/>
            <w:noWrap/>
            <w:vAlign w:val="center"/>
            <w:hideMark/>
          </w:tcPr>
          <w:p w14:paraId="02328C21" w14:textId="77777777" w:rsidR="00217324" w:rsidRPr="007F7656" w:rsidRDefault="00217324" w:rsidP="00A30B05">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26.7</w:t>
            </w:r>
          </w:p>
        </w:tc>
      </w:tr>
      <w:tr w:rsidR="007F7656" w:rsidRPr="007F7656" w14:paraId="207C16BD" w14:textId="77777777" w:rsidTr="008E2E4B">
        <w:trPr>
          <w:trHeight w:val="283"/>
        </w:trPr>
        <w:tc>
          <w:tcPr>
            <w:tcW w:w="4590" w:type="dxa"/>
            <w:tcBorders>
              <w:top w:val="single" w:sz="8" w:space="0" w:color="000000"/>
              <w:right w:val="nil"/>
            </w:tcBorders>
            <w:shd w:val="clear" w:color="auto" w:fill="auto"/>
            <w:noWrap/>
            <w:vAlign w:val="center"/>
          </w:tcPr>
          <w:p w14:paraId="0E454195" w14:textId="77777777" w:rsidR="00217324" w:rsidRPr="007F7656" w:rsidRDefault="00217324" w:rsidP="0021266E">
            <w:pPr>
              <w:spacing w:after="0" w:line="276" w:lineRule="auto"/>
              <w:jc w:val="both"/>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 xml:space="preserve">Age </w:t>
            </w:r>
          </w:p>
        </w:tc>
        <w:tc>
          <w:tcPr>
            <w:tcW w:w="1710" w:type="dxa"/>
            <w:tcBorders>
              <w:top w:val="nil"/>
              <w:left w:val="nil"/>
              <w:right w:val="nil"/>
            </w:tcBorders>
            <w:shd w:val="clear" w:color="auto" w:fill="auto"/>
            <w:noWrap/>
            <w:vAlign w:val="center"/>
          </w:tcPr>
          <w:p w14:paraId="11F19758" w14:textId="77777777" w:rsidR="00217324" w:rsidRPr="007F7656" w:rsidRDefault="00217324" w:rsidP="00A30B05">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less than 35</w:t>
            </w:r>
          </w:p>
        </w:tc>
        <w:tc>
          <w:tcPr>
            <w:tcW w:w="1350" w:type="dxa"/>
            <w:tcBorders>
              <w:top w:val="nil"/>
              <w:left w:val="nil"/>
              <w:right w:val="nil"/>
            </w:tcBorders>
            <w:shd w:val="clear" w:color="auto" w:fill="auto"/>
            <w:noWrap/>
            <w:vAlign w:val="center"/>
          </w:tcPr>
          <w:p w14:paraId="7C47D6DE" w14:textId="77777777" w:rsidR="00217324" w:rsidRPr="007F7656" w:rsidRDefault="00217324" w:rsidP="00A30B05">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109</w:t>
            </w:r>
          </w:p>
        </w:tc>
        <w:tc>
          <w:tcPr>
            <w:tcW w:w="1440" w:type="dxa"/>
            <w:tcBorders>
              <w:top w:val="nil"/>
              <w:left w:val="nil"/>
            </w:tcBorders>
            <w:shd w:val="clear" w:color="auto" w:fill="auto"/>
            <w:noWrap/>
            <w:vAlign w:val="center"/>
          </w:tcPr>
          <w:p w14:paraId="6B0B02EC" w14:textId="77777777" w:rsidR="00217324" w:rsidRPr="007F7656" w:rsidRDefault="00217324" w:rsidP="00A30B05">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51.9</w:t>
            </w:r>
          </w:p>
        </w:tc>
      </w:tr>
      <w:tr w:rsidR="007F7656" w:rsidRPr="007F7656" w14:paraId="472F070F" w14:textId="77777777" w:rsidTr="008E2E4B">
        <w:trPr>
          <w:trHeight w:val="283"/>
        </w:trPr>
        <w:tc>
          <w:tcPr>
            <w:tcW w:w="4590" w:type="dxa"/>
            <w:tcBorders>
              <w:top w:val="nil"/>
              <w:bottom w:val="single" w:sz="8" w:space="0" w:color="000000"/>
              <w:right w:val="nil"/>
            </w:tcBorders>
            <w:shd w:val="clear" w:color="auto" w:fill="auto"/>
            <w:noWrap/>
            <w:vAlign w:val="center"/>
          </w:tcPr>
          <w:p w14:paraId="53812601" w14:textId="77777777" w:rsidR="00217324" w:rsidRPr="007F7656" w:rsidRDefault="00217324" w:rsidP="0021266E">
            <w:pPr>
              <w:spacing w:after="0" w:line="276" w:lineRule="auto"/>
              <w:jc w:val="both"/>
              <w:rPr>
                <w:rFonts w:asciiTheme="majorBidi" w:eastAsia="Times New Roman" w:hAnsiTheme="majorBidi" w:cstheme="majorBidi"/>
                <w:sz w:val="18"/>
                <w:szCs w:val="18"/>
              </w:rPr>
            </w:pPr>
          </w:p>
        </w:tc>
        <w:tc>
          <w:tcPr>
            <w:tcW w:w="1710" w:type="dxa"/>
            <w:tcBorders>
              <w:top w:val="nil"/>
              <w:left w:val="nil"/>
              <w:bottom w:val="single" w:sz="4" w:space="0" w:color="auto"/>
              <w:right w:val="nil"/>
            </w:tcBorders>
            <w:shd w:val="clear" w:color="auto" w:fill="auto"/>
            <w:noWrap/>
            <w:vAlign w:val="center"/>
          </w:tcPr>
          <w:p w14:paraId="1C9BC9EF" w14:textId="77777777" w:rsidR="00217324" w:rsidRPr="007F7656" w:rsidRDefault="00217324" w:rsidP="00A30B05">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over 35</w:t>
            </w:r>
          </w:p>
        </w:tc>
        <w:tc>
          <w:tcPr>
            <w:tcW w:w="1350" w:type="dxa"/>
            <w:tcBorders>
              <w:top w:val="nil"/>
              <w:left w:val="nil"/>
              <w:bottom w:val="single" w:sz="4" w:space="0" w:color="auto"/>
              <w:right w:val="nil"/>
            </w:tcBorders>
            <w:shd w:val="clear" w:color="auto" w:fill="auto"/>
            <w:noWrap/>
            <w:vAlign w:val="center"/>
          </w:tcPr>
          <w:p w14:paraId="1F9E99F0" w14:textId="77777777" w:rsidR="00217324" w:rsidRPr="007F7656" w:rsidRDefault="00217324" w:rsidP="00A30B05">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101</w:t>
            </w:r>
          </w:p>
        </w:tc>
        <w:tc>
          <w:tcPr>
            <w:tcW w:w="1440" w:type="dxa"/>
            <w:tcBorders>
              <w:top w:val="nil"/>
              <w:left w:val="nil"/>
              <w:bottom w:val="single" w:sz="4" w:space="0" w:color="auto"/>
            </w:tcBorders>
            <w:shd w:val="clear" w:color="auto" w:fill="auto"/>
            <w:noWrap/>
            <w:vAlign w:val="center"/>
          </w:tcPr>
          <w:p w14:paraId="228443F0" w14:textId="77777777" w:rsidR="00217324" w:rsidRPr="007F7656" w:rsidRDefault="00217324" w:rsidP="00A30B05">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48.1</w:t>
            </w:r>
          </w:p>
        </w:tc>
      </w:tr>
      <w:tr w:rsidR="007F7656" w:rsidRPr="007F7656" w14:paraId="5FAE9E01" w14:textId="77777777" w:rsidTr="008E2E4B">
        <w:trPr>
          <w:trHeight w:val="283"/>
        </w:trPr>
        <w:tc>
          <w:tcPr>
            <w:tcW w:w="4590" w:type="dxa"/>
            <w:vMerge w:val="restart"/>
            <w:tcBorders>
              <w:top w:val="nil"/>
              <w:bottom w:val="single" w:sz="8" w:space="0" w:color="000000"/>
              <w:right w:val="nil"/>
            </w:tcBorders>
            <w:shd w:val="clear" w:color="auto" w:fill="auto"/>
            <w:noWrap/>
            <w:vAlign w:val="center"/>
            <w:hideMark/>
          </w:tcPr>
          <w:p w14:paraId="722E9F1E" w14:textId="77777777" w:rsidR="00217324" w:rsidRPr="007F7656" w:rsidRDefault="00217324" w:rsidP="0021266E">
            <w:pPr>
              <w:spacing w:after="0" w:line="276" w:lineRule="auto"/>
              <w:jc w:val="both"/>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Job category</w:t>
            </w:r>
          </w:p>
        </w:tc>
        <w:tc>
          <w:tcPr>
            <w:tcW w:w="1710" w:type="dxa"/>
            <w:tcBorders>
              <w:top w:val="single" w:sz="4" w:space="0" w:color="auto"/>
              <w:left w:val="nil"/>
              <w:bottom w:val="nil"/>
              <w:right w:val="nil"/>
            </w:tcBorders>
            <w:shd w:val="clear" w:color="auto" w:fill="auto"/>
            <w:noWrap/>
            <w:vAlign w:val="center"/>
            <w:hideMark/>
          </w:tcPr>
          <w:p w14:paraId="019B257B" w14:textId="40E6B214" w:rsidR="00217324" w:rsidRPr="007F7656" w:rsidRDefault="00217324" w:rsidP="00A30B05">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Support staff</w:t>
            </w:r>
          </w:p>
        </w:tc>
        <w:tc>
          <w:tcPr>
            <w:tcW w:w="1350" w:type="dxa"/>
            <w:tcBorders>
              <w:top w:val="single" w:sz="4" w:space="0" w:color="auto"/>
              <w:left w:val="nil"/>
              <w:bottom w:val="nil"/>
              <w:right w:val="nil"/>
            </w:tcBorders>
            <w:shd w:val="clear" w:color="auto" w:fill="auto"/>
            <w:noWrap/>
            <w:vAlign w:val="center"/>
            <w:hideMark/>
          </w:tcPr>
          <w:p w14:paraId="37F9A298" w14:textId="77777777" w:rsidR="00217324" w:rsidRPr="007F7656" w:rsidRDefault="00217324" w:rsidP="00A30B05">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35</w:t>
            </w:r>
          </w:p>
        </w:tc>
        <w:tc>
          <w:tcPr>
            <w:tcW w:w="1440" w:type="dxa"/>
            <w:tcBorders>
              <w:top w:val="single" w:sz="4" w:space="0" w:color="auto"/>
              <w:left w:val="nil"/>
              <w:bottom w:val="nil"/>
            </w:tcBorders>
            <w:shd w:val="clear" w:color="auto" w:fill="auto"/>
            <w:noWrap/>
            <w:vAlign w:val="center"/>
            <w:hideMark/>
          </w:tcPr>
          <w:p w14:paraId="7EDF82EC" w14:textId="77777777" w:rsidR="00217324" w:rsidRPr="007F7656" w:rsidRDefault="00217324" w:rsidP="00A30B05">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16.7</w:t>
            </w:r>
          </w:p>
        </w:tc>
      </w:tr>
      <w:tr w:rsidR="007F7656" w:rsidRPr="007F7656" w14:paraId="470E099D" w14:textId="77777777" w:rsidTr="008E2E4B">
        <w:trPr>
          <w:trHeight w:val="283"/>
        </w:trPr>
        <w:tc>
          <w:tcPr>
            <w:tcW w:w="4590" w:type="dxa"/>
            <w:vMerge/>
            <w:tcBorders>
              <w:top w:val="nil"/>
              <w:bottom w:val="single" w:sz="8" w:space="0" w:color="000000"/>
              <w:right w:val="nil"/>
            </w:tcBorders>
            <w:vAlign w:val="center"/>
            <w:hideMark/>
          </w:tcPr>
          <w:p w14:paraId="48F07962" w14:textId="77777777" w:rsidR="00217324" w:rsidRPr="007F7656" w:rsidRDefault="00217324" w:rsidP="0021266E">
            <w:pPr>
              <w:spacing w:after="0" w:line="276" w:lineRule="auto"/>
              <w:jc w:val="both"/>
              <w:rPr>
                <w:rFonts w:asciiTheme="majorBidi" w:eastAsia="Times New Roman" w:hAnsiTheme="majorBidi" w:cstheme="majorBidi"/>
                <w:sz w:val="18"/>
                <w:szCs w:val="18"/>
              </w:rPr>
            </w:pPr>
          </w:p>
        </w:tc>
        <w:tc>
          <w:tcPr>
            <w:tcW w:w="1710" w:type="dxa"/>
            <w:tcBorders>
              <w:top w:val="nil"/>
              <w:left w:val="nil"/>
              <w:bottom w:val="nil"/>
              <w:right w:val="nil"/>
            </w:tcBorders>
            <w:shd w:val="clear" w:color="auto" w:fill="auto"/>
            <w:noWrap/>
            <w:vAlign w:val="center"/>
            <w:hideMark/>
          </w:tcPr>
          <w:p w14:paraId="4C6D8974" w14:textId="6D4A8101" w:rsidR="00217324" w:rsidRPr="007F7656" w:rsidRDefault="00217324" w:rsidP="00A30B05">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Managers</w:t>
            </w:r>
          </w:p>
        </w:tc>
        <w:tc>
          <w:tcPr>
            <w:tcW w:w="1350" w:type="dxa"/>
            <w:tcBorders>
              <w:top w:val="nil"/>
              <w:left w:val="nil"/>
              <w:bottom w:val="nil"/>
              <w:right w:val="nil"/>
            </w:tcBorders>
            <w:shd w:val="clear" w:color="auto" w:fill="auto"/>
            <w:noWrap/>
            <w:vAlign w:val="center"/>
            <w:hideMark/>
          </w:tcPr>
          <w:p w14:paraId="213F13B7" w14:textId="77777777" w:rsidR="00217324" w:rsidRPr="007F7656" w:rsidRDefault="00217324" w:rsidP="00A30B05">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147</w:t>
            </w:r>
          </w:p>
        </w:tc>
        <w:tc>
          <w:tcPr>
            <w:tcW w:w="1440" w:type="dxa"/>
            <w:tcBorders>
              <w:top w:val="nil"/>
              <w:left w:val="nil"/>
              <w:bottom w:val="nil"/>
            </w:tcBorders>
            <w:shd w:val="clear" w:color="auto" w:fill="auto"/>
            <w:noWrap/>
            <w:vAlign w:val="center"/>
            <w:hideMark/>
          </w:tcPr>
          <w:p w14:paraId="0BE40E87" w14:textId="77777777" w:rsidR="00217324" w:rsidRPr="007F7656" w:rsidRDefault="00217324" w:rsidP="00A30B05">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70</w:t>
            </w:r>
          </w:p>
        </w:tc>
      </w:tr>
      <w:tr w:rsidR="007F7656" w:rsidRPr="007F7656" w14:paraId="04EF61FE" w14:textId="77777777" w:rsidTr="008E2E4B">
        <w:trPr>
          <w:trHeight w:val="293"/>
        </w:trPr>
        <w:tc>
          <w:tcPr>
            <w:tcW w:w="4590" w:type="dxa"/>
            <w:vMerge/>
            <w:tcBorders>
              <w:top w:val="nil"/>
              <w:bottom w:val="single" w:sz="8" w:space="0" w:color="000000"/>
              <w:right w:val="nil"/>
            </w:tcBorders>
            <w:vAlign w:val="center"/>
            <w:hideMark/>
          </w:tcPr>
          <w:p w14:paraId="0093AB33" w14:textId="77777777" w:rsidR="00217324" w:rsidRPr="007F7656" w:rsidRDefault="00217324" w:rsidP="0021266E">
            <w:pPr>
              <w:spacing w:after="0" w:line="276" w:lineRule="auto"/>
              <w:jc w:val="both"/>
              <w:rPr>
                <w:rFonts w:asciiTheme="majorBidi" w:eastAsia="Times New Roman" w:hAnsiTheme="majorBidi" w:cstheme="majorBidi"/>
                <w:sz w:val="18"/>
                <w:szCs w:val="18"/>
              </w:rPr>
            </w:pPr>
          </w:p>
        </w:tc>
        <w:tc>
          <w:tcPr>
            <w:tcW w:w="1710" w:type="dxa"/>
            <w:tcBorders>
              <w:top w:val="nil"/>
              <w:left w:val="nil"/>
              <w:bottom w:val="single" w:sz="8" w:space="0" w:color="auto"/>
              <w:right w:val="nil"/>
            </w:tcBorders>
            <w:shd w:val="clear" w:color="auto" w:fill="auto"/>
            <w:noWrap/>
            <w:vAlign w:val="center"/>
            <w:hideMark/>
          </w:tcPr>
          <w:p w14:paraId="3C1B6ADE" w14:textId="5E43F81A" w:rsidR="00217324" w:rsidRPr="007F7656" w:rsidRDefault="00217324" w:rsidP="00A30B05">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Senior staff</w:t>
            </w:r>
          </w:p>
        </w:tc>
        <w:tc>
          <w:tcPr>
            <w:tcW w:w="1350" w:type="dxa"/>
            <w:tcBorders>
              <w:top w:val="nil"/>
              <w:left w:val="nil"/>
              <w:bottom w:val="single" w:sz="8" w:space="0" w:color="auto"/>
              <w:right w:val="nil"/>
            </w:tcBorders>
            <w:shd w:val="clear" w:color="auto" w:fill="auto"/>
            <w:noWrap/>
            <w:vAlign w:val="center"/>
            <w:hideMark/>
          </w:tcPr>
          <w:p w14:paraId="02DF87FE" w14:textId="77777777" w:rsidR="00217324" w:rsidRPr="007F7656" w:rsidRDefault="00217324" w:rsidP="00A30B05">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28</w:t>
            </w:r>
          </w:p>
        </w:tc>
        <w:tc>
          <w:tcPr>
            <w:tcW w:w="1440" w:type="dxa"/>
            <w:tcBorders>
              <w:top w:val="nil"/>
              <w:left w:val="nil"/>
              <w:bottom w:val="single" w:sz="8" w:space="0" w:color="auto"/>
            </w:tcBorders>
            <w:shd w:val="clear" w:color="auto" w:fill="auto"/>
            <w:noWrap/>
            <w:vAlign w:val="center"/>
            <w:hideMark/>
          </w:tcPr>
          <w:p w14:paraId="5470C2D6" w14:textId="77777777" w:rsidR="00217324" w:rsidRPr="007F7656" w:rsidRDefault="00217324" w:rsidP="00A30B05">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13.3</w:t>
            </w:r>
          </w:p>
        </w:tc>
      </w:tr>
      <w:tr w:rsidR="007F7656" w:rsidRPr="007F7656" w14:paraId="7D950696" w14:textId="77777777" w:rsidTr="008E2E4B">
        <w:trPr>
          <w:trHeight w:val="291"/>
        </w:trPr>
        <w:tc>
          <w:tcPr>
            <w:tcW w:w="4590" w:type="dxa"/>
            <w:vMerge w:val="restart"/>
            <w:tcBorders>
              <w:top w:val="nil"/>
              <w:bottom w:val="single" w:sz="8" w:space="0" w:color="000000"/>
              <w:right w:val="nil"/>
            </w:tcBorders>
            <w:shd w:val="clear" w:color="auto" w:fill="auto"/>
            <w:noWrap/>
            <w:vAlign w:val="center"/>
            <w:hideMark/>
          </w:tcPr>
          <w:p w14:paraId="6E8EF402" w14:textId="77777777" w:rsidR="00217324" w:rsidRPr="007F7656" w:rsidRDefault="00217324" w:rsidP="0021266E">
            <w:pPr>
              <w:spacing w:after="0" w:line="276" w:lineRule="auto"/>
              <w:jc w:val="both"/>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Education</w:t>
            </w:r>
          </w:p>
        </w:tc>
        <w:tc>
          <w:tcPr>
            <w:tcW w:w="1710" w:type="dxa"/>
            <w:tcBorders>
              <w:top w:val="nil"/>
              <w:left w:val="nil"/>
              <w:bottom w:val="nil"/>
              <w:right w:val="nil"/>
            </w:tcBorders>
            <w:shd w:val="clear" w:color="auto" w:fill="auto"/>
            <w:noWrap/>
            <w:vAlign w:val="center"/>
            <w:hideMark/>
          </w:tcPr>
          <w:p w14:paraId="7D33ED67" w14:textId="7091D748" w:rsidR="00217324" w:rsidRPr="007F7656" w:rsidRDefault="00217324" w:rsidP="00A30B05">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Illiterate</w:t>
            </w:r>
          </w:p>
        </w:tc>
        <w:tc>
          <w:tcPr>
            <w:tcW w:w="1350" w:type="dxa"/>
            <w:tcBorders>
              <w:top w:val="nil"/>
              <w:left w:val="nil"/>
              <w:bottom w:val="nil"/>
              <w:right w:val="nil"/>
            </w:tcBorders>
            <w:shd w:val="clear" w:color="auto" w:fill="auto"/>
            <w:noWrap/>
            <w:vAlign w:val="center"/>
            <w:hideMark/>
          </w:tcPr>
          <w:p w14:paraId="4C279236" w14:textId="77777777" w:rsidR="00217324" w:rsidRPr="007F7656" w:rsidRDefault="00217324" w:rsidP="00A30B05">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5</w:t>
            </w:r>
          </w:p>
        </w:tc>
        <w:tc>
          <w:tcPr>
            <w:tcW w:w="1440" w:type="dxa"/>
            <w:tcBorders>
              <w:top w:val="nil"/>
              <w:left w:val="nil"/>
              <w:bottom w:val="nil"/>
            </w:tcBorders>
            <w:shd w:val="clear" w:color="auto" w:fill="auto"/>
            <w:noWrap/>
            <w:vAlign w:val="center"/>
            <w:hideMark/>
          </w:tcPr>
          <w:p w14:paraId="2520FCF5" w14:textId="77777777" w:rsidR="00217324" w:rsidRPr="007F7656" w:rsidRDefault="00217324" w:rsidP="00A30B05">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2.4</w:t>
            </w:r>
          </w:p>
        </w:tc>
      </w:tr>
      <w:tr w:rsidR="007F7656" w:rsidRPr="007F7656" w14:paraId="190EF9F7" w14:textId="77777777" w:rsidTr="008E2E4B">
        <w:trPr>
          <w:trHeight w:val="291"/>
        </w:trPr>
        <w:tc>
          <w:tcPr>
            <w:tcW w:w="4590" w:type="dxa"/>
            <w:vMerge/>
            <w:tcBorders>
              <w:top w:val="nil"/>
              <w:bottom w:val="single" w:sz="8" w:space="0" w:color="000000"/>
              <w:right w:val="nil"/>
            </w:tcBorders>
            <w:vAlign w:val="center"/>
            <w:hideMark/>
          </w:tcPr>
          <w:p w14:paraId="592AA28D" w14:textId="77777777" w:rsidR="00217324" w:rsidRPr="007F7656" w:rsidRDefault="00217324" w:rsidP="0021266E">
            <w:pPr>
              <w:spacing w:after="0" w:line="276" w:lineRule="auto"/>
              <w:jc w:val="both"/>
              <w:rPr>
                <w:rFonts w:asciiTheme="majorBidi" w:eastAsia="Times New Roman" w:hAnsiTheme="majorBidi" w:cstheme="majorBidi"/>
                <w:sz w:val="18"/>
                <w:szCs w:val="18"/>
              </w:rPr>
            </w:pPr>
          </w:p>
        </w:tc>
        <w:tc>
          <w:tcPr>
            <w:tcW w:w="1710" w:type="dxa"/>
            <w:tcBorders>
              <w:top w:val="nil"/>
              <w:left w:val="nil"/>
              <w:bottom w:val="nil"/>
              <w:right w:val="nil"/>
            </w:tcBorders>
            <w:shd w:val="clear" w:color="auto" w:fill="auto"/>
            <w:noWrap/>
            <w:vAlign w:val="center"/>
            <w:hideMark/>
          </w:tcPr>
          <w:p w14:paraId="53AAD104" w14:textId="77777777" w:rsidR="00217324" w:rsidRPr="007F7656" w:rsidRDefault="00217324" w:rsidP="00A30B05">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School graduate</w:t>
            </w:r>
          </w:p>
        </w:tc>
        <w:tc>
          <w:tcPr>
            <w:tcW w:w="1350" w:type="dxa"/>
            <w:tcBorders>
              <w:top w:val="nil"/>
              <w:left w:val="nil"/>
              <w:bottom w:val="nil"/>
              <w:right w:val="nil"/>
            </w:tcBorders>
            <w:shd w:val="clear" w:color="auto" w:fill="auto"/>
            <w:noWrap/>
            <w:vAlign w:val="center"/>
            <w:hideMark/>
          </w:tcPr>
          <w:p w14:paraId="5B215F77" w14:textId="77777777" w:rsidR="00217324" w:rsidRPr="007F7656" w:rsidRDefault="00217324" w:rsidP="00A30B05">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24</w:t>
            </w:r>
          </w:p>
        </w:tc>
        <w:tc>
          <w:tcPr>
            <w:tcW w:w="1440" w:type="dxa"/>
            <w:tcBorders>
              <w:top w:val="nil"/>
              <w:left w:val="nil"/>
              <w:bottom w:val="nil"/>
            </w:tcBorders>
            <w:shd w:val="clear" w:color="auto" w:fill="auto"/>
            <w:noWrap/>
            <w:vAlign w:val="center"/>
            <w:hideMark/>
          </w:tcPr>
          <w:p w14:paraId="2A585058" w14:textId="77777777" w:rsidR="00217324" w:rsidRPr="007F7656" w:rsidRDefault="00217324" w:rsidP="00A30B05">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11.4</w:t>
            </w:r>
          </w:p>
        </w:tc>
      </w:tr>
      <w:tr w:rsidR="007F7656" w:rsidRPr="007F7656" w14:paraId="0F37CA68" w14:textId="77777777" w:rsidTr="008E2E4B">
        <w:trPr>
          <w:trHeight w:val="291"/>
        </w:trPr>
        <w:tc>
          <w:tcPr>
            <w:tcW w:w="4590" w:type="dxa"/>
            <w:vMerge/>
            <w:tcBorders>
              <w:top w:val="nil"/>
              <w:bottom w:val="single" w:sz="8" w:space="0" w:color="000000"/>
              <w:right w:val="nil"/>
            </w:tcBorders>
            <w:vAlign w:val="center"/>
            <w:hideMark/>
          </w:tcPr>
          <w:p w14:paraId="6E9842D5" w14:textId="77777777" w:rsidR="00217324" w:rsidRPr="007F7656" w:rsidRDefault="00217324" w:rsidP="0021266E">
            <w:pPr>
              <w:spacing w:after="0" w:line="276" w:lineRule="auto"/>
              <w:jc w:val="both"/>
              <w:rPr>
                <w:rFonts w:asciiTheme="majorBidi" w:eastAsia="Times New Roman" w:hAnsiTheme="majorBidi" w:cstheme="majorBidi"/>
                <w:sz w:val="18"/>
                <w:szCs w:val="18"/>
              </w:rPr>
            </w:pPr>
          </w:p>
        </w:tc>
        <w:tc>
          <w:tcPr>
            <w:tcW w:w="1710" w:type="dxa"/>
            <w:tcBorders>
              <w:top w:val="nil"/>
              <w:left w:val="nil"/>
              <w:right w:val="nil"/>
            </w:tcBorders>
            <w:shd w:val="clear" w:color="auto" w:fill="auto"/>
            <w:noWrap/>
            <w:vAlign w:val="center"/>
            <w:hideMark/>
          </w:tcPr>
          <w:p w14:paraId="6248D7DE" w14:textId="25FCDD31" w:rsidR="00217324" w:rsidRPr="007F7656" w:rsidRDefault="00217324" w:rsidP="00A30B05">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Bachelor</w:t>
            </w:r>
          </w:p>
        </w:tc>
        <w:tc>
          <w:tcPr>
            <w:tcW w:w="1350" w:type="dxa"/>
            <w:tcBorders>
              <w:top w:val="nil"/>
              <w:left w:val="nil"/>
              <w:right w:val="nil"/>
            </w:tcBorders>
            <w:shd w:val="clear" w:color="auto" w:fill="auto"/>
            <w:noWrap/>
            <w:vAlign w:val="center"/>
            <w:hideMark/>
          </w:tcPr>
          <w:p w14:paraId="1F8E4E78" w14:textId="77777777" w:rsidR="00217324" w:rsidRPr="007F7656" w:rsidRDefault="00217324" w:rsidP="00A30B05">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59</w:t>
            </w:r>
          </w:p>
        </w:tc>
        <w:tc>
          <w:tcPr>
            <w:tcW w:w="1440" w:type="dxa"/>
            <w:tcBorders>
              <w:top w:val="nil"/>
              <w:left w:val="nil"/>
            </w:tcBorders>
            <w:shd w:val="clear" w:color="auto" w:fill="auto"/>
            <w:noWrap/>
            <w:vAlign w:val="center"/>
            <w:hideMark/>
          </w:tcPr>
          <w:p w14:paraId="31651DDF" w14:textId="77777777" w:rsidR="00217324" w:rsidRPr="007F7656" w:rsidRDefault="00217324" w:rsidP="00A30B05">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28.1</w:t>
            </w:r>
          </w:p>
        </w:tc>
      </w:tr>
      <w:tr w:rsidR="007F7656" w:rsidRPr="007F7656" w14:paraId="30FDB120" w14:textId="77777777" w:rsidTr="008E2E4B">
        <w:trPr>
          <w:trHeight w:val="291"/>
        </w:trPr>
        <w:tc>
          <w:tcPr>
            <w:tcW w:w="4590" w:type="dxa"/>
            <w:vMerge/>
            <w:tcBorders>
              <w:top w:val="nil"/>
              <w:bottom w:val="single" w:sz="8" w:space="0" w:color="000000"/>
              <w:right w:val="nil"/>
            </w:tcBorders>
            <w:vAlign w:val="center"/>
            <w:hideMark/>
          </w:tcPr>
          <w:p w14:paraId="6A5CBBD0" w14:textId="77777777" w:rsidR="00217324" w:rsidRPr="007F7656" w:rsidRDefault="00217324" w:rsidP="0021266E">
            <w:pPr>
              <w:spacing w:after="0" w:line="276" w:lineRule="auto"/>
              <w:jc w:val="both"/>
              <w:rPr>
                <w:rFonts w:asciiTheme="majorBidi" w:eastAsia="Times New Roman" w:hAnsiTheme="majorBidi" w:cstheme="majorBidi"/>
                <w:sz w:val="18"/>
                <w:szCs w:val="18"/>
              </w:rPr>
            </w:pPr>
          </w:p>
        </w:tc>
        <w:tc>
          <w:tcPr>
            <w:tcW w:w="1710" w:type="dxa"/>
            <w:tcBorders>
              <w:top w:val="nil"/>
              <w:left w:val="nil"/>
              <w:bottom w:val="single" w:sz="4" w:space="0" w:color="auto"/>
              <w:right w:val="nil"/>
            </w:tcBorders>
            <w:shd w:val="clear" w:color="auto" w:fill="auto"/>
            <w:noWrap/>
            <w:vAlign w:val="center"/>
            <w:hideMark/>
          </w:tcPr>
          <w:p w14:paraId="029E1812" w14:textId="77777777" w:rsidR="00217324" w:rsidRPr="007F7656" w:rsidRDefault="00217324" w:rsidP="00A30B05">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Master and PHD</w:t>
            </w:r>
          </w:p>
        </w:tc>
        <w:tc>
          <w:tcPr>
            <w:tcW w:w="1350" w:type="dxa"/>
            <w:tcBorders>
              <w:top w:val="nil"/>
              <w:left w:val="nil"/>
              <w:bottom w:val="single" w:sz="4" w:space="0" w:color="auto"/>
              <w:right w:val="nil"/>
            </w:tcBorders>
            <w:shd w:val="clear" w:color="auto" w:fill="auto"/>
            <w:noWrap/>
            <w:vAlign w:val="center"/>
            <w:hideMark/>
          </w:tcPr>
          <w:p w14:paraId="060E2789" w14:textId="77777777" w:rsidR="00217324" w:rsidRPr="007F7656" w:rsidRDefault="00217324" w:rsidP="00A30B05">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122</w:t>
            </w:r>
          </w:p>
        </w:tc>
        <w:tc>
          <w:tcPr>
            <w:tcW w:w="1440" w:type="dxa"/>
            <w:tcBorders>
              <w:top w:val="nil"/>
              <w:left w:val="nil"/>
              <w:bottom w:val="single" w:sz="4" w:space="0" w:color="auto"/>
            </w:tcBorders>
            <w:shd w:val="clear" w:color="auto" w:fill="auto"/>
            <w:noWrap/>
            <w:vAlign w:val="center"/>
            <w:hideMark/>
          </w:tcPr>
          <w:p w14:paraId="680F60B3" w14:textId="77777777" w:rsidR="00217324" w:rsidRPr="007F7656" w:rsidRDefault="00217324" w:rsidP="00A30B05">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54.8</w:t>
            </w:r>
          </w:p>
        </w:tc>
      </w:tr>
      <w:tr w:rsidR="007F7656" w:rsidRPr="007F7656" w14:paraId="1E3BCC1F" w14:textId="77777777" w:rsidTr="008E2E4B">
        <w:trPr>
          <w:trHeight w:val="291"/>
        </w:trPr>
        <w:tc>
          <w:tcPr>
            <w:tcW w:w="4590" w:type="dxa"/>
            <w:vMerge w:val="restart"/>
            <w:tcBorders>
              <w:top w:val="nil"/>
              <w:bottom w:val="single" w:sz="8" w:space="0" w:color="000000"/>
              <w:right w:val="nil"/>
            </w:tcBorders>
            <w:shd w:val="clear" w:color="auto" w:fill="auto"/>
            <w:noWrap/>
            <w:vAlign w:val="center"/>
            <w:hideMark/>
          </w:tcPr>
          <w:p w14:paraId="0F80D7B8" w14:textId="77777777" w:rsidR="00217324" w:rsidRPr="007F7656" w:rsidRDefault="00217324" w:rsidP="0021266E">
            <w:pPr>
              <w:spacing w:after="0" w:line="276" w:lineRule="auto"/>
              <w:jc w:val="both"/>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Marital status</w:t>
            </w:r>
          </w:p>
        </w:tc>
        <w:tc>
          <w:tcPr>
            <w:tcW w:w="1710" w:type="dxa"/>
            <w:tcBorders>
              <w:top w:val="single" w:sz="4" w:space="0" w:color="auto"/>
              <w:left w:val="nil"/>
              <w:bottom w:val="nil"/>
              <w:right w:val="nil"/>
            </w:tcBorders>
            <w:shd w:val="clear" w:color="auto" w:fill="auto"/>
            <w:noWrap/>
            <w:vAlign w:val="center"/>
            <w:hideMark/>
          </w:tcPr>
          <w:p w14:paraId="5CE05F12" w14:textId="70BE7A56" w:rsidR="00217324" w:rsidRPr="007F7656" w:rsidRDefault="00217324" w:rsidP="00A30B05">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Married</w:t>
            </w:r>
          </w:p>
        </w:tc>
        <w:tc>
          <w:tcPr>
            <w:tcW w:w="1350" w:type="dxa"/>
            <w:tcBorders>
              <w:top w:val="single" w:sz="4" w:space="0" w:color="auto"/>
              <w:left w:val="nil"/>
              <w:bottom w:val="nil"/>
              <w:right w:val="nil"/>
            </w:tcBorders>
            <w:shd w:val="clear" w:color="auto" w:fill="auto"/>
            <w:noWrap/>
            <w:vAlign w:val="center"/>
            <w:hideMark/>
          </w:tcPr>
          <w:p w14:paraId="26AC1C58" w14:textId="77777777" w:rsidR="00217324" w:rsidRPr="007F7656" w:rsidRDefault="00217324" w:rsidP="00A30B05">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178</w:t>
            </w:r>
          </w:p>
        </w:tc>
        <w:tc>
          <w:tcPr>
            <w:tcW w:w="1440" w:type="dxa"/>
            <w:tcBorders>
              <w:top w:val="single" w:sz="4" w:space="0" w:color="auto"/>
              <w:left w:val="nil"/>
              <w:bottom w:val="nil"/>
            </w:tcBorders>
            <w:shd w:val="clear" w:color="auto" w:fill="auto"/>
            <w:noWrap/>
            <w:vAlign w:val="center"/>
            <w:hideMark/>
          </w:tcPr>
          <w:p w14:paraId="33C8178A" w14:textId="77777777" w:rsidR="00217324" w:rsidRPr="007F7656" w:rsidRDefault="00217324" w:rsidP="00A30B05">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84.8</w:t>
            </w:r>
          </w:p>
        </w:tc>
      </w:tr>
      <w:tr w:rsidR="007F7656" w:rsidRPr="007F7656" w14:paraId="11E43B10" w14:textId="77777777" w:rsidTr="008E2E4B">
        <w:trPr>
          <w:trHeight w:val="291"/>
        </w:trPr>
        <w:tc>
          <w:tcPr>
            <w:tcW w:w="4590" w:type="dxa"/>
            <w:vMerge/>
            <w:tcBorders>
              <w:top w:val="nil"/>
              <w:bottom w:val="single" w:sz="8" w:space="0" w:color="000000"/>
              <w:right w:val="nil"/>
            </w:tcBorders>
            <w:vAlign w:val="center"/>
            <w:hideMark/>
          </w:tcPr>
          <w:p w14:paraId="77128392" w14:textId="77777777" w:rsidR="00217324" w:rsidRPr="007F7656" w:rsidRDefault="00217324" w:rsidP="0021266E">
            <w:pPr>
              <w:spacing w:after="0" w:line="276" w:lineRule="auto"/>
              <w:jc w:val="both"/>
              <w:rPr>
                <w:rFonts w:asciiTheme="majorBidi" w:eastAsia="Times New Roman" w:hAnsiTheme="majorBidi" w:cstheme="majorBidi"/>
                <w:sz w:val="18"/>
                <w:szCs w:val="18"/>
              </w:rPr>
            </w:pPr>
          </w:p>
        </w:tc>
        <w:tc>
          <w:tcPr>
            <w:tcW w:w="1710" w:type="dxa"/>
            <w:tcBorders>
              <w:top w:val="nil"/>
              <w:left w:val="nil"/>
              <w:bottom w:val="single" w:sz="8" w:space="0" w:color="auto"/>
              <w:right w:val="nil"/>
            </w:tcBorders>
            <w:shd w:val="clear" w:color="auto" w:fill="auto"/>
            <w:noWrap/>
            <w:vAlign w:val="center"/>
            <w:hideMark/>
          </w:tcPr>
          <w:p w14:paraId="1C4E6EBA" w14:textId="566837C4" w:rsidR="00217324" w:rsidRPr="007F7656" w:rsidRDefault="00217324" w:rsidP="00A30B05">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Single</w:t>
            </w:r>
          </w:p>
        </w:tc>
        <w:tc>
          <w:tcPr>
            <w:tcW w:w="1350" w:type="dxa"/>
            <w:tcBorders>
              <w:top w:val="nil"/>
              <w:left w:val="nil"/>
              <w:bottom w:val="single" w:sz="8" w:space="0" w:color="auto"/>
              <w:right w:val="nil"/>
            </w:tcBorders>
            <w:shd w:val="clear" w:color="auto" w:fill="auto"/>
            <w:noWrap/>
            <w:vAlign w:val="center"/>
            <w:hideMark/>
          </w:tcPr>
          <w:p w14:paraId="07FAA4A0" w14:textId="77777777" w:rsidR="00217324" w:rsidRPr="007F7656" w:rsidRDefault="00217324" w:rsidP="00A30B05">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32</w:t>
            </w:r>
          </w:p>
        </w:tc>
        <w:tc>
          <w:tcPr>
            <w:tcW w:w="1440" w:type="dxa"/>
            <w:tcBorders>
              <w:top w:val="nil"/>
              <w:left w:val="nil"/>
              <w:bottom w:val="single" w:sz="8" w:space="0" w:color="auto"/>
            </w:tcBorders>
            <w:shd w:val="clear" w:color="auto" w:fill="auto"/>
            <w:noWrap/>
            <w:vAlign w:val="center"/>
            <w:hideMark/>
          </w:tcPr>
          <w:p w14:paraId="358A3371" w14:textId="77777777" w:rsidR="00217324" w:rsidRPr="007F7656" w:rsidRDefault="00217324" w:rsidP="00A30B05">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15.2</w:t>
            </w:r>
          </w:p>
        </w:tc>
      </w:tr>
      <w:tr w:rsidR="007F7656" w:rsidRPr="007F7656" w14:paraId="18971CFD" w14:textId="77777777" w:rsidTr="008E2E4B">
        <w:trPr>
          <w:trHeight w:val="291"/>
        </w:trPr>
        <w:tc>
          <w:tcPr>
            <w:tcW w:w="4590" w:type="dxa"/>
            <w:vMerge w:val="restart"/>
            <w:tcBorders>
              <w:top w:val="nil"/>
              <w:bottom w:val="single" w:sz="8" w:space="0" w:color="000000"/>
              <w:right w:val="nil"/>
            </w:tcBorders>
            <w:shd w:val="clear" w:color="auto" w:fill="auto"/>
            <w:noWrap/>
            <w:vAlign w:val="center"/>
            <w:hideMark/>
          </w:tcPr>
          <w:p w14:paraId="7BBA9373" w14:textId="77777777" w:rsidR="00217324" w:rsidRPr="007F7656" w:rsidRDefault="00217324" w:rsidP="0021266E">
            <w:pPr>
              <w:spacing w:after="0" w:line="276" w:lineRule="auto"/>
              <w:jc w:val="both"/>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Economic Status</w:t>
            </w:r>
          </w:p>
        </w:tc>
        <w:tc>
          <w:tcPr>
            <w:tcW w:w="1710" w:type="dxa"/>
            <w:tcBorders>
              <w:top w:val="nil"/>
              <w:left w:val="nil"/>
              <w:bottom w:val="nil"/>
              <w:right w:val="nil"/>
            </w:tcBorders>
            <w:shd w:val="clear" w:color="auto" w:fill="auto"/>
            <w:noWrap/>
            <w:vAlign w:val="center"/>
            <w:hideMark/>
          </w:tcPr>
          <w:p w14:paraId="3FB79D49" w14:textId="77777777" w:rsidR="00217324" w:rsidRPr="007F7656" w:rsidRDefault="00217324" w:rsidP="00A30B05">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Poor</w:t>
            </w:r>
          </w:p>
        </w:tc>
        <w:tc>
          <w:tcPr>
            <w:tcW w:w="1350" w:type="dxa"/>
            <w:tcBorders>
              <w:top w:val="nil"/>
              <w:left w:val="nil"/>
              <w:bottom w:val="nil"/>
              <w:right w:val="nil"/>
            </w:tcBorders>
            <w:shd w:val="clear" w:color="auto" w:fill="auto"/>
            <w:noWrap/>
            <w:vAlign w:val="center"/>
            <w:hideMark/>
          </w:tcPr>
          <w:p w14:paraId="0219D2C3" w14:textId="77777777" w:rsidR="00217324" w:rsidRPr="007F7656" w:rsidRDefault="00217324" w:rsidP="00A30B05">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50</w:t>
            </w:r>
          </w:p>
        </w:tc>
        <w:tc>
          <w:tcPr>
            <w:tcW w:w="1440" w:type="dxa"/>
            <w:tcBorders>
              <w:top w:val="nil"/>
              <w:left w:val="nil"/>
              <w:bottom w:val="nil"/>
            </w:tcBorders>
            <w:shd w:val="clear" w:color="auto" w:fill="auto"/>
            <w:noWrap/>
            <w:vAlign w:val="center"/>
            <w:hideMark/>
          </w:tcPr>
          <w:p w14:paraId="33B74321" w14:textId="77777777" w:rsidR="00217324" w:rsidRPr="007F7656" w:rsidRDefault="00217324" w:rsidP="00A30B05">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23.8</w:t>
            </w:r>
          </w:p>
        </w:tc>
      </w:tr>
      <w:tr w:rsidR="007F7656" w:rsidRPr="007F7656" w14:paraId="5F399AA1" w14:textId="77777777" w:rsidTr="008E2E4B">
        <w:trPr>
          <w:trHeight w:val="303"/>
        </w:trPr>
        <w:tc>
          <w:tcPr>
            <w:tcW w:w="4590" w:type="dxa"/>
            <w:vMerge/>
            <w:tcBorders>
              <w:top w:val="nil"/>
              <w:bottom w:val="single" w:sz="8" w:space="0" w:color="000000"/>
              <w:right w:val="nil"/>
            </w:tcBorders>
            <w:vAlign w:val="center"/>
            <w:hideMark/>
          </w:tcPr>
          <w:p w14:paraId="783FD1C6" w14:textId="77777777" w:rsidR="00217324" w:rsidRPr="007F7656" w:rsidRDefault="00217324" w:rsidP="0021266E">
            <w:pPr>
              <w:spacing w:after="0" w:line="276" w:lineRule="auto"/>
              <w:jc w:val="both"/>
              <w:rPr>
                <w:rFonts w:asciiTheme="majorBidi" w:eastAsia="Times New Roman" w:hAnsiTheme="majorBidi" w:cstheme="majorBidi"/>
                <w:sz w:val="18"/>
                <w:szCs w:val="18"/>
              </w:rPr>
            </w:pPr>
          </w:p>
        </w:tc>
        <w:tc>
          <w:tcPr>
            <w:tcW w:w="1710" w:type="dxa"/>
            <w:tcBorders>
              <w:top w:val="nil"/>
              <w:left w:val="nil"/>
              <w:bottom w:val="single" w:sz="8" w:space="0" w:color="auto"/>
              <w:right w:val="nil"/>
            </w:tcBorders>
            <w:shd w:val="clear" w:color="auto" w:fill="auto"/>
            <w:noWrap/>
            <w:vAlign w:val="center"/>
            <w:hideMark/>
          </w:tcPr>
          <w:p w14:paraId="435F9E27" w14:textId="77777777" w:rsidR="00217324" w:rsidRPr="007F7656" w:rsidRDefault="00217324" w:rsidP="00A30B05">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Good</w:t>
            </w:r>
          </w:p>
        </w:tc>
        <w:tc>
          <w:tcPr>
            <w:tcW w:w="1350" w:type="dxa"/>
            <w:tcBorders>
              <w:top w:val="nil"/>
              <w:left w:val="nil"/>
              <w:bottom w:val="single" w:sz="8" w:space="0" w:color="auto"/>
              <w:right w:val="nil"/>
            </w:tcBorders>
            <w:shd w:val="clear" w:color="auto" w:fill="auto"/>
            <w:noWrap/>
            <w:vAlign w:val="center"/>
            <w:hideMark/>
          </w:tcPr>
          <w:p w14:paraId="46431682" w14:textId="77777777" w:rsidR="00217324" w:rsidRPr="007F7656" w:rsidRDefault="00217324" w:rsidP="00A30B05">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145</w:t>
            </w:r>
          </w:p>
        </w:tc>
        <w:tc>
          <w:tcPr>
            <w:tcW w:w="1440" w:type="dxa"/>
            <w:tcBorders>
              <w:top w:val="nil"/>
              <w:left w:val="nil"/>
              <w:bottom w:val="single" w:sz="8" w:space="0" w:color="auto"/>
            </w:tcBorders>
            <w:shd w:val="clear" w:color="auto" w:fill="auto"/>
            <w:noWrap/>
            <w:vAlign w:val="center"/>
            <w:hideMark/>
          </w:tcPr>
          <w:p w14:paraId="16C358FD" w14:textId="77777777" w:rsidR="00217324" w:rsidRPr="007F7656" w:rsidRDefault="00217324" w:rsidP="00A30B05">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76.2</w:t>
            </w:r>
          </w:p>
        </w:tc>
      </w:tr>
      <w:tr w:rsidR="007F7656" w:rsidRPr="007F7656" w14:paraId="47A0411C" w14:textId="77777777" w:rsidTr="008E2E4B">
        <w:trPr>
          <w:trHeight w:val="293"/>
        </w:trPr>
        <w:tc>
          <w:tcPr>
            <w:tcW w:w="4590" w:type="dxa"/>
            <w:vMerge w:val="restart"/>
            <w:tcBorders>
              <w:top w:val="nil"/>
              <w:bottom w:val="single" w:sz="8" w:space="0" w:color="000000"/>
              <w:right w:val="nil"/>
            </w:tcBorders>
            <w:shd w:val="clear" w:color="auto" w:fill="auto"/>
            <w:noWrap/>
            <w:vAlign w:val="center"/>
            <w:hideMark/>
          </w:tcPr>
          <w:p w14:paraId="3FEDFF96" w14:textId="77777777" w:rsidR="00217324" w:rsidRPr="007F7656" w:rsidRDefault="00217324" w:rsidP="0021266E">
            <w:pPr>
              <w:spacing w:after="0" w:line="276" w:lineRule="auto"/>
              <w:jc w:val="both"/>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Type of residence</w:t>
            </w:r>
          </w:p>
        </w:tc>
        <w:tc>
          <w:tcPr>
            <w:tcW w:w="1710" w:type="dxa"/>
            <w:tcBorders>
              <w:top w:val="nil"/>
              <w:left w:val="nil"/>
              <w:bottom w:val="nil"/>
              <w:right w:val="nil"/>
            </w:tcBorders>
            <w:shd w:val="clear" w:color="auto" w:fill="auto"/>
            <w:noWrap/>
            <w:vAlign w:val="center"/>
            <w:hideMark/>
          </w:tcPr>
          <w:p w14:paraId="2872E2F4" w14:textId="77304439" w:rsidR="00217324" w:rsidRPr="007F7656" w:rsidRDefault="00217324" w:rsidP="00A30B05">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Own</w:t>
            </w:r>
          </w:p>
        </w:tc>
        <w:tc>
          <w:tcPr>
            <w:tcW w:w="1350" w:type="dxa"/>
            <w:tcBorders>
              <w:top w:val="nil"/>
              <w:left w:val="nil"/>
              <w:bottom w:val="nil"/>
              <w:right w:val="nil"/>
            </w:tcBorders>
            <w:shd w:val="clear" w:color="auto" w:fill="auto"/>
            <w:noWrap/>
            <w:vAlign w:val="center"/>
            <w:hideMark/>
          </w:tcPr>
          <w:p w14:paraId="5A796CBA" w14:textId="77777777" w:rsidR="00217324" w:rsidRPr="007F7656" w:rsidRDefault="00217324" w:rsidP="00A30B05">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141</w:t>
            </w:r>
          </w:p>
        </w:tc>
        <w:tc>
          <w:tcPr>
            <w:tcW w:w="1440" w:type="dxa"/>
            <w:tcBorders>
              <w:top w:val="nil"/>
              <w:left w:val="nil"/>
              <w:bottom w:val="nil"/>
            </w:tcBorders>
            <w:shd w:val="clear" w:color="auto" w:fill="auto"/>
            <w:noWrap/>
            <w:vAlign w:val="center"/>
            <w:hideMark/>
          </w:tcPr>
          <w:p w14:paraId="7F4CFD59" w14:textId="77777777" w:rsidR="00217324" w:rsidRPr="007F7656" w:rsidRDefault="00217324" w:rsidP="00A30B05">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67.1</w:t>
            </w:r>
          </w:p>
        </w:tc>
      </w:tr>
      <w:tr w:rsidR="007F7656" w:rsidRPr="007F7656" w14:paraId="43E0EB69" w14:textId="77777777" w:rsidTr="008E2E4B">
        <w:trPr>
          <w:trHeight w:val="303"/>
        </w:trPr>
        <w:tc>
          <w:tcPr>
            <w:tcW w:w="4590" w:type="dxa"/>
            <w:vMerge/>
            <w:tcBorders>
              <w:top w:val="nil"/>
              <w:bottom w:val="single" w:sz="8" w:space="0" w:color="000000"/>
              <w:right w:val="nil"/>
            </w:tcBorders>
            <w:vAlign w:val="center"/>
            <w:hideMark/>
          </w:tcPr>
          <w:p w14:paraId="69EE99B9" w14:textId="77777777" w:rsidR="00217324" w:rsidRPr="007F7656" w:rsidRDefault="00217324" w:rsidP="0021266E">
            <w:pPr>
              <w:spacing w:after="0" w:line="276" w:lineRule="auto"/>
              <w:jc w:val="both"/>
              <w:rPr>
                <w:rFonts w:asciiTheme="majorBidi" w:eastAsia="Times New Roman" w:hAnsiTheme="majorBidi" w:cstheme="majorBidi"/>
                <w:sz w:val="18"/>
                <w:szCs w:val="18"/>
              </w:rPr>
            </w:pPr>
          </w:p>
        </w:tc>
        <w:tc>
          <w:tcPr>
            <w:tcW w:w="1710" w:type="dxa"/>
            <w:tcBorders>
              <w:top w:val="nil"/>
              <w:left w:val="nil"/>
              <w:bottom w:val="single" w:sz="8" w:space="0" w:color="auto"/>
              <w:right w:val="nil"/>
            </w:tcBorders>
            <w:shd w:val="clear" w:color="auto" w:fill="auto"/>
            <w:noWrap/>
            <w:vAlign w:val="center"/>
            <w:hideMark/>
          </w:tcPr>
          <w:p w14:paraId="018C4426" w14:textId="11B63FBD" w:rsidR="00217324" w:rsidRPr="007F7656" w:rsidRDefault="00217324" w:rsidP="00A30B05">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Rented</w:t>
            </w:r>
          </w:p>
        </w:tc>
        <w:tc>
          <w:tcPr>
            <w:tcW w:w="1350" w:type="dxa"/>
            <w:tcBorders>
              <w:top w:val="nil"/>
              <w:left w:val="nil"/>
              <w:bottom w:val="single" w:sz="8" w:space="0" w:color="auto"/>
              <w:right w:val="nil"/>
            </w:tcBorders>
            <w:shd w:val="clear" w:color="auto" w:fill="auto"/>
            <w:noWrap/>
            <w:vAlign w:val="center"/>
            <w:hideMark/>
          </w:tcPr>
          <w:p w14:paraId="7D1F1588" w14:textId="77777777" w:rsidR="00217324" w:rsidRPr="007F7656" w:rsidRDefault="00217324" w:rsidP="00A30B05">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69</w:t>
            </w:r>
          </w:p>
        </w:tc>
        <w:tc>
          <w:tcPr>
            <w:tcW w:w="1440" w:type="dxa"/>
            <w:tcBorders>
              <w:top w:val="nil"/>
              <w:left w:val="nil"/>
              <w:bottom w:val="single" w:sz="8" w:space="0" w:color="auto"/>
            </w:tcBorders>
            <w:shd w:val="clear" w:color="auto" w:fill="auto"/>
            <w:noWrap/>
            <w:vAlign w:val="center"/>
            <w:hideMark/>
          </w:tcPr>
          <w:p w14:paraId="2C89F74C" w14:textId="77777777" w:rsidR="00217324" w:rsidRPr="007F7656" w:rsidRDefault="00217324" w:rsidP="00A30B05">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32.9</w:t>
            </w:r>
          </w:p>
        </w:tc>
      </w:tr>
      <w:tr w:rsidR="007F7656" w:rsidRPr="007F7656" w14:paraId="46BEF1C0" w14:textId="77777777" w:rsidTr="008E2E4B">
        <w:trPr>
          <w:trHeight w:val="293"/>
        </w:trPr>
        <w:tc>
          <w:tcPr>
            <w:tcW w:w="4590" w:type="dxa"/>
            <w:vMerge w:val="restart"/>
            <w:tcBorders>
              <w:top w:val="nil"/>
              <w:bottom w:val="single" w:sz="8" w:space="0" w:color="000000"/>
              <w:right w:val="nil"/>
            </w:tcBorders>
            <w:shd w:val="clear" w:color="auto" w:fill="auto"/>
            <w:noWrap/>
            <w:vAlign w:val="center"/>
            <w:hideMark/>
          </w:tcPr>
          <w:p w14:paraId="26B3FBF4" w14:textId="77777777" w:rsidR="00217324" w:rsidRPr="007F7656" w:rsidRDefault="00217324" w:rsidP="0021266E">
            <w:pPr>
              <w:spacing w:after="0" w:line="276" w:lineRule="auto"/>
              <w:jc w:val="both"/>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Loss of family member in childhood</w:t>
            </w:r>
          </w:p>
        </w:tc>
        <w:tc>
          <w:tcPr>
            <w:tcW w:w="1710" w:type="dxa"/>
            <w:tcBorders>
              <w:top w:val="nil"/>
              <w:left w:val="nil"/>
              <w:bottom w:val="nil"/>
              <w:right w:val="nil"/>
            </w:tcBorders>
            <w:shd w:val="clear" w:color="auto" w:fill="auto"/>
            <w:noWrap/>
            <w:vAlign w:val="center"/>
            <w:hideMark/>
          </w:tcPr>
          <w:p w14:paraId="61D58D31" w14:textId="77777777" w:rsidR="00217324" w:rsidRPr="007F7656" w:rsidRDefault="00217324" w:rsidP="00A30B05">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Yes</w:t>
            </w:r>
          </w:p>
        </w:tc>
        <w:tc>
          <w:tcPr>
            <w:tcW w:w="1350" w:type="dxa"/>
            <w:tcBorders>
              <w:top w:val="nil"/>
              <w:left w:val="nil"/>
              <w:bottom w:val="nil"/>
              <w:right w:val="nil"/>
            </w:tcBorders>
            <w:shd w:val="clear" w:color="auto" w:fill="auto"/>
            <w:noWrap/>
            <w:vAlign w:val="center"/>
            <w:hideMark/>
          </w:tcPr>
          <w:p w14:paraId="58966A90" w14:textId="77777777" w:rsidR="00217324" w:rsidRPr="007F7656" w:rsidRDefault="00217324" w:rsidP="00A30B05">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59</w:t>
            </w:r>
          </w:p>
        </w:tc>
        <w:tc>
          <w:tcPr>
            <w:tcW w:w="1440" w:type="dxa"/>
            <w:tcBorders>
              <w:top w:val="nil"/>
              <w:left w:val="nil"/>
              <w:bottom w:val="nil"/>
            </w:tcBorders>
            <w:shd w:val="clear" w:color="auto" w:fill="auto"/>
            <w:noWrap/>
            <w:vAlign w:val="center"/>
            <w:hideMark/>
          </w:tcPr>
          <w:p w14:paraId="1D830762" w14:textId="77777777" w:rsidR="00217324" w:rsidRPr="007F7656" w:rsidRDefault="00217324" w:rsidP="00A30B05">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28.1</w:t>
            </w:r>
          </w:p>
        </w:tc>
      </w:tr>
      <w:tr w:rsidR="007F7656" w:rsidRPr="007F7656" w14:paraId="5422BBCE" w14:textId="77777777" w:rsidTr="008E2E4B">
        <w:trPr>
          <w:trHeight w:val="303"/>
        </w:trPr>
        <w:tc>
          <w:tcPr>
            <w:tcW w:w="4590" w:type="dxa"/>
            <w:vMerge/>
            <w:tcBorders>
              <w:top w:val="nil"/>
              <w:bottom w:val="single" w:sz="8" w:space="0" w:color="000000"/>
              <w:right w:val="nil"/>
            </w:tcBorders>
            <w:vAlign w:val="center"/>
            <w:hideMark/>
          </w:tcPr>
          <w:p w14:paraId="264D209A" w14:textId="77777777" w:rsidR="00217324" w:rsidRPr="007F7656" w:rsidRDefault="00217324" w:rsidP="0021266E">
            <w:pPr>
              <w:spacing w:after="0" w:line="276" w:lineRule="auto"/>
              <w:jc w:val="both"/>
              <w:rPr>
                <w:rFonts w:asciiTheme="majorBidi" w:eastAsia="Times New Roman" w:hAnsiTheme="majorBidi" w:cstheme="majorBidi"/>
                <w:sz w:val="18"/>
                <w:szCs w:val="18"/>
              </w:rPr>
            </w:pPr>
          </w:p>
        </w:tc>
        <w:tc>
          <w:tcPr>
            <w:tcW w:w="1710" w:type="dxa"/>
            <w:tcBorders>
              <w:top w:val="nil"/>
              <w:left w:val="nil"/>
              <w:bottom w:val="single" w:sz="8" w:space="0" w:color="auto"/>
              <w:right w:val="nil"/>
            </w:tcBorders>
            <w:shd w:val="clear" w:color="auto" w:fill="auto"/>
            <w:noWrap/>
            <w:vAlign w:val="center"/>
            <w:hideMark/>
          </w:tcPr>
          <w:p w14:paraId="77E88337" w14:textId="77777777" w:rsidR="00217324" w:rsidRPr="007F7656" w:rsidRDefault="00217324" w:rsidP="00A30B05">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No</w:t>
            </w:r>
          </w:p>
        </w:tc>
        <w:tc>
          <w:tcPr>
            <w:tcW w:w="1350" w:type="dxa"/>
            <w:tcBorders>
              <w:top w:val="nil"/>
              <w:left w:val="nil"/>
              <w:bottom w:val="single" w:sz="8" w:space="0" w:color="auto"/>
              <w:right w:val="nil"/>
            </w:tcBorders>
            <w:shd w:val="clear" w:color="auto" w:fill="auto"/>
            <w:noWrap/>
            <w:vAlign w:val="center"/>
            <w:hideMark/>
          </w:tcPr>
          <w:p w14:paraId="2DFEDBEE" w14:textId="77777777" w:rsidR="00217324" w:rsidRPr="007F7656" w:rsidRDefault="00217324" w:rsidP="00A30B05">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151</w:t>
            </w:r>
          </w:p>
        </w:tc>
        <w:tc>
          <w:tcPr>
            <w:tcW w:w="1440" w:type="dxa"/>
            <w:tcBorders>
              <w:top w:val="nil"/>
              <w:left w:val="nil"/>
              <w:bottom w:val="single" w:sz="8" w:space="0" w:color="auto"/>
            </w:tcBorders>
            <w:shd w:val="clear" w:color="auto" w:fill="auto"/>
            <w:noWrap/>
            <w:vAlign w:val="center"/>
            <w:hideMark/>
          </w:tcPr>
          <w:p w14:paraId="2547F22F" w14:textId="77777777" w:rsidR="00217324" w:rsidRPr="007F7656" w:rsidRDefault="00217324" w:rsidP="00A30B05">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71.9</w:t>
            </w:r>
          </w:p>
        </w:tc>
      </w:tr>
      <w:tr w:rsidR="007F7656" w:rsidRPr="007F7656" w14:paraId="08208AFC" w14:textId="77777777" w:rsidTr="008E2E4B">
        <w:trPr>
          <w:trHeight w:val="303"/>
        </w:trPr>
        <w:tc>
          <w:tcPr>
            <w:tcW w:w="4590" w:type="dxa"/>
            <w:vMerge w:val="restart"/>
            <w:tcBorders>
              <w:top w:val="nil"/>
              <w:bottom w:val="single" w:sz="8" w:space="0" w:color="000000"/>
              <w:right w:val="nil"/>
            </w:tcBorders>
            <w:shd w:val="clear" w:color="auto" w:fill="auto"/>
            <w:noWrap/>
            <w:vAlign w:val="center"/>
            <w:hideMark/>
          </w:tcPr>
          <w:p w14:paraId="7355FC2C" w14:textId="77777777" w:rsidR="00217324" w:rsidRPr="007F7656" w:rsidRDefault="00217324" w:rsidP="0021266E">
            <w:pPr>
              <w:spacing w:after="0" w:line="276" w:lineRule="auto"/>
              <w:jc w:val="both"/>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General Health condition</w:t>
            </w:r>
          </w:p>
        </w:tc>
        <w:tc>
          <w:tcPr>
            <w:tcW w:w="1710" w:type="dxa"/>
            <w:tcBorders>
              <w:top w:val="single" w:sz="8" w:space="0" w:color="auto"/>
              <w:left w:val="nil"/>
              <w:bottom w:val="nil"/>
              <w:right w:val="nil"/>
            </w:tcBorders>
            <w:shd w:val="clear" w:color="auto" w:fill="auto"/>
            <w:noWrap/>
            <w:vAlign w:val="center"/>
            <w:hideMark/>
          </w:tcPr>
          <w:p w14:paraId="44B812A7" w14:textId="17B7E10C" w:rsidR="00217324" w:rsidRPr="007F7656" w:rsidRDefault="00217324" w:rsidP="00A30B05">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good</w:t>
            </w:r>
          </w:p>
        </w:tc>
        <w:tc>
          <w:tcPr>
            <w:tcW w:w="1350" w:type="dxa"/>
            <w:tcBorders>
              <w:top w:val="single" w:sz="8" w:space="0" w:color="auto"/>
              <w:left w:val="nil"/>
              <w:bottom w:val="nil"/>
              <w:right w:val="nil"/>
            </w:tcBorders>
            <w:shd w:val="clear" w:color="auto" w:fill="auto"/>
            <w:noWrap/>
            <w:vAlign w:val="center"/>
            <w:hideMark/>
          </w:tcPr>
          <w:p w14:paraId="64B07572" w14:textId="77777777" w:rsidR="00217324" w:rsidRPr="007F7656" w:rsidRDefault="00217324" w:rsidP="00A30B05">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116</w:t>
            </w:r>
          </w:p>
        </w:tc>
        <w:tc>
          <w:tcPr>
            <w:tcW w:w="1440" w:type="dxa"/>
            <w:tcBorders>
              <w:top w:val="single" w:sz="8" w:space="0" w:color="auto"/>
              <w:left w:val="nil"/>
              <w:bottom w:val="nil"/>
            </w:tcBorders>
            <w:shd w:val="clear" w:color="auto" w:fill="auto"/>
            <w:noWrap/>
            <w:vAlign w:val="center"/>
            <w:hideMark/>
          </w:tcPr>
          <w:p w14:paraId="60967C04" w14:textId="77777777" w:rsidR="00217324" w:rsidRPr="007F7656" w:rsidRDefault="00217324" w:rsidP="00A30B05">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55.2</w:t>
            </w:r>
          </w:p>
        </w:tc>
      </w:tr>
      <w:tr w:rsidR="007F7656" w:rsidRPr="007F7656" w14:paraId="6F37A6D7" w14:textId="77777777" w:rsidTr="008E2E4B">
        <w:trPr>
          <w:trHeight w:val="291"/>
        </w:trPr>
        <w:tc>
          <w:tcPr>
            <w:tcW w:w="4590" w:type="dxa"/>
            <w:vMerge/>
            <w:tcBorders>
              <w:top w:val="nil"/>
              <w:bottom w:val="single" w:sz="8" w:space="0" w:color="000000"/>
              <w:right w:val="nil"/>
            </w:tcBorders>
            <w:vAlign w:val="center"/>
            <w:hideMark/>
          </w:tcPr>
          <w:p w14:paraId="63809DBE" w14:textId="77777777" w:rsidR="00217324" w:rsidRPr="007F7656" w:rsidRDefault="00217324" w:rsidP="0021266E">
            <w:pPr>
              <w:spacing w:after="0" w:line="276" w:lineRule="auto"/>
              <w:jc w:val="both"/>
              <w:rPr>
                <w:rFonts w:asciiTheme="majorBidi" w:eastAsia="Times New Roman" w:hAnsiTheme="majorBidi" w:cstheme="majorBidi"/>
                <w:sz w:val="18"/>
                <w:szCs w:val="18"/>
              </w:rPr>
            </w:pPr>
          </w:p>
        </w:tc>
        <w:tc>
          <w:tcPr>
            <w:tcW w:w="1710" w:type="dxa"/>
            <w:tcBorders>
              <w:top w:val="nil"/>
              <w:left w:val="nil"/>
              <w:bottom w:val="single" w:sz="8" w:space="0" w:color="auto"/>
              <w:right w:val="nil"/>
            </w:tcBorders>
            <w:shd w:val="clear" w:color="auto" w:fill="auto"/>
            <w:noWrap/>
            <w:vAlign w:val="center"/>
            <w:hideMark/>
          </w:tcPr>
          <w:p w14:paraId="583064B4" w14:textId="77777777" w:rsidR="00217324" w:rsidRPr="007F7656" w:rsidRDefault="00217324" w:rsidP="00A30B05">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Fair</w:t>
            </w:r>
          </w:p>
        </w:tc>
        <w:tc>
          <w:tcPr>
            <w:tcW w:w="1350" w:type="dxa"/>
            <w:tcBorders>
              <w:top w:val="nil"/>
              <w:left w:val="nil"/>
              <w:bottom w:val="single" w:sz="8" w:space="0" w:color="auto"/>
              <w:right w:val="nil"/>
            </w:tcBorders>
            <w:shd w:val="clear" w:color="auto" w:fill="auto"/>
            <w:noWrap/>
            <w:vAlign w:val="center"/>
            <w:hideMark/>
          </w:tcPr>
          <w:p w14:paraId="53942FB2" w14:textId="77777777" w:rsidR="00217324" w:rsidRPr="007F7656" w:rsidRDefault="00217324" w:rsidP="00A30B05">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94</w:t>
            </w:r>
          </w:p>
        </w:tc>
        <w:tc>
          <w:tcPr>
            <w:tcW w:w="1440" w:type="dxa"/>
            <w:tcBorders>
              <w:top w:val="nil"/>
              <w:left w:val="nil"/>
              <w:bottom w:val="single" w:sz="8" w:space="0" w:color="auto"/>
            </w:tcBorders>
            <w:shd w:val="clear" w:color="auto" w:fill="auto"/>
            <w:noWrap/>
            <w:vAlign w:val="center"/>
            <w:hideMark/>
          </w:tcPr>
          <w:p w14:paraId="76F6A57D" w14:textId="77777777" w:rsidR="00217324" w:rsidRPr="007F7656" w:rsidRDefault="00217324" w:rsidP="00A30B05">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44.8</w:t>
            </w:r>
          </w:p>
        </w:tc>
      </w:tr>
      <w:tr w:rsidR="007F7656" w:rsidRPr="007F7656" w14:paraId="3031AD3E" w14:textId="77777777" w:rsidTr="008E2E4B">
        <w:trPr>
          <w:trHeight w:val="303"/>
        </w:trPr>
        <w:tc>
          <w:tcPr>
            <w:tcW w:w="4590" w:type="dxa"/>
            <w:vMerge w:val="restart"/>
            <w:tcBorders>
              <w:top w:val="nil"/>
              <w:bottom w:val="single" w:sz="8" w:space="0" w:color="000000"/>
              <w:right w:val="nil"/>
            </w:tcBorders>
            <w:shd w:val="clear" w:color="auto" w:fill="auto"/>
            <w:noWrap/>
            <w:vAlign w:val="center"/>
            <w:hideMark/>
          </w:tcPr>
          <w:p w14:paraId="45087ED1" w14:textId="77777777" w:rsidR="00217324" w:rsidRPr="007F7656" w:rsidRDefault="00217324" w:rsidP="0021266E">
            <w:pPr>
              <w:spacing w:after="0" w:line="276" w:lineRule="auto"/>
              <w:jc w:val="both"/>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Concern about food shortage</w:t>
            </w:r>
          </w:p>
        </w:tc>
        <w:tc>
          <w:tcPr>
            <w:tcW w:w="1710" w:type="dxa"/>
            <w:tcBorders>
              <w:top w:val="nil"/>
              <w:left w:val="nil"/>
              <w:bottom w:val="nil"/>
              <w:right w:val="nil"/>
            </w:tcBorders>
            <w:shd w:val="clear" w:color="auto" w:fill="auto"/>
            <w:noWrap/>
            <w:vAlign w:val="center"/>
            <w:hideMark/>
          </w:tcPr>
          <w:p w14:paraId="71F5E360" w14:textId="77777777" w:rsidR="00217324" w:rsidRPr="007F7656" w:rsidRDefault="00217324" w:rsidP="00A30B05">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Yes</w:t>
            </w:r>
          </w:p>
        </w:tc>
        <w:tc>
          <w:tcPr>
            <w:tcW w:w="1350" w:type="dxa"/>
            <w:tcBorders>
              <w:top w:val="nil"/>
              <w:left w:val="nil"/>
              <w:bottom w:val="nil"/>
              <w:right w:val="nil"/>
            </w:tcBorders>
            <w:shd w:val="clear" w:color="auto" w:fill="auto"/>
            <w:noWrap/>
            <w:vAlign w:val="center"/>
            <w:hideMark/>
          </w:tcPr>
          <w:p w14:paraId="0120D6B6" w14:textId="77777777" w:rsidR="00217324" w:rsidRPr="007F7656" w:rsidRDefault="00217324" w:rsidP="00A30B05">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169</w:t>
            </w:r>
          </w:p>
        </w:tc>
        <w:tc>
          <w:tcPr>
            <w:tcW w:w="1440" w:type="dxa"/>
            <w:tcBorders>
              <w:top w:val="nil"/>
              <w:left w:val="nil"/>
              <w:bottom w:val="nil"/>
            </w:tcBorders>
            <w:shd w:val="clear" w:color="auto" w:fill="auto"/>
            <w:noWrap/>
            <w:vAlign w:val="center"/>
            <w:hideMark/>
          </w:tcPr>
          <w:p w14:paraId="63D9A8E8" w14:textId="77777777" w:rsidR="00217324" w:rsidRPr="007F7656" w:rsidRDefault="00217324" w:rsidP="00A30B05">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80.5</w:t>
            </w:r>
          </w:p>
        </w:tc>
      </w:tr>
      <w:tr w:rsidR="007F7656" w:rsidRPr="007F7656" w14:paraId="7BBD7929" w14:textId="77777777" w:rsidTr="008E2E4B">
        <w:trPr>
          <w:trHeight w:val="291"/>
        </w:trPr>
        <w:tc>
          <w:tcPr>
            <w:tcW w:w="4590" w:type="dxa"/>
            <w:vMerge/>
            <w:tcBorders>
              <w:top w:val="nil"/>
              <w:bottom w:val="single" w:sz="8" w:space="0" w:color="000000"/>
              <w:right w:val="nil"/>
            </w:tcBorders>
            <w:vAlign w:val="center"/>
            <w:hideMark/>
          </w:tcPr>
          <w:p w14:paraId="7CCFE41C" w14:textId="77777777" w:rsidR="00217324" w:rsidRPr="007F7656" w:rsidRDefault="00217324" w:rsidP="0021266E">
            <w:pPr>
              <w:spacing w:after="0" w:line="276" w:lineRule="auto"/>
              <w:jc w:val="both"/>
              <w:rPr>
                <w:rFonts w:asciiTheme="majorBidi" w:eastAsia="Times New Roman" w:hAnsiTheme="majorBidi" w:cstheme="majorBidi"/>
                <w:sz w:val="18"/>
                <w:szCs w:val="18"/>
              </w:rPr>
            </w:pPr>
          </w:p>
        </w:tc>
        <w:tc>
          <w:tcPr>
            <w:tcW w:w="1710" w:type="dxa"/>
            <w:tcBorders>
              <w:top w:val="nil"/>
              <w:left w:val="nil"/>
              <w:bottom w:val="single" w:sz="8" w:space="0" w:color="auto"/>
              <w:right w:val="nil"/>
            </w:tcBorders>
            <w:shd w:val="clear" w:color="auto" w:fill="auto"/>
            <w:noWrap/>
            <w:vAlign w:val="center"/>
            <w:hideMark/>
          </w:tcPr>
          <w:p w14:paraId="4E6EF60A" w14:textId="77777777" w:rsidR="00217324" w:rsidRPr="007F7656" w:rsidRDefault="00217324" w:rsidP="00A30B05">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No</w:t>
            </w:r>
          </w:p>
        </w:tc>
        <w:tc>
          <w:tcPr>
            <w:tcW w:w="1350" w:type="dxa"/>
            <w:tcBorders>
              <w:top w:val="nil"/>
              <w:left w:val="nil"/>
              <w:bottom w:val="single" w:sz="8" w:space="0" w:color="auto"/>
              <w:right w:val="nil"/>
            </w:tcBorders>
            <w:shd w:val="clear" w:color="auto" w:fill="auto"/>
            <w:noWrap/>
            <w:vAlign w:val="center"/>
            <w:hideMark/>
          </w:tcPr>
          <w:p w14:paraId="11E1BED1" w14:textId="77777777" w:rsidR="00217324" w:rsidRPr="007F7656" w:rsidRDefault="00217324" w:rsidP="00A30B05">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41</w:t>
            </w:r>
          </w:p>
        </w:tc>
        <w:tc>
          <w:tcPr>
            <w:tcW w:w="1440" w:type="dxa"/>
            <w:tcBorders>
              <w:top w:val="nil"/>
              <w:left w:val="nil"/>
              <w:bottom w:val="single" w:sz="8" w:space="0" w:color="auto"/>
            </w:tcBorders>
            <w:shd w:val="clear" w:color="auto" w:fill="auto"/>
            <w:noWrap/>
            <w:vAlign w:val="center"/>
            <w:hideMark/>
          </w:tcPr>
          <w:p w14:paraId="1C6221F5" w14:textId="77777777" w:rsidR="00217324" w:rsidRPr="007F7656" w:rsidRDefault="00217324" w:rsidP="00A30B05">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19.5</w:t>
            </w:r>
          </w:p>
        </w:tc>
      </w:tr>
      <w:tr w:rsidR="007F7656" w:rsidRPr="007F7656" w14:paraId="592B6433" w14:textId="77777777" w:rsidTr="008E2E4B">
        <w:trPr>
          <w:trHeight w:val="291"/>
        </w:trPr>
        <w:tc>
          <w:tcPr>
            <w:tcW w:w="4590" w:type="dxa"/>
            <w:vMerge w:val="restart"/>
            <w:tcBorders>
              <w:top w:val="nil"/>
              <w:bottom w:val="single" w:sz="8" w:space="0" w:color="000000"/>
              <w:right w:val="nil"/>
            </w:tcBorders>
            <w:shd w:val="clear" w:color="auto" w:fill="auto"/>
            <w:noWrap/>
            <w:vAlign w:val="center"/>
            <w:hideMark/>
          </w:tcPr>
          <w:p w14:paraId="2EDE0CD6" w14:textId="77777777" w:rsidR="00217324" w:rsidRPr="007F7656" w:rsidRDefault="00217324" w:rsidP="0021266E">
            <w:pPr>
              <w:spacing w:after="0" w:line="276" w:lineRule="auto"/>
              <w:jc w:val="both"/>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Concern about losing house</w:t>
            </w:r>
          </w:p>
        </w:tc>
        <w:tc>
          <w:tcPr>
            <w:tcW w:w="1710" w:type="dxa"/>
            <w:tcBorders>
              <w:top w:val="nil"/>
              <w:left w:val="nil"/>
              <w:bottom w:val="nil"/>
              <w:right w:val="nil"/>
            </w:tcBorders>
            <w:shd w:val="clear" w:color="auto" w:fill="auto"/>
            <w:noWrap/>
            <w:vAlign w:val="center"/>
            <w:hideMark/>
          </w:tcPr>
          <w:p w14:paraId="179F39CC" w14:textId="77777777" w:rsidR="00217324" w:rsidRPr="007F7656" w:rsidRDefault="00217324" w:rsidP="00A30B05">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Yes</w:t>
            </w:r>
          </w:p>
        </w:tc>
        <w:tc>
          <w:tcPr>
            <w:tcW w:w="1350" w:type="dxa"/>
            <w:tcBorders>
              <w:top w:val="nil"/>
              <w:left w:val="nil"/>
              <w:bottom w:val="nil"/>
              <w:right w:val="nil"/>
            </w:tcBorders>
            <w:shd w:val="clear" w:color="auto" w:fill="auto"/>
            <w:noWrap/>
            <w:vAlign w:val="center"/>
            <w:hideMark/>
          </w:tcPr>
          <w:p w14:paraId="52790899" w14:textId="77777777" w:rsidR="00217324" w:rsidRPr="007F7656" w:rsidRDefault="00217324" w:rsidP="00A30B05">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99</w:t>
            </w:r>
          </w:p>
        </w:tc>
        <w:tc>
          <w:tcPr>
            <w:tcW w:w="1440" w:type="dxa"/>
            <w:tcBorders>
              <w:top w:val="nil"/>
              <w:left w:val="nil"/>
              <w:bottom w:val="nil"/>
            </w:tcBorders>
            <w:shd w:val="clear" w:color="auto" w:fill="auto"/>
            <w:noWrap/>
            <w:vAlign w:val="center"/>
            <w:hideMark/>
          </w:tcPr>
          <w:p w14:paraId="084BA5FC" w14:textId="77777777" w:rsidR="00217324" w:rsidRPr="007F7656" w:rsidRDefault="00217324" w:rsidP="00A30B05">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47.1</w:t>
            </w:r>
          </w:p>
        </w:tc>
      </w:tr>
      <w:tr w:rsidR="007F7656" w:rsidRPr="007F7656" w14:paraId="75312A1C" w14:textId="77777777" w:rsidTr="008E2E4B">
        <w:trPr>
          <w:trHeight w:val="291"/>
        </w:trPr>
        <w:tc>
          <w:tcPr>
            <w:tcW w:w="4590" w:type="dxa"/>
            <w:vMerge/>
            <w:tcBorders>
              <w:top w:val="nil"/>
              <w:bottom w:val="single" w:sz="8" w:space="0" w:color="000000"/>
              <w:right w:val="nil"/>
            </w:tcBorders>
            <w:vAlign w:val="center"/>
            <w:hideMark/>
          </w:tcPr>
          <w:p w14:paraId="70AFE672" w14:textId="77777777" w:rsidR="00217324" w:rsidRPr="007F7656" w:rsidRDefault="00217324" w:rsidP="0021266E">
            <w:pPr>
              <w:spacing w:after="0" w:line="276" w:lineRule="auto"/>
              <w:jc w:val="both"/>
              <w:rPr>
                <w:rFonts w:asciiTheme="majorBidi" w:eastAsia="Times New Roman" w:hAnsiTheme="majorBidi" w:cstheme="majorBidi"/>
                <w:sz w:val="18"/>
                <w:szCs w:val="18"/>
              </w:rPr>
            </w:pPr>
          </w:p>
        </w:tc>
        <w:tc>
          <w:tcPr>
            <w:tcW w:w="1710" w:type="dxa"/>
            <w:tcBorders>
              <w:top w:val="nil"/>
              <w:left w:val="nil"/>
              <w:bottom w:val="single" w:sz="8" w:space="0" w:color="auto"/>
              <w:right w:val="nil"/>
            </w:tcBorders>
            <w:shd w:val="clear" w:color="auto" w:fill="auto"/>
            <w:noWrap/>
            <w:vAlign w:val="center"/>
            <w:hideMark/>
          </w:tcPr>
          <w:p w14:paraId="27288F2A" w14:textId="77777777" w:rsidR="00217324" w:rsidRPr="007F7656" w:rsidRDefault="00217324" w:rsidP="00A30B05">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No</w:t>
            </w:r>
          </w:p>
        </w:tc>
        <w:tc>
          <w:tcPr>
            <w:tcW w:w="1350" w:type="dxa"/>
            <w:tcBorders>
              <w:top w:val="nil"/>
              <w:left w:val="nil"/>
              <w:bottom w:val="single" w:sz="8" w:space="0" w:color="auto"/>
              <w:right w:val="nil"/>
            </w:tcBorders>
            <w:shd w:val="clear" w:color="auto" w:fill="auto"/>
            <w:noWrap/>
            <w:vAlign w:val="center"/>
            <w:hideMark/>
          </w:tcPr>
          <w:p w14:paraId="5A08F986" w14:textId="77777777" w:rsidR="00217324" w:rsidRPr="007F7656" w:rsidRDefault="00217324" w:rsidP="00A30B05">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111</w:t>
            </w:r>
          </w:p>
        </w:tc>
        <w:tc>
          <w:tcPr>
            <w:tcW w:w="1440" w:type="dxa"/>
            <w:tcBorders>
              <w:top w:val="nil"/>
              <w:left w:val="nil"/>
              <w:bottom w:val="single" w:sz="8" w:space="0" w:color="auto"/>
            </w:tcBorders>
            <w:shd w:val="clear" w:color="auto" w:fill="auto"/>
            <w:noWrap/>
            <w:vAlign w:val="center"/>
            <w:hideMark/>
          </w:tcPr>
          <w:p w14:paraId="25597D85" w14:textId="77777777" w:rsidR="00217324" w:rsidRPr="007F7656" w:rsidRDefault="00217324" w:rsidP="00A30B05">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52.9</w:t>
            </w:r>
          </w:p>
        </w:tc>
      </w:tr>
      <w:tr w:rsidR="007F7656" w:rsidRPr="007F7656" w14:paraId="65E9AFB8" w14:textId="77777777" w:rsidTr="008E2E4B">
        <w:trPr>
          <w:trHeight w:val="303"/>
        </w:trPr>
        <w:tc>
          <w:tcPr>
            <w:tcW w:w="4590" w:type="dxa"/>
            <w:vMerge w:val="restart"/>
            <w:tcBorders>
              <w:top w:val="nil"/>
              <w:bottom w:val="single" w:sz="8" w:space="0" w:color="000000"/>
              <w:right w:val="nil"/>
            </w:tcBorders>
            <w:shd w:val="clear" w:color="auto" w:fill="auto"/>
            <w:noWrap/>
            <w:vAlign w:val="center"/>
            <w:hideMark/>
          </w:tcPr>
          <w:p w14:paraId="7A29695B" w14:textId="77777777" w:rsidR="00217324" w:rsidRPr="007F7656" w:rsidRDefault="00217324" w:rsidP="0021266E">
            <w:pPr>
              <w:spacing w:after="0" w:line="276" w:lineRule="auto"/>
              <w:jc w:val="both"/>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Concern about losing job</w:t>
            </w:r>
          </w:p>
        </w:tc>
        <w:tc>
          <w:tcPr>
            <w:tcW w:w="1710" w:type="dxa"/>
            <w:tcBorders>
              <w:top w:val="nil"/>
              <w:left w:val="nil"/>
              <w:bottom w:val="nil"/>
              <w:right w:val="nil"/>
            </w:tcBorders>
            <w:shd w:val="clear" w:color="auto" w:fill="auto"/>
            <w:noWrap/>
            <w:vAlign w:val="center"/>
            <w:hideMark/>
          </w:tcPr>
          <w:p w14:paraId="21BBCB8F" w14:textId="77777777" w:rsidR="00217324" w:rsidRPr="007F7656" w:rsidRDefault="00217324" w:rsidP="00A30B05">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Yes</w:t>
            </w:r>
          </w:p>
        </w:tc>
        <w:tc>
          <w:tcPr>
            <w:tcW w:w="1350" w:type="dxa"/>
            <w:tcBorders>
              <w:top w:val="nil"/>
              <w:left w:val="nil"/>
              <w:bottom w:val="nil"/>
              <w:right w:val="nil"/>
            </w:tcBorders>
            <w:shd w:val="clear" w:color="auto" w:fill="auto"/>
            <w:noWrap/>
            <w:vAlign w:val="center"/>
            <w:hideMark/>
          </w:tcPr>
          <w:p w14:paraId="3C7CFE66" w14:textId="77777777" w:rsidR="00217324" w:rsidRPr="007F7656" w:rsidRDefault="00217324" w:rsidP="00A30B05">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139</w:t>
            </w:r>
          </w:p>
        </w:tc>
        <w:tc>
          <w:tcPr>
            <w:tcW w:w="1440" w:type="dxa"/>
            <w:tcBorders>
              <w:top w:val="nil"/>
              <w:left w:val="nil"/>
              <w:bottom w:val="nil"/>
            </w:tcBorders>
            <w:shd w:val="clear" w:color="auto" w:fill="auto"/>
            <w:noWrap/>
            <w:vAlign w:val="center"/>
            <w:hideMark/>
          </w:tcPr>
          <w:p w14:paraId="2238538B" w14:textId="77777777" w:rsidR="00217324" w:rsidRPr="007F7656" w:rsidRDefault="00217324" w:rsidP="00A30B05">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66.2</w:t>
            </w:r>
          </w:p>
        </w:tc>
      </w:tr>
      <w:tr w:rsidR="007F7656" w:rsidRPr="007F7656" w14:paraId="4D6E6A97" w14:textId="77777777" w:rsidTr="008E2E4B">
        <w:trPr>
          <w:trHeight w:val="291"/>
        </w:trPr>
        <w:tc>
          <w:tcPr>
            <w:tcW w:w="4590" w:type="dxa"/>
            <w:vMerge/>
            <w:tcBorders>
              <w:top w:val="nil"/>
              <w:bottom w:val="single" w:sz="8" w:space="0" w:color="000000"/>
              <w:right w:val="nil"/>
            </w:tcBorders>
            <w:vAlign w:val="center"/>
            <w:hideMark/>
          </w:tcPr>
          <w:p w14:paraId="510716D6" w14:textId="77777777" w:rsidR="00217324" w:rsidRPr="007F7656" w:rsidRDefault="00217324" w:rsidP="0021266E">
            <w:pPr>
              <w:spacing w:after="0" w:line="276" w:lineRule="auto"/>
              <w:jc w:val="both"/>
              <w:rPr>
                <w:rFonts w:asciiTheme="majorBidi" w:eastAsia="Times New Roman" w:hAnsiTheme="majorBidi" w:cstheme="majorBidi"/>
                <w:sz w:val="18"/>
                <w:szCs w:val="18"/>
              </w:rPr>
            </w:pPr>
          </w:p>
        </w:tc>
        <w:tc>
          <w:tcPr>
            <w:tcW w:w="1710" w:type="dxa"/>
            <w:tcBorders>
              <w:top w:val="nil"/>
              <w:left w:val="nil"/>
              <w:bottom w:val="single" w:sz="8" w:space="0" w:color="auto"/>
              <w:right w:val="nil"/>
            </w:tcBorders>
            <w:shd w:val="clear" w:color="auto" w:fill="auto"/>
            <w:noWrap/>
            <w:vAlign w:val="center"/>
            <w:hideMark/>
          </w:tcPr>
          <w:p w14:paraId="1803E64A" w14:textId="77777777" w:rsidR="00217324" w:rsidRPr="007F7656" w:rsidRDefault="00217324" w:rsidP="00A30B05">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No</w:t>
            </w:r>
          </w:p>
        </w:tc>
        <w:tc>
          <w:tcPr>
            <w:tcW w:w="1350" w:type="dxa"/>
            <w:tcBorders>
              <w:top w:val="nil"/>
              <w:left w:val="nil"/>
              <w:bottom w:val="single" w:sz="8" w:space="0" w:color="auto"/>
              <w:right w:val="nil"/>
            </w:tcBorders>
            <w:shd w:val="clear" w:color="auto" w:fill="auto"/>
            <w:noWrap/>
            <w:vAlign w:val="center"/>
            <w:hideMark/>
          </w:tcPr>
          <w:p w14:paraId="68A6507D" w14:textId="77777777" w:rsidR="00217324" w:rsidRPr="007F7656" w:rsidRDefault="00217324" w:rsidP="00A30B05">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71</w:t>
            </w:r>
          </w:p>
        </w:tc>
        <w:tc>
          <w:tcPr>
            <w:tcW w:w="1440" w:type="dxa"/>
            <w:tcBorders>
              <w:top w:val="nil"/>
              <w:left w:val="nil"/>
              <w:bottom w:val="single" w:sz="8" w:space="0" w:color="auto"/>
            </w:tcBorders>
            <w:shd w:val="clear" w:color="auto" w:fill="auto"/>
            <w:noWrap/>
            <w:vAlign w:val="center"/>
            <w:hideMark/>
          </w:tcPr>
          <w:p w14:paraId="4F6AC0AC" w14:textId="77777777" w:rsidR="00217324" w:rsidRPr="007F7656" w:rsidRDefault="00217324" w:rsidP="00A30B05">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33.8</w:t>
            </w:r>
          </w:p>
        </w:tc>
      </w:tr>
    </w:tbl>
    <w:p w14:paraId="56A955C9" w14:textId="674D2679" w:rsidR="002447D9" w:rsidRPr="00105DBB" w:rsidRDefault="002447D9" w:rsidP="00500F9F">
      <w:pPr>
        <w:spacing w:before="240" w:line="276" w:lineRule="auto"/>
        <w:ind w:firstLine="360"/>
        <w:jc w:val="both"/>
        <w:rPr>
          <w:rFonts w:asciiTheme="majorBidi" w:hAnsiTheme="majorBidi" w:cstheme="majorBidi"/>
          <w:sz w:val="24"/>
          <w:szCs w:val="24"/>
        </w:rPr>
      </w:pPr>
      <w:r w:rsidRPr="00105DBB">
        <w:rPr>
          <w:rFonts w:asciiTheme="majorBidi" w:hAnsiTheme="majorBidi" w:cstheme="majorBidi"/>
          <w:sz w:val="24"/>
          <w:szCs w:val="24"/>
        </w:rPr>
        <w:t xml:space="preserve">All participant in this study, 85.6% and 54.8% had anxiety and depression, respectively. The median and IQR of anxiety and depression in this study was 10 (4-18) and 9 (5-18), respectively. </w:t>
      </w:r>
      <w:r w:rsidRPr="00105DBB">
        <w:rPr>
          <w:rFonts w:asciiTheme="majorBidi" w:hAnsiTheme="majorBidi" w:cstheme="majorBidi"/>
          <w:b/>
          <w:bCs/>
          <w:sz w:val="24"/>
          <w:szCs w:val="24"/>
        </w:rPr>
        <w:t>Table 2</w:t>
      </w:r>
      <w:r w:rsidRPr="00105DBB">
        <w:rPr>
          <w:rFonts w:asciiTheme="majorBidi" w:hAnsiTheme="majorBidi" w:cstheme="majorBidi"/>
          <w:sz w:val="24"/>
          <w:szCs w:val="24"/>
        </w:rPr>
        <w:t xml:space="preserve"> displays the number and percentage of participants according to different categories of depression and anxiety.</w:t>
      </w:r>
    </w:p>
    <w:p w14:paraId="7D03FE1A" w14:textId="1D3819F8" w:rsidR="003450F7" w:rsidRPr="00105DBB" w:rsidRDefault="003450F7" w:rsidP="0021266E">
      <w:pPr>
        <w:spacing w:after="0" w:line="276" w:lineRule="auto"/>
        <w:jc w:val="both"/>
        <w:rPr>
          <w:rFonts w:asciiTheme="majorBidi" w:hAnsiTheme="majorBidi" w:cstheme="majorBidi"/>
          <w:sz w:val="24"/>
          <w:szCs w:val="24"/>
        </w:rPr>
      </w:pPr>
      <w:r w:rsidRPr="00105DBB">
        <w:rPr>
          <w:rFonts w:asciiTheme="majorBidi" w:hAnsiTheme="majorBidi" w:cstheme="majorBidi"/>
          <w:b/>
          <w:bCs/>
          <w:sz w:val="24"/>
          <w:szCs w:val="24"/>
        </w:rPr>
        <w:t xml:space="preserve">Table 2. </w:t>
      </w:r>
      <w:r w:rsidRPr="00105DBB">
        <w:rPr>
          <w:rFonts w:asciiTheme="majorBidi" w:hAnsiTheme="majorBidi" w:cstheme="majorBidi"/>
          <w:sz w:val="24"/>
          <w:szCs w:val="24"/>
        </w:rPr>
        <w:t xml:space="preserve">Number and percentage of participants according to different categories of depression and anxiety </w:t>
      </w:r>
    </w:p>
    <w:tbl>
      <w:tblPr>
        <w:tblW w:w="9090" w:type="dxa"/>
        <w:tblLook w:val="04A0" w:firstRow="1" w:lastRow="0" w:firstColumn="1" w:lastColumn="0" w:noHBand="0" w:noVBand="1"/>
      </w:tblPr>
      <w:tblGrid>
        <w:gridCol w:w="1080"/>
        <w:gridCol w:w="1530"/>
        <w:gridCol w:w="1620"/>
        <w:gridCol w:w="1530"/>
        <w:gridCol w:w="1620"/>
        <w:gridCol w:w="1710"/>
      </w:tblGrid>
      <w:tr w:rsidR="007F7656" w:rsidRPr="007F7656" w14:paraId="03233CDF" w14:textId="77777777" w:rsidTr="00C47926">
        <w:trPr>
          <w:trHeight w:val="70"/>
        </w:trPr>
        <w:tc>
          <w:tcPr>
            <w:tcW w:w="1080" w:type="dxa"/>
            <w:tcBorders>
              <w:top w:val="single" w:sz="4" w:space="0" w:color="000000"/>
            </w:tcBorders>
            <w:shd w:val="clear" w:color="auto" w:fill="auto"/>
            <w:noWrap/>
            <w:vAlign w:val="center"/>
            <w:hideMark/>
          </w:tcPr>
          <w:p w14:paraId="2563719D" w14:textId="77777777" w:rsidR="003450F7" w:rsidRPr="007F7656" w:rsidRDefault="003450F7" w:rsidP="0021266E">
            <w:pPr>
              <w:spacing w:after="0" w:line="276" w:lineRule="auto"/>
              <w:jc w:val="both"/>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 </w:t>
            </w:r>
          </w:p>
        </w:tc>
        <w:tc>
          <w:tcPr>
            <w:tcW w:w="1530" w:type="dxa"/>
            <w:tcBorders>
              <w:top w:val="single" w:sz="4" w:space="0" w:color="000000"/>
            </w:tcBorders>
            <w:shd w:val="clear" w:color="auto" w:fill="auto"/>
            <w:noWrap/>
            <w:vAlign w:val="center"/>
            <w:hideMark/>
          </w:tcPr>
          <w:p w14:paraId="730A50B9" w14:textId="77777777" w:rsidR="003450F7" w:rsidRPr="007F7656" w:rsidRDefault="003450F7" w:rsidP="0021266E">
            <w:pPr>
              <w:spacing w:after="0" w:line="276" w:lineRule="auto"/>
              <w:jc w:val="center"/>
              <w:rPr>
                <w:rFonts w:asciiTheme="majorBidi" w:eastAsia="Times New Roman" w:hAnsiTheme="majorBidi" w:cstheme="majorBidi"/>
                <w:b/>
                <w:bCs/>
                <w:sz w:val="18"/>
                <w:szCs w:val="18"/>
              </w:rPr>
            </w:pPr>
            <w:r w:rsidRPr="007F7656">
              <w:rPr>
                <w:rFonts w:asciiTheme="majorBidi" w:eastAsia="Times New Roman" w:hAnsiTheme="majorBidi" w:cstheme="majorBidi"/>
                <w:b/>
                <w:bCs/>
                <w:sz w:val="18"/>
                <w:szCs w:val="18"/>
              </w:rPr>
              <w:t>Normal</w:t>
            </w:r>
          </w:p>
        </w:tc>
        <w:tc>
          <w:tcPr>
            <w:tcW w:w="1620" w:type="dxa"/>
            <w:tcBorders>
              <w:top w:val="single" w:sz="4" w:space="0" w:color="000000"/>
            </w:tcBorders>
            <w:shd w:val="clear" w:color="auto" w:fill="auto"/>
            <w:noWrap/>
            <w:vAlign w:val="center"/>
            <w:hideMark/>
          </w:tcPr>
          <w:p w14:paraId="6DC7CE5A" w14:textId="77777777" w:rsidR="003450F7" w:rsidRPr="007F7656" w:rsidRDefault="003450F7" w:rsidP="0021266E">
            <w:pPr>
              <w:spacing w:after="0" w:line="276" w:lineRule="auto"/>
              <w:jc w:val="center"/>
              <w:rPr>
                <w:rFonts w:asciiTheme="majorBidi" w:eastAsia="Times New Roman" w:hAnsiTheme="majorBidi" w:cstheme="majorBidi"/>
                <w:b/>
                <w:bCs/>
                <w:sz w:val="18"/>
                <w:szCs w:val="18"/>
              </w:rPr>
            </w:pPr>
            <w:r w:rsidRPr="007F7656">
              <w:rPr>
                <w:rFonts w:asciiTheme="majorBidi" w:eastAsia="Times New Roman" w:hAnsiTheme="majorBidi" w:cstheme="majorBidi"/>
                <w:b/>
                <w:bCs/>
                <w:sz w:val="18"/>
                <w:szCs w:val="18"/>
              </w:rPr>
              <w:t>Mild</w:t>
            </w:r>
          </w:p>
        </w:tc>
        <w:tc>
          <w:tcPr>
            <w:tcW w:w="1530" w:type="dxa"/>
            <w:tcBorders>
              <w:top w:val="single" w:sz="4" w:space="0" w:color="000000"/>
            </w:tcBorders>
            <w:shd w:val="clear" w:color="auto" w:fill="auto"/>
            <w:noWrap/>
            <w:vAlign w:val="center"/>
            <w:hideMark/>
          </w:tcPr>
          <w:p w14:paraId="25444A5C" w14:textId="77777777" w:rsidR="003450F7" w:rsidRPr="007F7656" w:rsidRDefault="003450F7" w:rsidP="0021266E">
            <w:pPr>
              <w:spacing w:after="0" w:line="276" w:lineRule="auto"/>
              <w:jc w:val="center"/>
              <w:rPr>
                <w:rFonts w:asciiTheme="majorBidi" w:eastAsia="Times New Roman" w:hAnsiTheme="majorBidi" w:cstheme="majorBidi"/>
                <w:b/>
                <w:bCs/>
                <w:sz w:val="18"/>
                <w:szCs w:val="18"/>
              </w:rPr>
            </w:pPr>
            <w:r w:rsidRPr="007F7656">
              <w:rPr>
                <w:rFonts w:asciiTheme="majorBidi" w:eastAsia="Times New Roman" w:hAnsiTheme="majorBidi" w:cstheme="majorBidi"/>
                <w:b/>
                <w:bCs/>
                <w:sz w:val="18"/>
                <w:szCs w:val="18"/>
              </w:rPr>
              <w:t>Moderate</w:t>
            </w:r>
          </w:p>
        </w:tc>
        <w:tc>
          <w:tcPr>
            <w:tcW w:w="1620" w:type="dxa"/>
            <w:tcBorders>
              <w:top w:val="single" w:sz="4" w:space="0" w:color="000000"/>
            </w:tcBorders>
            <w:shd w:val="clear" w:color="auto" w:fill="auto"/>
            <w:noWrap/>
            <w:vAlign w:val="center"/>
            <w:hideMark/>
          </w:tcPr>
          <w:p w14:paraId="47E5620B" w14:textId="77777777" w:rsidR="003450F7" w:rsidRPr="007F7656" w:rsidRDefault="003450F7" w:rsidP="0021266E">
            <w:pPr>
              <w:spacing w:after="0" w:line="276" w:lineRule="auto"/>
              <w:jc w:val="center"/>
              <w:rPr>
                <w:rFonts w:asciiTheme="majorBidi" w:eastAsia="Times New Roman" w:hAnsiTheme="majorBidi" w:cstheme="majorBidi"/>
                <w:b/>
                <w:bCs/>
                <w:sz w:val="18"/>
                <w:szCs w:val="18"/>
              </w:rPr>
            </w:pPr>
            <w:r w:rsidRPr="007F7656">
              <w:rPr>
                <w:rFonts w:asciiTheme="majorBidi" w:eastAsia="Times New Roman" w:hAnsiTheme="majorBidi" w:cstheme="majorBidi"/>
                <w:b/>
                <w:bCs/>
                <w:sz w:val="18"/>
                <w:szCs w:val="18"/>
              </w:rPr>
              <w:t>Sever</w:t>
            </w:r>
          </w:p>
        </w:tc>
        <w:tc>
          <w:tcPr>
            <w:tcW w:w="1710" w:type="dxa"/>
            <w:tcBorders>
              <w:top w:val="single" w:sz="4" w:space="0" w:color="000000"/>
            </w:tcBorders>
            <w:shd w:val="clear" w:color="auto" w:fill="auto"/>
            <w:noWrap/>
            <w:vAlign w:val="center"/>
            <w:hideMark/>
          </w:tcPr>
          <w:p w14:paraId="45EF29CB" w14:textId="4D5A411B" w:rsidR="003450F7" w:rsidRPr="007F7656" w:rsidRDefault="003450F7" w:rsidP="0021266E">
            <w:pPr>
              <w:spacing w:after="0" w:line="276" w:lineRule="auto"/>
              <w:jc w:val="center"/>
              <w:rPr>
                <w:rFonts w:asciiTheme="majorBidi" w:eastAsia="Times New Roman" w:hAnsiTheme="majorBidi" w:cstheme="majorBidi"/>
                <w:b/>
                <w:bCs/>
                <w:sz w:val="18"/>
                <w:szCs w:val="18"/>
              </w:rPr>
            </w:pPr>
            <w:r w:rsidRPr="007F7656">
              <w:rPr>
                <w:rFonts w:asciiTheme="majorBidi" w:eastAsia="Times New Roman" w:hAnsiTheme="majorBidi" w:cstheme="majorBidi"/>
                <w:b/>
                <w:bCs/>
                <w:sz w:val="18"/>
                <w:szCs w:val="18"/>
              </w:rPr>
              <w:t>Extremely Sever</w:t>
            </w:r>
          </w:p>
        </w:tc>
      </w:tr>
      <w:tr w:rsidR="007F7656" w:rsidRPr="007F7656" w14:paraId="44CA0D3B" w14:textId="77777777" w:rsidTr="00C47926">
        <w:trPr>
          <w:trHeight w:val="600"/>
        </w:trPr>
        <w:tc>
          <w:tcPr>
            <w:tcW w:w="1080" w:type="dxa"/>
            <w:tcBorders>
              <w:bottom w:val="single" w:sz="4" w:space="0" w:color="000000"/>
            </w:tcBorders>
            <w:shd w:val="clear" w:color="auto" w:fill="auto"/>
            <w:noWrap/>
            <w:vAlign w:val="center"/>
            <w:hideMark/>
          </w:tcPr>
          <w:p w14:paraId="79E2EE9B" w14:textId="77777777" w:rsidR="003450F7" w:rsidRPr="007F7656" w:rsidRDefault="003450F7" w:rsidP="0021266E">
            <w:pPr>
              <w:spacing w:after="0" w:line="276" w:lineRule="auto"/>
              <w:jc w:val="both"/>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 </w:t>
            </w:r>
          </w:p>
        </w:tc>
        <w:tc>
          <w:tcPr>
            <w:tcW w:w="1530" w:type="dxa"/>
            <w:tcBorders>
              <w:bottom w:val="single" w:sz="4" w:space="0" w:color="000000"/>
            </w:tcBorders>
            <w:shd w:val="clear" w:color="auto" w:fill="auto"/>
            <w:noWrap/>
            <w:vAlign w:val="center"/>
            <w:hideMark/>
          </w:tcPr>
          <w:p w14:paraId="11E8A7F9" w14:textId="77777777" w:rsidR="003450F7" w:rsidRPr="007F7656" w:rsidRDefault="003450F7"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n (%)</w:t>
            </w:r>
          </w:p>
        </w:tc>
        <w:tc>
          <w:tcPr>
            <w:tcW w:w="1620" w:type="dxa"/>
            <w:tcBorders>
              <w:bottom w:val="single" w:sz="4" w:space="0" w:color="000000"/>
            </w:tcBorders>
            <w:shd w:val="clear" w:color="auto" w:fill="auto"/>
            <w:noWrap/>
            <w:vAlign w:val="center"/>
            <w:hideMark/>
          </w:tcPr>
          <w:p w14:paraId="2580C902" w14:textId="77777777" w:rsidR="003450F7" w:rsidRPr="007F7656" w:rsidRDefault="003450F7"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n (%)</w:t>
            </w:r>
          </w:p>
        </w:tc>
        <w:tc>
          <w:tcPr>
            <w:tcW w:w="1530" w:type="dxa"/>
            <w:tcBorders>
              <w:bottom w:val="single" w:sz="4" w:space="0" w:color="000000"/>
            </w:tcBorders>
            <w:shd w:val="clear" w:color="auto" w:fill="auto"/>
            <w:noWrap/>
            <w:vAlign w:val="center"/>
            <w:hideMark/>
          </w:tcPr>
          <w:p w14:paraId="58AC2B7D" w14:textId="77777777" w:rsidR="003450F7" w:rsidRPr="007F7656" w:rsidRDefault="003450F7"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n (%)</w:t>
            </w:r>
          </w:p>
        </w:tc>
        <w:tc>
          <w:tcPr>
            <w:tcW w:w="1620" w:type="dxa"/>
            <w:tcBorders>
              <w:bottom w:val="single" w:sz="4" w:space="0" w:color="000000"/>
            </w:tcBorders>
            <w:shd w:val="clear" w:color="auto" w:fill="auto"/>
            <w:noWrap/>
            <w:vAlign w:val="center"/>
            <w:hideMark/>
          </w:tcPr>
          <w:p w14:paraId="600D4B7A" w14:textId="77777777" w:rsidR="003450F7" w:rsidRPr="007F7656" w:rsidRDefault="003450F7"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n (%)</w:t>
            </w:r>
          </w:p>
        </w:tc>
        <w:tc>
          <w:tcPr>
            <w:tcW w:w="1710" w:type="dxa"/>
            <w:tcBorders>
              <w:bottom w:val="single" w:sz="4" w:space="0" w:color="000000"/>
            </w:tcBorders>
            <w:shd w:val="clear" w:color="auto" w:fill="auto"/>
            <w:noWrap/>
            <w:vAlign w:val="center"/>
            <w:hideMark/>
          </w:tcPr>
          <w:p w14:paraId="791564D4" w14:textId="77777777" w:rsidR="003450F7" w:rsidRPr="007F7656" w:rsidRDefault="003450F7"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n (%)</w:t>
            </w:r>
          </w:p>
        </w:tc>
      </w:tr>
      <w:tr w:rsidR="007F7656" w:rsidRPr="007F7656" w14:paraId="01981355" w14:textId="77777777" w:rsidTr="00C47926">
        <w:trPr>
          <w:trHeight w:val="600"/>
        </w:trPr>
        <w:tc>
          <w:tcPr>
            <w:tcW w:w="1080" w:type="dxa"/>
            <w:tcBorders>
              <w:top w:val="single" w:sz="4" w:space="0" w:color="000000"/>
            </w:tcBorders>
            <w:shd w:val="clear" w:color="auto" w:fill="auto"/>
            <w:noWrap/>
            <w:vAlign w:val="center"/>
            <w:hideMark/>
          </w:tcPr>
          <w:p w14:paraId="166A5FC9" w14:textId="77777777" w:rsidR="003450F7" w:rsidRPr="007F7656" w:rsidRDefault="003450F7" w:rsidP="0021266E">
            <w:pPr>
              <w:spacing w:after="0" w:line="276" w:lineRule="auto"/>
              <w:jc w:val="both"/>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Depression</w:t>
            </w:r>
          </w:p>
        </w:tc>
        <w:tc>
          <w:tcPr>
            <w:tcW w:w="1530" w:type="dxa"/>
            <w:tcBorders>
              <w:top w:val="single" w:sz="4" w:space="0" w:color="000000"/>
            </w:tcBorders>
            <w:shd w:val="clear" w:color="auto" w:fill="auto"/>
            <w:noWrap/>
            <w:vAlign w:val="center"/>
            <w:hideMark/>
          </w:tcPr>
          <w:p w14:paraId="09E96336" w14:textId="77777777" w:rsidR="003450F7" w:rsidRPr="007F7656" w:rsidRDefault="003450F7"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95 (45.2)</w:t>
            </w:r>
          </w:p>
        </w:tc>
        <w:tc>
          <w:tcPr>
            <w:tcW w:w="1620" w:type="dxa"/>
            <w:tcBorders>
              <w:top w:val="single" w:sz="4" w:space="0" w:color="000000"/>
            </w:tcBorders>
            <w:shd w:val="clear" w:color="auto" w:fill="auto"/>
            <w:noWrap/>
            <w:vAlign w:val="center"/>
            <w:hideMark/>
          </w:tcPr>
          <w:p w14:paraId="598FC324" w14:textId="77777777" w:rsidR="003450F7" w:rsidRPr="007F7656" w:rsidRDefault="003450F7"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31 (14.8)</w:t>
            </w:r>
          </w:p>
        </w:tc>
        <w:tc>
          <w:tcPr>
            <w:tcW w:w="1530" w:type="dxa"/>
            <w:tcBorders>
              <w:top w:val="single" w:sz="4" w:space="0" w:color="000000"/>
            </w:tcBorders>
            <w:shd w:val="clear" w:color="auto" w:fill="auto"/>
            <w:noWrap/>
            <w:vAlign w:val="center"/>
            <w:hideMark/>
          </w:tcPr>
          <w:p w14:paraId="7B3E2294" w14:textId="77777777" w:rsidR="003450F7" w:rsidRPr="007F7656" w:rsidRDefault="003450F7"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44 (21)</w:t>
            </w:r>
          </w:p>
        </w:tc>
        <w:tc>
          <w:tcPr>
            <w:tcW w:w="1620" w:type="dxa"/>
            <w:tcBorders>
              <w:top w:val="single" w:sz="4" w:space="0" w:color="000000"/>
            </w:tcBorders>
            <w:shd w:val="clear" w:color="auto" w:fill="auto"/>
            <w:noWrap/>
            <w:vAlign w:val="center"/>
            <w:hideMark/>
          </w:tcPr>
          <w:p w14:paraId="19C17431" w14:textId="77777777" w:rsidR="003450F7" w:rsidRPr="007F7656" w:rsidRDefault="003450F7"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26 (12.4)</w:t>
            </w:r>
          </w:p>
        </w:tc>
        <w:tc>
          <w:tcPr>
            <w:tcW w:w="1710" w:type="dxa"/>
            <w:tcBorders>
              <w:top w:val="single" w:sz="4" w:space="0" w:color="000000"/>
            </w:tcBorders>
            <w:shd w:val="clear" w:color="auto" w:fill="auto"/>
            <w:noWrap/>
            <w:vAlign w:val="center"/>
            <w:hideMark/>
          </w:tcPr>
          <w:p w14:paraId="2D9328FC" w14:textId="77777777" w:rsidR="003450F7" w:rsidRPr="007F7656" w:rsidRDefault="003450F7"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14 (6.7)</w:t>
            </w:r>
          </w:p>
        </w:tc>
      </w:tr>
      <w:tr w:rsidR="007F7656" w:rsidRPr="007F7656" w14:paraId="47D3B884" w14:textId="77777777" w:rsidTr="00C47926">
        <w:trPr>
          <w:trHeight w:val="600"/>
        </w:trPr>
        <w:tc>
          <w:tcPr>
            <w:tcW w:w="1080" w:type="dxa"/>
            <w:tcBorders>
              <w:bottom w:val="single" w:sz="4" w:space="0" w:color="000000"/>
            </w:tcBorders>
            <w:shd w:val="clear" w:color="auto" w:fill="auto"/>
            <w:noWrap/>
            <w:vAlign w:val="center"/>
            <w:hideMark/>
          </w:tcPr>
          <w:p w14:paraId="422A57CE" w14:textId="77777777" w:rsidR="003450F7" w:rsidRPr="007F7656" w:rsidRDefault="003450F7" w:rsidP="0021266E">
            <w:pPr>
              <w:spacing w:after="0" w:line="276" w:lineRule="auto"/>
              <w:jc w:val="both"/>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Anxiety</w:t>
            </w:r>
          </w:p>
        </w:tc>
        <w:tc>
          <w:tcPr>
            <w:tcW w:w="1530" w:type="dxa"/>
            <w:tcBorders>
              <w:bottom w:val="single" w:sz="4" w:space="0" w:color="000000"/>
            </w:tcBorders>
            <w:shd w:val="clear" w:color="auto" w:fill="auto"/>
            <w:noWrap/>
            <w:vAlign w:val="center"/>
            <w:hideMark/>
          </w:tcPr>
          <w:p w14:paraId="6D774EF4" w14:textId="77777777" w:rsidR="003450F7" w:rsidRPr="007F7656" w:rsidRDefault="003450F7"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87 (14.4)</w:t>
            </w:r>
          </w:p>
        </w:tc>
        <w:tc>
          <w:tcPr>
            <w:tcW w:w="1620" w:type="dxa"/>
            <w:tcBorders>
              <w:bottom w:val="single" w:sz="4" w:space="0" w:color="000000"/>
            </w:tcBorders>
            <w:shd w:val="clear" w:color="auto" w:fill="auto"/>
            <w:noWrap/>
            <w:vAlign w:val="center"/>
            <w:hideMark/>
          </w:tcPr>
          <w:p w14:paraId="151CD922" w14:textId="77777777" w:rsidR="003450F7" w:rsidRPr="007F7656" w:rsidRDefault="003450F7"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15 (7.1)</w:t>
            </w:r>
          </w:p>
        </w:tc>
        <w:tc>
          <w:tcPr>
            <w:tcW w:w="1530" w:type="dxa"/>
            <w:tcBorders>
              <w:bottom w:val="single" w:sz="4" w:space="0" w:color="000000"/>
            </w:tcBorders>
            <w:shd w:val="clear" w:color="auto" w:fill="auto"/>
            <w:noWrap/>
            <w:vAlign w:val="center"/>
            <w:hideMark/>
          </w:tcPr>
          <w:p w14:paraId="0EC2B5D0" w14:textId="77777777" w:rsidR="003450F7" w:rsidRPr="007F7656" w:rsidRDefault="003450F7"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42 (20)</w:t>
            </w:r>
          </w:p>
        </w:tc>
        <w:tc>
          <w:tcPr>
            <w:tcW w:w="1620" w:type="dxa"/>
            <w:tcBorders>
              <w:bottom w:val="single" w:sz="4" w:space="0" w:color="000000"/>
            </w:tcBorders>
            <w:shd w:val="clear" w:color="auto" w:fill="auto"/>
            <w:noWrap/>
            <w:vAlign w:val="center"/>
            <w:hideMark/>
          </w:tcPr>
          <w:p w14:paraId="5EC5927A" w14:textId="77777777" w:rsidR="003450F7" w:rsidRPr="007F7656" w:rsidRDefault="003450F7"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26 (12.4)</w:t>
            </w:r>
          </w:p>
        </w:tc>
        <w:tc>
          <w:tcPr>
            <w:tcW w:w="1710" w:type="dxa"/>
            <w:tcBorders>
              <w:bottom w:val="single" w:sz="4" w:space="0" w:color="000000"/>
            </w:tcBorders>
            <w:shd w:val="clear" w:color="auto" w:fill="auto"/>
            <w:noWrap/>
            <w:vAlign w:val="center"/>
            <w:hideMark/>
          </w:tcPr>
          <w:p w14:paraId="5C9128B6" w14:textId="77777777" w:rsidR="003450F7" w:rsidRPr="007F7656" w:rsidRDefault="003450F7"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40 (19)</w:t>
            </w:r>
          </w:p>
        </w:tc>
      </w:tr>
    </w:tbl>
    <w:p w14:paraId="269A4F45" w14:textId="77777777" w:rsidR="005B67D3" w:rsidRPr="00105DBB" w:rsidRDefault="00DA7F84" w:rsidP="00500F9F">
      <w:pPr>
        <w:spacing w:before="240" w:line="276" w:lineRule="auto"/>
        <w:ind w:firstLine="360"/>
        <w:jc w:val="both"/>
        <w:rPr>
          <w:rFonts w:asciiTheme="majorBidi" w:hAnsiTheme="majorBidi" w:cstheme="majorBidi"/>
          <w:sz w:val="24"/>
          <w:szCs w:val="24"/>
        </w:rPr>
      </w:pPr>
      <w:r w:rsidRPr="004637F0">
        <w:rPr>
          <w:rFonts w:asciiTheme="majorBidi" w:hAnsiTheme="majorBidi" w:cstheme="majorBidi"/>
          <w:sz w:val="21"/>
          <w:szCs w:val="21"/>
        </w:rPr>
        <w:t xml:space="preserve"> </w:t>
      </w:r>
      <w:r w:rsidR="00AD6AB8" w:rsidRPr="00105DBB">
        <w:rPr>
          <w:rFonts w:asciiTheme="majorBidi" w:hAnsiTheme="majorBidi" w:cstheme="majorBidi"/>
          <w:sz w:val="24"/>
          <w:szCs w:val="24"/>
        </w:rPr>
        <w:t xml:space="preserve">This study found a significant association between resilience with depression and anxiety. </w:t>
      </w:r>
      <w:r w:rsidR="00AD6AB8" w:rsidRPr="00105DBB">
        <w:rPr>
          <w:rFonts w:asciiTheme="majorBidi" w:hAnsiTheme="majorBidi" w:cstheme="majorBidi"/>
          <w:b/>
          <w:bCs/>
          <w:sz w:val="24"/>
          <w:szCs w:val="24"/>
        </w:rPr>
        <w:t>Table 3</w:t>
      </w:r>
      <w:r w:rsidR="00AD6AB8" w:rsidRPr="00105DBB">
        <w:rPr>
          <w:rFonts w:asciiTheme="majorBidi" w:hAnsiTheme="majorBidi" w:cstheme="majorBidi"/>
          <w:sz w:val="24"/>
          <w:szCs w:val="24"/>
        </w:rPr>
        <w:t xml:space="preserve"> displays the Chi-square results of this assessment.</w:t>
      </w:r>
      <w:r w:rsidR="005B7DAD" w:rsidRPr="00105DBB">
        <w:rPr>
          <w:rFonts w:asciiTheme="majorBidi" w:hAnsiTheme="majorBidi" w:cstheme="majorBidi"/>
          <w:sz w:val="24"/>
          <w:szCs w:val="24"/>
        </w:rPr>
        <w:t xml:space="preserve"> </w:t>
      </w:r>
    </w:p>
    <w:p w14:paraId="6266ABD4" w14:textId="77777777" w:rsidR="005B67D3" w:rsidRPr="00105DBB" w:rsidRDefault="005B67D3" w:rsidP="0021266E">
      <w:pPr>
        <w:spacing w:after="0" w:line="276" w:lineRule="auto"/>
        <w:jc w:val="both"/>
        <w:rPr>
          <w:rFonts w:asciiTheme="majorBidi" w:hAnsiTheme="majorBidi" w:cstheme="majorBidi"/>
          <w:sz w:val="24"/>
          <w:szCs w:val="24"/>
        </w:rPr>
      </w:pPr>
      <w:r w:rsidRPr="00105DBB">
        <w:rPr>
          <w:rFonts w:asciiTheme="majorBidi" w:hAnsiTheme="majorBidi" w:cstheme="majorBidi"/>
          <w:b/>
          <w:bCs/>
          <w:sz w:val="24"/>
          <w:szCs w:val="24"/>
        </w:rPr>
        <w:t>Table 3.</w:t>
      </w:r>
      <w:r w:rsidRPr="00105DBB">
        <w:rPr>
          <w:rFonts w:asciiTheme="majorBidi" w:hAnsiTheme="majorBidi" w:cstheme="majorBidi"/>
          <w:sz w:val="24"/>
          <w:szCs w:val="24"/>
        </w:rPr>
        <w:t xml:space="preserve">  Association between resilience with depression and anxiety</w:t>
      </w:r>
    </w:p>
    <w:tbl>
      <w:tblPr>
        <w:tblW w:w="9000" w:type="dxa"/>
        <w:tblLook w:val="04A0" w:firstRow="1" w:lastRow="0" w:firstColumn="1" w:lastColumn="0" w:noHBand="0" w:noVBand="1"/>
      </w:tblPr>
      <w:tblGrid>
        <w:gridCol w:w="1036"/>
        <w:gridCol w:w="1394"/>
        <w:gridCol w:w="1080"/>
        <w:gridCol w:w="1080"/>
        <w:gridCol w:w="1170"/>
        <w:gridCol w:w="1170"/>
        <w:gridCol w:w="1170"/>
        <w:gridCol w:w="900"/>
      </w:tblGrid>
      <w:tr w:rsidR="007F7656" w:rsidRPr="007F7656" w14:paraId="524ECDF4" w14:textId="77777777" w:rsidTr="004A058A">
        <w:trPr>
          <w:trHeight w:val="485"/>
        </w:trPr>
        <w:tc>
          <w:tcPr>
            <w:tcW w:w="1036" w:type="dxa"/>
            <w:tcBorders>
              <w:top w:val="single" w:sz="4" w:space="0" w:color="000000"/>
              <w:bottom w:val="single" w:sz="4" w:space="0" w:color="000000"/>
            </w:tcBorders>
            <w:vAlign w:val="center"/>
          </w:tcPr>
          <w:p w14:paraId="64CF3563" w14:textId="2BB27ECB" w:rsidR="00E21924" w:rsidRPr="007F7656" w:rsidRDefault="00815DDB" w:rsidP="00815DDB">
            <w:pPr>
              <w:spacing w:after="0" w:line="276" w:lineRule="auto"/>
              <w:jc w:val="center"/>
              <w:rPr>
                <w:rFonts w:asciiTheme="majorBidi" w:eastAsia="Times New Roman" w:hAnsiTheme="majorBidi" w:cstheme="majorBidi"/>
                <w:b/>
                <w:bCs/>
                <w:sz w:val="18"/>
                <w:szCs w:val="18"/>
              </w:rPr>
            </w:pPr>
            <w:r w:rsidRPr="007F7656">
              <w:rPr>
                <w:rFonts w:asciiTheme="majorBidi" w:eastAsia="Times New Roman" w:hAnsiTheme="majorBidi" w:cstheme="majorBidi"/>
                <w:b/>
                <w:bCs/>
                <w:sz w:val="18"/>
                <w:szCs w:val="18"/>
              </w:rPr>
              <w:lastRenderedPageBreak/>
              <w:t>Parameter</w:t>
            </w:r>
          </w:p>
        </w:tc>
        <w:tc>
          <w:tcPr>
            <w:tcW w:w="1394" w:type="dxa"/>
            <w:tcBorders>
              <w:top w:val="single" w:sz="4" w:space="0" w:color="000000"/>
              <w:bottom w:val="single" w:sz="4" w:space="0" w:color="000000"/>
            </w:tcBorders>
            <w:shd w:val="clear" w:color="auto" w:fill="auto"/>
            <w:vAlign w:val="center"/>
            <w:hideMark/>
          </w:tcPr>
          <w:p w14:paraId="7C3FF718" w14:textId="77777777" w:rsidR="00E21924" w:rsidRPr="007F7656" w:rsidRDefault="00E21924" w:rsidP="00815DDB">
            <w:pPr>
              <w:spacing w:after="0" w:line="276" w:lineRule="auto"/>
              <w:jc w:val="center"/>
              <w:rPr>
                <w:rFonts w:asciiTheme="majorBidi" w:eastAsia="Times New Roman" w:hAnsiTheme="majorBidi" w:cstheme="majorBidi"/>
                <w:b/>
                <w:bCs/>
                <w:sz w:val="18"/>
                <w:szCs w:val="18"/>
              </w:rPr>
            </w:pPr>
            <w:r w:rsidRPr="007F7656">
              <w:rPr>
                <w:rFonts w:asciiTheme="majorBidi" w:eastAsia="Times New Roman" w:hAnsiTheme="majorBidi" w:cstheme="majorBidi"/>
                <w:b/>
                <w:bCs/>
                <w:sz w:val="18"/>
                <w:szCs w:val="18"/>
              </w:rPr>
              <w:t>Mental illnesses</w:t>
            </w:r>
          </w:p>
        </w:tc>
        <w:tc>
          <w:tcPr>
            <w:tcW w:w="1080" w:type="dxa"/>
            <w:tcBorders>
              <w:top w:val="single" w:sz="4" w:space="0" w:color="000000"/>
              <w:bottom w:val="single" w:sz="4" w:space="0" w:color="000000"/>
            </w:tcBorders>
            <w:shd w:val="clear" w:color="auto" w:fill="auto"/>
            <w:vAlign w:val="center"/>
            <w:hideMark/>
          </w:tcPr>
          <w:p w14:paraId="3CF755A5" w14:textId="77777777" w:rsidR="00E21924" w:rsidRPr="007F7656" w:rsidRDefault="00E21924" w:rsidP="00815DDB">
            <w:pPr>
              <w:spacing w:after="0" w:line="276" w:lineRule="auto"/>
              <w:jc w:val="center"/>
              <w:rPr>
                <w:rFonts w:asciiTheme="majorBidi" w:eastAsia="Times New Roman" w:hAnsiTheme="majorBidi" w:cstheme="majorBidi"/>
                <w:b/>
                <w:bCs/>
                <w:sz w:val="18"/>
                <w:szCs w:val="18"/>
              </w:rPr>
            </w:pPr>
            <w:r w:rsidRPr="007F7656">
              <w:rPr>
                <w:rFonts w:asciiTheme="majorBidi" w:eastAsia="Times New Roman" w:hAnsiTheme="majorBidi" w:cstheme="majorBidi"/>
                <w:b/>
                <w:bCs/>
                <w:sz w:val="18"/>
                <w:szCs w:val="18"/>
              </w:rPr>
              <w:t>Very Poor Resilience</w:t>
            </w:r>
          </w:p>
        </w:tc>
        <w:tc>
          <w:tcPr>
            <w:tcW w:w="1080" w:type="dxa"/>
            <w:tcBorders>
              <w:top w:val="single" w:sz="4" w:space="0" w:color="000000"/>
              <w:bottom w:val="single" w:sz="4" w:space="0" w:color="000000"/>
            </w:tcBorders>
            <w:shd w:val="clear" w:color="auto" w:fill="auto"/>
            <w:vAlign w:val="center"/>
            <w:hideMark/>
          </w:tcPr>
          <w:p w14:paraId="779D7394" w14:textId="77777777" w:rsidR="00E21924" w:rsidRPr="007F7656" w:rsidRDefault="00E21924" w:rsidP="00815DDB">
            <w:pPr>
              <w:spacing w:after="0" w:line="276" w:lineRule="auto"/>
              <w:jc w:val="center"/>
              <w:rPr>
                <w:rFonts w:asciiTheme="majorBidi" w:eastAsia="Times New Roman" w:hAnsiTheme="majorBidi" w:cstheme="majorBidi"/>
                <w:b/>
                <w:bCs/>
                <w:sz w:val="18"/>
                <w:szCs w:val="18"/>
              </w:rPr>
            </w:pPr>
            <w:r w:rsidRPr="007F7656">
              <w:rPr>
                <w:rFonts w:asciiTheme="majorBidi" w:eastAsia="Times New Roman" w:hAnsiTheme="majorBidi" w:cstheme="majorBidi"/>
                <w:b/>
                <w:bCs/>
                <w:sz w:val="18"/>
                <w:szCs w:val="18"/>
              </w:rPr>
              <w:t>Poor Resilience</w:t>
            </w:r>
          </w:p>
        </w:tc>
        <w:tc>
          <w:tcPr>
            <w:tcW w:w="1170" w:type="dxa"/>
            <w:tcBorders>
              <w:top w:val="single" w:sz="4" w:space="0" w:color="000000"/>
              <w:bottom w:val="single" w:sz="4" w:space="0" w:color="000000"/>
            </w:tcBorders>
            <w:shd w:val="clear" w:color="auto" w:fill="auto"/>
            <w:vAlign w:val="center"/>
            <w:hideMark/>
          </w:tcPr>
          <w:p w14:paraId="6E67F065" w14:textId="77777777" w:rsidR="00E21924" w:rsidRPr="007F7656" w:rsidRDefault="00E21924" w:rsidP="00815DDB">
            <w:pPr>
              <w:spacing w:after="0" w:line="276" w:lineRule="auto"/>
              <w:jc w:val="center"/>
              <w:rPr>
                <w:rFonts w:asciiTheme="majorBidi" w:eastAsia="Times New Roman" w:hAnsiTheme="majorBidi" w:cstheme="majorBidi"/>
                <w:b/>
                <w:bCs/>
                <w:sz w:val="18"/>
                <w:szCs w:val="18"/>
              </w:rPr>
            </w:pPr>
            <w:r w:rsidRPr="007F7656">
              <w:rPr>
                <w:rFonts w:asciiTheme="majorBidi" w:eastAsia="Times New Roman" w:hAnsiTheme="majorBidi" w:cstheme="majorBidi"/>
                <w:b/>
                <w:bCs/>
                <w:sz w:val="18"/>
                <w:szCs w:val="18"/>
              </w:rPr>
              <w:t>High Resilience</w:t>
            </w:r>
          </w:p>
        </w:tc>
        <w:tc>
          <w:tcPr>
            <w:tcW w:w="1170" w:type="dxa"/>
            <w:tcBorders>
              <w:top w:val="single" w:sz="4" w:space="0" w:color="000000"/>
              <w:bottom w:val="single" w:sz="4" w:space="0" w:color="000000"/>
            </w:tcBorders>
            <w:shd w:val="clear" w:color="auto" w:fill="auto"/>
            <w:vAlign w:val="center"/>
            <w:hideMark/>
          </w:tcPr>
          <w:p w14:paraId="247E47CE" w14:textId="77777777" w:rsidR="00E21924" w:rsidRPr="007F7656" w:rsidRDefault="00E21924" w:rsidP="00815DDB">
            <w:pPr>
              <w:spacing w:after="0" w:line="276" w:lineRule="auto"/>
              <w:jc w:val="center"/>
              <w:rPr>
                <w:rFonts w:asciiTheme="majorBidi" w:eastAsia="Times New Roman" w:hAnsiTheme="majorBidi" w:cstheme="majorBidi"/>
                <w:b/>
                <w:bCs/>
                <w:sz w:val="18"/>
                <w:szCs w:val="18"/>
              </w:rPr>
            </w:pPr>
            <w:r w:rsidRPr="007F7656">
              <w:rPr>
                <w:rFonts w:asciiTheme="majorBidi" w:eastAsia="Times New Roman" w:hAnsiTheme="majorBidi" w:cstheme="majorBidi"/>
                <w:b/>
                <w:bCs/>
                <w:sz w:val="18"/>
                <w:szCs w:val="18"/>
              </w:rPr>
              <w:t>Very High Resilience</w:t>
            </w:r>
          </w:p>
        </w:tc>
        <w:tc>
          <w:tcPr>
            <w:tcW w:w="1170" w:type="dxa"/>
            <w:tcBorders>
              <w:top w:val="single" w:sz="4" w:space="0" w:color="000000"/>
              <w:bottom w:val="single" w:sz="4" w:space="0" w:color="000000"/>
            </w:tcBorders>
            <w:shd w:val="clear" w:color="auto" w:fill="auto"/>
            <w:vAlign w:val="center"/>
            <w:hideMark/>
          </w:tcPr>
          <w:p w14:paraId="1B958015" w14:textId="77777777" w:rsidR="00E21924" w:rsidRPr="007F7656" w:rsidRDefault="00E21924" w:rsidP="00815DDB">
            <w:pPr>
              <w:spacing w:after="0" w:line="276" w:lineRule="auto"/>
              <w:jc w:val="center"/>
              <w:rPr>
                <w:rFonts w:asciiTheme="majorBidi" w:eastAsia="Times New Roman" w:hAnsiTheme="majorBidi" w:cstheme="majorBidi"/>
                <w:b/>
                <w:bCs/>
                <w:sz w:val="18"/>
                <w:szCs w:val="18"/>
              </w:rPr>
            </w:pPr>
            <w:r w:rsidRPr="007F7656">
              <w:rPr>
                <w:rFonts w:asciiTheme="majorBidi" w:eastAsia="Times New Roman" w:hAnsiTheme="majorBidi" w:cstheme="majorBidi"/>
                <w:b/>
                <w:bCs/>
                <w:sz w:val="18"/>
                <w:szCs w:val="18"/>
              </w:rPr>
              <w:t>Total</w:t>
            </w:r>
          </w:p>
        </w:tc>
        <w:tc>
          <w:tcPr>
            <w:tcW w:w="900" w:type="dxa"/>
            <w:tcBorders>
              <w:top w:val="single" w:sz="4" w:space="0" w:color="000000"/>
              <w:bottom w:val="single" w:sz="4" w:space="0" w:color="000000"/>
            </w:tcBorders>
            <w:shd w:val="clear" w:color="auto" w:fill="auto"/>
            <w:noWrap/>
            <w:vAlign w:val="center"/>
            <w:hideMark/>
          </w:tcPr>
          <w:p w14:paraId="515F5BBA" w14:textId="0611FB65" w:rsidR="00E21924" w:rsidRPr="007F7656" w:rsidRDefault="00E21924" w:rsidP="00815DDB">
            <w:pPr>
              <w:spacing w:after="0" w:line="276" w:lineRule="auto"/>
              <w:jc w:val="center"/>
              <w:rPr>
                <w:rFonts w:asciiTheme="majorBidi" w:eastAsia="Times New Roman" w:hAnsiTheme="majorBidi" w:cstheme="majorBidi"/>
                <w:b/>
                <w:bCs/>
                <w:sz w:val="18"/>
                <w:szCs w:val="18"/>
              </w:rPr>
            </w:pPr>
            <w:r w:rsidRPr="007F7656">
              <w:rPr>
                <w:rFonts w:asciiTheme="majorBidi" w:eastAsia="Times New Roman" w:hAnsiTheme="majorBidi" w:cstheme="majorBidi"/>
                <w:b/>
                <w:bCs/>
                <w:i/>
                <w:iCs/>
                <w:sz w:val="18"/>
                <w:szCs w:val="18"/>
              </w:rPr>
              <w:t>P</w:t>
            </w:r>
            <w:r w:rsidRPr="007F7656">
              <w:rPr>
                <w:rFonts w:asciiTheme="majorBidi" w:eastAsia="Times New Roman" w:hAnsiTheme="majorBidi" w:cstheme="majorBidi"/>
                <w:b/>
                <w:bCs/>
                <w:sz w:val="18"/>
                <w:szCs w:val="18"/>
              </w:rPr>
              <w:t xml:space="preserve"> Value</w:t>
            </w:r>
          </w:p>
        </w:tc>
      </w:tr>
      <w:tr w:rsidR="007F7656" w:rsidRPr="007F7656" w14:paraId="4F60A320" w14:textId="77777777" w:rsidTr="004A058A">
        <w:trPr>
          <w:trHeight w:val="485"/>
        </w:trPr>
        <w:tc>
          <w:tcPr>
            <w:tcW w:w="1036" w:type="dxa"/>
            <w:vMerge w:val="restart"/>
            <w:tcBorders>
              <w:top w:val="single" w:sz="4" w:space="0" w:color="000000"/>
              <w:bottom w:val="single" w:sz="4" w:space="0" w:color="000000"/>
            </w:tcBorders>
            <w:vAlign w:val="center"/>
          </w:tcPr>
          <w:p w14:paraId="343FEC3F" w14:textId="77777777" w:rsidR="00E21924" w:rsidRPr="007F7656" w:rsidRDefault="00E21924" w:rsidP="0021266E">
            <w:pPr>
              <w:spacing w:after="0" w:line="276" w:lineRule="auto"/>
              <w:jc w:val="both"/>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Depression</w:t>
            </w:r>
          </w:p>
        </w:tc>
        <w:tc>
          <w:tcPr>
            <w:tcW w:w="1394" w:type="dxa"/>
            <w:tcBorders>
              <w:top w:val="single" w:sz="4" w:space="0" w:color="000000"/>
            </w:tcBorders>
            <w:shd w:val="clear" w:color="auto" w:fill="auto"/>
            <w:vAlign w:val="center"/>
            <w:hideMark/>
          </w:tcPr>
          <w:p w14:paraId="1357083A" w14:textId="77777777" w:rsidR="00E21924" w:rsidRPr="007F7656" w:rsidRDefault="00E21924" w:rsidP="0021266E">
            <w:pPr>
              <w:spacing w:after="0" w:line="276" w:lineRule="auto"/>
              <w:jc w:val="both"/>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Normal</w:t>
            </w:r>
          </w:p>
        </w:tc>
        <w:tc>
          <w:tcPr>
            <w:tcW w:w="1080" w:type="dxa"/>
            <w:tcBorders>
              <w:top w:val="single" w:sz="4" w:space="0" w:color="000000"/>
            </w:tcBorders>
            <w:shd w:val="clear" w:color="auto" w:fill="auto"/>
            <w:noWrap/>
            <w:vAlign w:val="center"/>
            <w:hideMark/>
          </w:tcPr>
          <w:p w14:paraId="0CE35CA9" w14:textId="77777777" w:rsidR="00E21924" w:rsidRPr="007F7656" w:rsidRDefault="00E21924" w:rsidP="0021266E">
            <w:pPr>
              <w:spacing w:after="0" w:line="276" w:lineRule="auto"/>
              <w:jc w:val="both"/>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20 (15.9%)</w:t>
            </w:r>
          </w:p>
        </w:tc>
        <w:tc>
          <w:tcPr>
            <w:tcW w:w="1080" w:type="dxa"/>
            <w:tcBorders>
              <w:top w:val="single" w:sz="4" w:space="0" w:color="000000"/>
            </w:tcBorders>
            <w:shd w:val="clear" w:color="auto" w:fill="auto"/>
            <w:noWrap/>
            <w:vAlign w:val="center"/>
            <w:hideMark/>
          </w:tcPr>
          <w:p w14:paraId="09666CBB" w14:textId="77777777" w:rsidR="00E21924" w:rsidRPr="007F7656" w:rsidRDefault="00E21924" w:rsidP="0021266E">
            <w:pPr>
              <w:spacing w:after="0" w:line="276" w:lineRule="auto"/>
              <w:jc w:val="both"/>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25 (19.8%)</w:t>
            </w:r>
          </w:p>
        </w:tc>
        <w:tc>
          <w:tcPr>
            <w:tcW w:w="1170" w:type="dxa"/>
            <w:tcBorders>
              <w:top w:val="single" w:sz="4" w:space="0" w:color="000000"/>
            </w:tcBorders>
            <w:shd w:val="clear" w:color="auto" w:fill="auto"/>
            <w:noWrap/>
            <w:vAlign w:val="center"/>
            <w:hideMark/>
          </w:tcPr>
          <w:p w14:paraId="3965F14A" w14:textId="77777777" w:rsidR="00E21924" w:rsidRPr="007F7656" w:rsidRDefault="00E21924" w:rsidP="0021266E">
            <w:pPr>
              <w:spacing w:after="0" w:line="276" w:lineRule="auto"/>
              <w:jc w:val="both"/>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43 (34.1%)</w:t>
            </w:r>
          </w:p>
        </w:tc>
        <w:tc>
          <w:tcPr>
            <w:tcW w:w="1170" w:type="dxa"/>
            <w:tcBorders>
              <w:top w:val="single" w:sz="4" w:space="0" w:color="000000"/>
            </w:tcBorders>
            <w:shd w:val="clear" w:color="auto" w:fill="auto"/>
            <w:noWrap/>
            <w:vAlign w:val="center"/>
            <w:hideMark/>
          </w:tcPr>
          <w:p w14:paraId="16E675EF" w14:textId="77777777" w:rsidR="00E21924" w:rsidRPr="007F7656" w:rsidRDefault="00E21924" w:rsidP="0021266E">
            <w:pPr>
              <w:spacing w:after="0" w:line="276" w:lineRule="auto"/>
              <w:jc w:val="both"/>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38 (30.2%)</w:t>
            </w:r>
          </w:p>
        </w:tc>
        <w:tc>
          <w:tcPr>
            <w:tcW w:w="1170" w:type="dxa"/>
            <w:tcBorders>
              <w:top w:val="single" w:sz="4" w:space="0" w:color="000000"/>
            </w:tcBorders>
            <w:shd w:val="clear" w:color="auto" w:fill="auto"/>
            <w:noWrap/>
            <w:vAlign w:val="center"/>
            <w:hideMark/>
          </w:tcPr>
          <w:p w14:paraId="22470155" w14:textId="77777777" w:rsidR="00E21924" w:rsidRPr="007F7656" w:rsidRDefault="00E21924" w:rsidP="0021266E">
            <w:pPr>
              <w:spacing w:after="0" w:line="276" w:lineRule="auto"/>
              <w:jc w:val="both"/>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126 (100%)</w:t>
            </w:r>
          </w:p>
        </w:tc>
        <w:tc>
          <w:tcPr>
            <w:tcW w:w="900" w:type="dxa"/>
            <w:vMerge w:val="restart"/>
            <w:tcBorders>
              <w:top w:val="single" w:sz="4" w:space="0" w:color="000000"/>
              <w:bottom w:val="single" w:sz="4" w:space="0" w:color="000000"/>
            </w:tcBorders>
            <w:shd w:val="clear" w:color="auto" w:fill="auto"/>
            <w:noWrap/>
            <w:vAlign w:val="center"/>
            <w:hideMark/>
          </w:tcPr>
          <w:p w14:paraId="190AD380" w14:textId="77777777" w:rsidR="00E21924" w:rsidRPr="007F7656" w:rsidRDefault="00E21924" w:rsidP="0021266E">
            <w:pPr>
              <w:spacing w:after="0" w:line="276" w:lineRule="auto"/>
              <w:jc w:val="both"/>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&lt;0.001</w:t>
            </w:r>
          </w:p>
        </w:tc>
      </w:tr>
      <w:tr w:rsidR="007F7656" w:rsidRPr="007F7656" w14:paraId="6C7968AA" w14:textId="77777777" w:rsidTr="004A058A">
        <w:trPr>
          <w:trHeight w:val="485"/>
        </w:trPr>
        <w:tc>
          <w:tcPr>
            <w:tcW w:w="1036" w:type="dxa"/>
            <w:vMerge/>
            <w:tcBorders>
              <w:bottom w:val="single" w:sz="4" w:space="0" w:color="000000"/>
            </w:tcBorders>
          </w:tcPr>
          <w:p w14:paraId="495EE35B" w14:textId="77777777" w:rsidR="00E21924" w:rsidRPr="007F7656" w:rsidRDefault="00E21924" w:rsidP="0021266E">
            <w:pPr>
              <w:spacing w:after="0" w:line="276" w:lineRule="auto"/>
              <w:jc w:val="both"/>
              <w:rPr>
                <w:rFonts w:asciiTheme="majorBidi" w:eastAsia="Times New Roman" w:hAnsiTheme="majorBidi" w:cstheme="majorBidi"/>
                <w:sz w:val="18"/>
                <w:szCs w:val="18"/>
              </w:rPr>
            </w:pPr>
          </w:p>
        </w:tc>
        <w:tc>
          <w:tcPr>
            <w:tcW w:w="1394" w:type="dxa"/>
            <w:shd w:val="clear" w:color="auto" w:fill="auto"/>
            <w:vAlign w:val="center"/>
            <w:hideMark/>
          </w:tcPr>
          <w:p w14:paraId="58450701" w14:textId="77777777" w:rsidR="00E21924" w:rsidRPr="007F7656" w:rsidRDefault="00E21924" w:rsidP="0021266E">
            <w:pPr>
              <w:spacing w:after="0" w:line="276" w:lineRule="auto"/>
              <w:jc w:val="both"/>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Depressed</w:t>
            </w:r>
          </w:p>
        </w:tc>
        <w:tc>
          <w:tcPr>
            <w:tcW w:w="1080" w:type="dxa"/>
            <w:shd w:val="clear" w:color="auto" w:fill="auto"/>
            <w:noWrap/>
            <w:vAlign w:val="center"/>
            <w:hideMark/>
          </w:tcPr>
          <w:p w14:paraId="6B2A8F3F" w14:textId="77777777" w:rsidR="00E21924" w:rsidRPr="007F7656" w:rsidRDefault="00E21924" w:rsidP="0021266E">
            <w:pPr>
              <w:spacing w:after="0" w:line="276" w:lineRule="auto"/>
              <w:jc w:val="both"/>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34 (40.5%)</w:t>
            </w:r>
          </w:p>
        </w:tc>
        <w:tc>
          <w:tcPr>
            <w:tcW w:w="1080" w:type="dxa"/>
            <w:shd w:val="clear" w:color="auto" w:fill="auto"/>
            <w:noWrap/>
            <w:vAlign w:val="center"/>
            <w:hideMark/>
          </w:tcPr>
          <w:p w14:paraId="5AC65494" w14:textId="77777777" w:rsidR="00E21924" w:rsidRPr="007F7656" w:rsidRDefault="00E21924" w:rsidP="0021266E">
            <w:pPr>
              <w:spacing w:after="0" w:line="276" w:lineRule="auto"/>
              <w:jc w:val="both"/>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28 (33.3%)</w:t>
            </w:r>
          </w:p>
        </w:tc>
        <w:tc>
          <w:tcPr>
            <w:tcW w:w="1170" w:type="dxa"/>
            <w:shd w:val="clear" w:color="auto" w:fill="auto"/>
            <w:noWrap/>
            <w:vAlign w:val="center"/>
            <w:hideMark/>
          </w:tcPr>
          <w:p w14:paraId="05A792CD" w14:textId="77777777" w:rsidR="00E21924" w:rsidRPr="007F7656" w:rsidRDefault="00E21924" w:rsidP="0021266E">
            <w:pPr>
              <w:spacing w:after="0" w:line="276" w:lineRule="auto"/>
              <w:jc w:val="both"/>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13 (15.5%)</w:t>
            </w:r>
          </w:p>
        </w:tc>
        <w:tc>
          <w:tcPr>
            <w:tcW w:w="1170" w:type="dxa"/>
            <w:shd w:val="clear" w:color="auto" w:fill="auto"/>
            <w:noWrap/>
            <w:vAlign w:val="center"/>
            <w:hideMark/>
          </w:tcPr>
          <w:p w14:paraId="08B77E92" w14:textId="77777777" w:rsidR="00E21924" w:rsidRPr="007F7656" w:rsidRDefault="00E21924" w:rsidP="0021266E">
            <w:pPr>
              <w:spacing w:after="0" w:line="276" w:lineRule="auto"/>
              <w:jc w:val="both"/>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9 (10.7%)</w:t>
            </w:r>
          </w:p>
        </w:tc>
        <w:tc>
          <w:tcPr>
            <w:tcW w:w="1170" w:type="dxa"/>
            <w:shd w:val="clear" w:color="auto" w:fill="auto"/>
            <w:noWrap/>
            <w:vAlign w:val="center"/>
            <w:hideMark/>
          </w:tcPr>
          <w:p w14:paraId="027F4E15" w14:textId="6E6743C4" w:rsidR="00E21924" w:rsidRPr="007F7656" w:rsidRDefault="00E21924" w:rsidP="0021266E">
            <w:pPr>
              <w:spacing w:after="0" w:line="276" w:lineRule="auto"/>
              <w:jc w:val="both"/>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84 (100%)</w:t>
            </w:r>
            <w:r w:rsidR="004A058A">
              <w:rPr>
                <w:rFonts w:asciiTheme="majorBidi" w:eastAsia="Times New Roman" w:hAnsiTheme="majorBidi" w:cstheme="majorBidi"/>
                <w:sz w:val="18"/>
                <w:szCs w:val="18"/>
              </w:rPr>
              <w:t>*</w:t>
            </w:r>
          </w:p>
        </w:tc>
        <w:tc>
          <w:tcPr>
            <w:tcW w:w="900" w:type="dxa"/>
            <w:vMerge/>
            <w:tcBorders>
              <w:bottom w:val="single" w:sz="4" w:space="0" w:color="000000"/>
            </w:tcBorders>
            <w:shd w:val="clear" w:color="auto" w:fill="auto"/>
            <w:vAlign w:val="center"/>
            <w:hideMark/>
          </w:tcPr>
          <w:p w14:paraId="68E32117" w14:textId="77777777" w:rsidR="00E21924" w:rsidRPr="007F7656" w:rsidRDefault="00E21924" w:rsidP="0021266E">
            <w:pPr>
              <w:spacing w:after="0" w:line="276" w:lineRule="auto"/>
              <w:jc w:val="both"/>
              <w:rPr>
                <w:rFonts w:asciiTheme="majorBidi" w:eastAsia="Times New Roman" w:hAnsiTheme="majorBidi" w:cstheme="majorBidi"/>
                <w:sz w:val="18"/>
                <w:szCs w:val="18"/>
              </w:rPr>
            </w:pPr>
          </w:p>
        </w:tc>
      </w:tr>
      <w:tr w:rsidR="007F7656" w:rsidRPr="007F7656" w14:paraId="2C857A9F" w14:textId="77777777" w:rsidTr="004A058A">
        <w:trPr>
          <w:trHeight w:val="485"/>
        </w:trPr>
        <w:tc>
          <w:tcPr>
            <w:tcW w:w="1036" w:type="dxa"/>
            <w:vMerge/>
            <w:tcBorders>
              <w:bottom w:val="single" w:sz="4" w:space="0" w:color="000000"/>
            </w:tcBorders>
          </w:tcPr>
          <w:p w14:paraId="08B13587" w14:textId="77777777" w:rsidR="00E21924" w:rsidRPr="007F7656" w:rsidRDefault="00E21924" w:rsidP="0021266E">
            <w:pPr>
              <w:spacing w:after="0" w:line="276" w:lineRule="auto"/>
              <w:jc w:val="both"/>
              <w:rPr>
                <w:rFonts w:asciiTheme="majorBidi" w:eastAsia="Times New Roman" w:hAnsiTheme="majorBidi" w:cstheme="majorBidi"/>
                <w:sz w:val="18"/>
                <w:szCs w:val="18"/>
              </w:rPr>
            </w:pPr>
          </w:p>
        </w:tc>
        <w:tc>
          <w:tcPr>
            <w:tcW w:w="1394" w:type="dxa"/>
            <w:tcBorders>
              <w:bottom w:val="single" w:sz="4" w:space="0" w:color="000000"/>
            </w:tcBorders>
            <w:shd w:val="clear" w:color="auto" w:fill="auto"/>
            <w:vAlign w:val="center"/>
            <w:hideMark/>
          </w:tcPr>
          <w:p w14:paraId="115F2196" w14:textId="77777777" w:rsidR="00E21924" w:rsidRPr="007F7656" w:rsidRDefault="00E21924" w:rsidP="0021266E">
            <w:pPr>
              <w:spacing w:after="0" w:line="276" w:lineRule="auto"/>
              <w:jc w:val="both"/>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 xml:space="preserve">Total </w:t>
            </w:r>
          </w:p>
        </w:tc>
        <w:tc>
          <w:tcPr>
            <w:tcW w:w="1080" w:type="dxa"/>
            <w:tcBorders>
              <w:bottom w:val="single" w:sz="4" w:space="0" w:color="000000"/>
            </w:tcBorders>
            <w:shd w:val="clear" w:color="auto" w:fill="auto"/>
            <w:noWrap/>
            <w:vAlign w:val="center"/>
            <w:hideMark/>
          </w:tcPr>
          <w:p w14:paraId="09982B0C" w14:textId="77777777" w:rsidR="00E21924" w:rsidRPr="007F7656" w:rsidRDefault="00E21924" w:rsidP="0021266E">
            <w:pPr>
              <w:spacing w:after="0" w:line="276" w:lineRule="auto"/>
              <w:jc w:val="both"/>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54 (25.7%)</w:t>
            </w:r>
          </w:p>
        </w:tc>
        <w:tc>
          <w:tcPr>
            <w:tcW w:w="1080" w:type="dxa"/>
            <w:tcBorders>
              <w:bottom w:val="single" w:sz="4" w:space="0" w:color="000000"/>
            </w:tcBorders>
            <w:shd w:val="clear" w:color="auto" w:fill="auto"/>
            <w:noWrap/>
            <w:vAlign w:val="center"/>
            <w:hideMark/>
          </w:tcPr>
          <w:p w14:paraId="2DB81DA3" w14:textId="77777777" w:rsidR="00E21924" w:rsidRPr="007F7656" w:rsidRDefault="00E21924" w:rsidP="0021266E">
            <w:pPr>
              <w:spacing w:after="0" w:line="276" w:lineRule="auto"/>
              <w:jc w:val="both"/>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53 (25.2%)</w:t>
            </w:r>
          </w:p>
        </w:tc>
        <w:tc>
          <w:tcPr>
            <w:tcW w:w="1170" w:type="dxa"/>
            <w:tcBorders>
              <w:bottom w:val="single" w:sz="4" w:space="0" w:color="000000"/>
            </w:tcBorders>
            <w:shd w:val="clear" w:color="auto" w:fill="auto"/>
            <w:noWrap/>
            <w:vAlign w:val="center"/>
            <w:hideMark/>
          </w:tcPr>
          <w:p w14:paraId="0B55CB7D" w14:textId="77777777" w:rsidR="00E21924" w:rsidRPr="007F7656" w:rsidRDefault="00E21924" w:rsidP="0021266E">
            <w:pPr>
              <w:spacing w:after="0" w:line="276" w:lineRule="auto"/>
              <w:jc w:val="both"/>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56 (26.7%)</w:t>
            </w:r>
          </w:p>
        </w:tc>
        <w:tc>
          <w:tcPr>
            <w:tcW w:w="1170" w:type="dxa"/>
            <w:tcBorders>
              <w:bottom w:val="single" w:sz="4" w:space="0" w:color="000000"/>
            </w:tcBorders>
            <w:shd w:val="clear" w:color="auto" w:fill="auto"/>
            <w:noWrap/>
            <w:vAlign w:val="center"/>
            <w:hideMark/>
          </w:tcPr>
          <w:p w14:paraId="756C22A5" w14:textId="77777777" w:rsidR="00E21924" w:rsidRPr="007F7656" w:rsidRDefault="00E21924" w:rsidP="0021266E">
            <w:pPr>
              <w:spacing w:after="0" w:line="276" w:lineRule="auto"/>
              <w:jc w:val="both"/>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47 (22.4%)</w:t>
            </w:r>
          </w:p>
        </w:tc>
        <w:tc>
          <w:tcPr>
            <w:tcW w:w="1170" w:type="dxa"/>
            <w:tcBorders>
              <w:bottom w:val="single" w:sz="4" w:space="0" w:color="000000"/>
            </w:tcBorders>
            <w:shd w:val="clear" w:color="auto" w:fill="auto"/>
            <w:noWrap/>
            <w:vAlign w:val="center"/>
            <w:hideMark/>
          </w:tcPr>
          <w:p w14:paraId="507A0289" w14:textId="77777777" w:rsidR="00E21924" w:rsidRPr="007F7656" w:rsidRDefault="00E21924" w:rsidP="0021266E">
            <w:pPr>
              <w:spacing w:after="0" w:line="276" w:lineRule="auto"/>
              <w:jc w:val="both"/>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210 (100%)</w:t>
            </w:r>
          </w:p>
        </w:tc>
        <w:tc>
          <w:tcPr>
            <w:tcW w:w="900" w:type="dxa"/>
            <w:vMerge/>
            <w:tcBorders>
              <w:bottom w:val="single" w:sz="4" w:space="0" w:color="000000"/>
            </w:tcBorders>
            <w:shd w:val="clear" w:color="auto" w:fill="auto"/>
            <w:vAlign w:val="center"/>
            <w:hideMark/>
          </w:tcPr>
          <w:p w14:paraId="73C01F81" w14:textId="77777777" w:rsidR="00E21924" w:rsidRPr="007F7656" w:rsidRDefault="00E21924" w:rsidP="0021266E">
            <w:pPr>
              <w:spacing w:after="0" w:line="276" w:lineRule="auto"/>
              <w:jc w:val="both"/>
              <w:rPr>
                <w:rFonts w:asciiTheme="majorBidi" w:eastAsia="Times New Roman" w:hAnsiTheme="majorBidi" w:cstheme="majorBidi"/>
                <w:sz w:val="18"/>
                <w:szCs w:val="18"/>
              </w:rPr>
            </w:pPr>
          </w:p>
        </w:tc>
      </w:tr>
      <w:tr w:rsidR="007F7656" w:rsidRPr="007F7656" w14:paraId="7D5602E3" w14:textId="77777777" w:rsidTr="004A058A">
        <w:trPr>
          <w:trHeight w:val="485"/>
        </w:trPr>
        <w:tc>
          <w:tcPr>
            <w:tcW w:w="1036" w:type="dxa"/>
            <w:vMerge w:val="restart"/>
            <w:tcBorders>
              <w:top w:val="single" w:sz="4" w:space="0" w:color="000000"/>
            </w:tcBorders>
            <w:vAlign w:val="center"/>
          </w:tcPr>
          <w:p w14:paraId="17BDE8D3" w14:textId="77777777" w:rsidR="00E21924" w:rsidRPr="007F7656" w:rsidRDefault="00E21924" w:rsidP="0021266E">
            <w:pPr>
              <w:spacing w:after="0" w:line="276" w:lineRule="auto"/>
              <w:jc w:val="both"/>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Anxiety</w:t>
            </w:r>
          </w:p>
        </w:tc>
        <w:tc>
          <w:tcPr>
            <w:tcW w:w="1394" w:type="dxa"/>
            <w:tcBorders>
              <w:top w:val="single" w:sz="4" w:space="0" w:color="000000"/>
            </w:tcBorders>
            <w:shd w:val="clear" w:color="auto" w:fill="auto"/>
            <w:vAlign w:val="center"/>
            <w:hideMark/>
          </w:tcPr>
          <w:p w14:paraId="6B99AFEE" w14:textId="77777777" w:rsidR="00E21924" w:rsidRPr="007F7656" w:rsidRDefault="00E21924" w:rsidP="0021266E">
            <w:pPr>
              <w:spacing w:after="0" w:line="276" w:lineRule="auto"/>
              <w:jc w:val="both"/>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Normal</w:t>
            </w:r>
          </w:p>
        </w:tc>
        <w:tc>
          <w:tcPr>
            <w:tcW w:w="1080" w:type="dxa"/>
            <w:tcBorders>
              <w:top w:val="single" w:sz="4" w:space="0" w:color="000000"/>
            </w:tcBorders>
            <w:shd w:val="clear" w:color="auto" w:fill="auto"/>
            <w:noWrap/>
            <w:vAlign w:val="center"/>
            <w:hideMark/>
          </w:tcPr>
          <w:p w14:paraId="01FF3008" w14:textId="77777777" w:rsidR="00E21924" w:rsidRPr="007F7656" w:rsidRDefault="00E21924" w:rsidP="0021266E">
            <w:pPr>
              <w:spacing w:after="0" w:line="276" w:lineRule="auto"/>
              <w:jc w:val="both"/>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15 (14.7%)</w:t>
            </w:r>
          </w:p>
        </w:tc>
        <w:tc>
          <w:tcPr>
            <w:tcW w:w="1080" w:type="dxa"/>
            <w:tcBorders>
              <w:top w:val="single" w:sz="4" w:space="0" w:color="000000"/>
            </w:tcBorders>
            <w:shd w:val="clear" w:color="auto" w:fill="auto"/>
            <w:noWrap/>
            <w:vAlign w:val="center"/>
            <w:hideMark/>
          </w:tcPr>
          <w:p w14:paraId="35E24C0B" w14:textId="77777777" w:rsidR="00E21924" w:rsidRPr="007F7656" w:rsidRDefault="00E21924" w:rsidP="0021266E">
            <w:pPr>
              <w:spacing w:after="0" w:line="276" w:lineRule="auto"/>
              <w:jc w:val="both"/>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26 (25.5%)</w:t>
            </w:r>
          </w:p>
        </w:tc>
        <w:tc>
          <w:tcPr>
            <w:tcW w:w="1170" w:type="dxa"/>
            <w:tcBorders>
              <w:top w:val="single" w:sz="4" w:space="0" w:color="000000"/>
            </w:tcBorders>
            <w:shd w:val="clear" w:color="auto" w:fill="auto"/>
            <w:noWrap/>
            <w:vAlign w:val="center"/>
            <w:hideMark/>
          </w:tcPr>
          <w:p w14:paraId="458C111F" w14:textId="77777777" w:rsidR="00E21924" w:rsidRPr="007F7656" w:rsidRDefault="00E21924" w:rsidP="0021266E">
            <w:pPr>
              <w:spacing w:after="0" w:line="276" w:lineRule="auto"/>
              <w:jc w:val="both"/>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33 (32.4%)</w:t>
            </w:r>
          </w:p>
        </w:tc>
        <w:tc>
          <w:tcPr>
            <w:tcW w:w="1170" w:type="dxa"/>
            <w:tcBorders>
              <w:top w:val="single" w:sz="4" w:space="0" w:color="000000"/>
            </w:tcBorders>
            <w:shd w:val="clear" w:color="auto" w:fill="auto"/>
            <w:noWrap/>
            <w:vAlign w:val="center"/>
            <w:hideMark/>
          </w:tcPr>
          <w:p w14:paraId="2979BBEA" w14:textId="77777777" w:rsidR="00E21924" w:rsidRPr="007F7656" w:rsidRDefault="00E21924" w:rsidP="0021266E">
            <w:pPr>
              <w:spacing w:after="0" w:line="276" w:lineRule="auto"/>
              <w:jc w:val="both"/>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28 (27.5%)</w:t>
            </w:r>
          </w:p>
        </w:tc>
        <w:tc>
          <w:tcPr>
            <w:tcW w:w="1170" w:type="dxa"/>
            <w:tcBorders>
              <w:top w:val="single" w:sz="4" w:space="0" w:color="000000"/>
            </w:tcBorders>
            <w:shd w:val="clear" w:color="auto" w:fill="auto"/>
            <w:noWrap/>
            <w:vAlign w:val="center"/>
            <w:hideMark/>
          </w:tcPr>
          <w:p w14:paraId="3E2AB7D4" w14:textId="77777777" w:rsidR="00E21924" w:rsidRPr="007F7656" w:rsidRDefault="00E21924" w:rsidP="0021266E">
            <w:pPr>
              <w:spacing w:after="0" w:line="276" w:lineRule="auto"/>
              <w:jc w:val="both"/>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102 (100%)</w:t>
            </w:r>
          </w:p>
        </w:tc>
        <w:tc>
          <w:tcPr>
            <w:tcW w:w="900" w:type="dxa"/>
            <w:vMerge w:val="restart"/>
            <w:tcBorders>
              <w:top w:val="single" w:sz="4" w:space="0" w:color="000000"/>
              <w:bottom w:val="single" w:sz="4" w:space="0" w:color="000000"/>
            </w:tcBorders>
            <w:shd w:val="clear" w:color="auto" w:fill="auto"/>
            <w:noWrap/>
            <w:vAlign w:val="center"/>
            <w:hideMark/>
          </w:tcPr>
          <w:p w14:paraId="07DB2639" w14:textId="77777777" w:rsidR="00E21924" w:rsidRPr="007F7656" w:rsidRDefault="00E21924" w:rsidP="0021266E">
            <w:pPr>
              <w:spacing w:after="0" w:line="276" w:lineRule="auto"/>
              <w:jc w:val="both"/>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&lt;0.003</w:t>
            </w:r>
          </w:p>
        </w:tc>
      </w:tr>
      <w:tr w:rsidR="007F7656" w:rsidRPr="007F7656" w14:paraId="504B7E85" w14:textId="77777777" w:rsidTr="004A058A">
        <w:trPr>
          <w:trHeight w:val="485"/>
        </w:trPr>
        <w:tc>
          <w:tcPr>
            <w:tcW w:w="1036" w:type="dxa"/>
            <w:vMerge/>
          </w:tcPr>
          <w:p w14:paraId="67B9C8C8" w14:textId="77777777" w:rsidR="00E21924" w:rsidRPr="007F7656" w:rsidRDefault="00E21924" w:rsidP="0021266E">
            <w:pPr>
              <w:spacing w:after="0" w:line="276" w:lineRule="auto"/>
              <w:jc w:val="both"/>
              <w:rPr>
                <w:rFonts w:asciiTheme="majorBidi" w:eastAsia="Times New Roman" w:hAnsiTheme="majorBidi" w:cstheme="majorBidi"/>
                <w:sz w:val="18"/>
                <w:szCs w:val="18"/>
              </w:rPr>
            </w:pPr>
          </w:p>
        </w:tc>
        <w:tc>
          <w:tcPr>
            <w:tcW w:w="1394" w:type="dxa"/>
            <w:shd w:val="clear" w:color="auto" w:fill="auto"/>
            <w:vAlign w:val="center"/>
            <w:hideMark/>
          </w:tcPr>
          <w:p w14:paraId="5D58867B" w14:textId="77777777" w:rsidR="00E21924" w:rsidRPr="007F7656" w:rsidRDefault="00E21924" w:rsidP="0021266E">
            <w:pPr>
              <w:spacing w:after="0" w:line="276" w:lineRule="auto"/>
              <w:jc w:val="both"/>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 xml:space="preserve">Anxious </w:t>
            </w:r>
          </w:p>
        </w:tc>
        <w:tc>
          <w:tcPr>
            <w:tcW w:w="1080" w:type="dxa"/>
            <w:shd w:val="clear" w:color="auto" w:fill="auto"/>
            <w:noWrap/>
            <w:vAlign w:val="center"/>
            <w:hideMark/>
          </w:tcPr>
          <w:p w14:paraId="282C171E" w14:textId="77777777" w:rsidR="00E21924" w:rsidRPr="007F7656" w:rsidRDefault="00E21924" w:rsidP="0021266E">
            <w:pPr>
              <w:spacing w:after="0" w:line="276" w:lineRule="auto"/>
              <w:jc w:val="both"/>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39 (36.1%)</w:t>
            </w:r>
          </w:p>
        </w:tc>
        <w:tc>
          <w:tcPr>
            <w:tcW w:w="1080" w:type="dxa"/>
            <w:shd w:val="clear" w:color="auto" w:fill="auto"/>
            <w:noWrap/>
            <w:vAlign w:val="center"/>
            <w:hideMark/>
          </w:tcPr>
          <w:p w14:paraId="3E7FAC18" w14:textId="77777777" w:rsidR="00E21924" w:rsidRPr="007F7656" w:rsidRDefault="00E21924" w:rsidP="0021266E">
            <w:pPr>
              <w:spacing w:after="0" w:line="276" w:lineRule="auto"/>
              <w:jc w:val="both"/>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27 (25%)</w:t>
            </w:r>
          </w:p>
        </w:tc>
        <w:tc>
          <w:tcPr>
            <w:tcW w:w="1170" w:type="dxa"/>
            <w:shd w:val="clear" w:color="auto" w:fill="auto"/>
            <w:noWrap/>
            <w:vAlign w:val="center"/>
            <w:hideMark/>
          </w:tcPr>
          <w:p w14:paraId="42F9F886" w14:textId="77777777" w:rsidR="00E21924" w:rsidRPr="007F7656" w:rsidRDefault="00E21924" w:rsidP="0021266E">
            <w:pPr>
              <w:spacing w:after="0" w:line="276" w:lineRule="auto"/>
              <w:jc w:val="both"/>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23 (21.3%)</w:t>
            </w:r>
          </w:p>
        </w:tc>
        <w:tc>
          <w:tcPr>
            <w:tcW w:w="1170" w:type="dxa"/>
            <w:shd w:val="clear" w:color="auto" w:fill="auto"/>
            <w:noWrap/>
            <w:vAlign w:val="center"/>
            <w:hideMark/>
          </w:tcPr>
          <w:p w14:paraId="0AC0046D" w14:textId="77777777" w:rsidR="00E21924" w:rsidRPr="007F7656" w:rsidRDefault="00E21924" w:rsidP="0021266E">
            <w:pPr>
              <w:spacing w:after="0" w:line="276" w:lineRule="auto"/>
              <w:jc w:val="both"/>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19 (17.6%)</w:t>
            </w:r>
          </w:p>
        </w:tc>
        <w:tc>
          <w:tcPr>
            <w:tcW w:w="1170" w:type="dxa"/>
            <w:shd w:val="clear" w:color="auto" w:fill="auto"/>
            <w:noWrap/>
            <w:vAlign w:val="center"/>
            <w:hideMark/>
          </w:tcPr>
          <w:p w14:paraId="0376719D" w14:textId="0A9FA5DA" w:rsidR="00E21924" w:rsidRPr="007F7656" w:rsidRDefault="00E21924" w:rsidP="0021266E">
            <w:pPr>
              <w:spacing w:after="0" w:line="276" w:lineRule="auto"/>
              <w:jc w:val="both"/>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108 (100%)</w:t>
            </w:r>
            <w:r w:rsidR="004A058A">
              <w:rPr>
                <w:rFonts w:asciiTheme="majorBidi" w:eastAsia="Times New Roman" w:hAnsiTheme="majorBidi" w:cstheme="majorBidi"/>
                <w:sz w:val="18"/>
                <w:szCs w:val="18"/>
              </w:rPr>
              <w:t>*</w:t>
            </w:r>
          </w:p>
        </w:tc>
        <w:tc>
          <w:tcPr>
            <w:tcW w:w="900" w:type="dxa"/>
            <w:vMerge/>
            <w:tcBorders>
              <w:bottom w:val="single" w:sz="4" w:space="0" w:color="000000"/>
            </w:tcBorders>
            <w:shd w:val="clear" w:color="auto" w:fill="auto"/>
            <w:vAlign w:val="center"/>
            <w:hideMark/>
          </w:tcPr>
          <w:p w14:paraId="71F1475C" w14:textId="77777777" w:rsidR="00E21924" w:rsidRPr="007F7656" w:rsidRDefault="00E21924" w:rsidP="0021266E">
            <w:pPr>
              <w:spacing w:after="0" w:line="276" w:lineRule="auto"/>
              <w:jc w:val="both"/>
              <w:rPr>
                <w:rFonts w:asciiTheme="majorBidi" w:eastAsia="Times New Roman" w:hAnsiTheme="majorBidi" w:cstheme="majorBidi"/>
                <w:sz w:val="18"/>
                <w:szCs w:val="18"/>
              </w:rPr>
            </w:pPr>
          </w:p>
        </w:tc>
      </w:tr>
      <w:tr w:rsidR="007F7656" w:rsidRPr="007F7656" w14:paraId="6205C6DD" w14:textId="77777777" w:rsidTr="004A058A">
        <w:trPr>
          <w:trHeight w:val="257"/>
        </w:trPr>
        <w:tc>
          <w:tcPr>
            <w:tcW w:w="1036" w:type="dxa"/>
            <w:vMerge/>
            <w:tcBorders>
              <w:bottom w:val="single" w:sz="4" w:space="0" w:color="000000"/>
            </w:tcBorders>
          </w:tcPr>
          <w:p w14:paraId="7B4195F2" w14:textId="77777777" w:rsidR="00E21924" w:rsidRPr="007F7656" w:rsidRDefault="00E21924" w:rsidP="0021266E">
            <w:pPr>
              <w:spacing w:after="0" w:line="276" w:lineRule="auto"/>
              <w:jc w:val="both"/>
              <w:rPr>
                <w:rFonts w:asciiTheme="majorBidi" w:eastAsia="Times New Roman" w:hAnsiTheme="majorBidi" w:cstheme="majorBidi"/>
                <w:sz w:val="18"/>
                <w:szCs w:val="18"/>
              </w:rPr>
            </w:pPr>
          </w:p>
        </w:tc>
        <w:tc>
          <w:tcPr>
            <w:tcW w:w="1394" w:type="dxa"/>
            <w:tcBorders>
              <w:bottom w:val="single" w:sz="4" w:space="0" w:color="000000"/>
            </w:tcBorders>
            <w:shd w:val="clear" w:color="auto" w:fill="auto"/>
            <w:vAlign w:val="center"/>
            <w:hideMark/>
          </w:tcPr>
          <w:p w14:paraId="1E2258C1" w14:textId="77777777" w:rsidR="00E21924" w:rsidRPr="007F7656" w:rsidRDefault="00E21924" w:rsidP="0021266E">
            <w:pPr>
              <w:spacing w:after="0" w:line="276" w:lineRule="auto"/>
              <w:jc w:val="both"/>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 xml:space="preserve">Total </w:t>
            </w:r>
          </w:p>
        </w:tc>
        <w:tc>
          <w:tcPr>
            <w:tcW w:w="1080" w:type="dxa"/>
            <w:tcBorders>
              <w:bottom w:val="single" w:sz="4" w:space="0" w:color="000000"/>
            </w:tcBorders>
            <w:shd w:val="clear" w:color="auto" w:fill="auto"/>
            <w:vAlign w:val="center"/>
            <w:hideMark/>
          </w:tcPr>
          <w:p w14:paraId="26B3B710" w14:textId="77777777" w:rsidR="00E21924" w:rsidRPr="007F7656" w:rsidRDefault="00E21924" w:rsidP="0021266E">
            <w:pPr>
              <w:spacing w:after="0" w:line="276" w:lineRule="auto"/>
              <w:jc w:val="both"/>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54 (25.7%)</w:t>
            </w:r>
          </w:p>
        </w:tc>
        <w:tc>
          <w:tcPr>
            <w:tcW w:w="1080" w:type="dxa"/>
            <w:tcBorders>
              <w:bottom w:val="single" w:sz="4" w:space="0" w:color="000000"/>
            </w:tcBorders>
            <w:shd w:val="clear" w:color="auto" w:fill="auto"/>
            <w:vAlign w:val="center"/>
            <w:hideMark/>
          </w:tcPr>
          <w:p w14:paraId="57829736" w14:textId="77777777" w:rsidR="00E21924" w:rsidRPr="007F7656" w:rsidRDefault="00E21924" w:rsidP="0021266E">
            <w:pPr>
              <w:spacing w:after="0" w:line="276" w:lineRule="auto"/>
              <w:jc w:val="both"/>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53 (25.2%)</w:t>
            </w:r>
          </w:p>
        </w:tc>
        <w:tc>
          <w:tcPr>
            <w:tcW w:w="1170" w:type="dxa"/>
            <w:tcBorders>
              <w:bottom w:val="single" w:sz="4" w:space="0" w:color="000000"/>
            </w:tcBorders>
            <w:shd w:val="clear" w:color="auto" w:fill="auto"/>
            <w:vAlign w:val="center"/>
            <w:hideMark/>
          </w:tcPr>
          <w:p w14:paraId="47EFC783" w14:textId="77777777" w:rsidR="00E21924" w:rsidRPr="007F7656" w:rsidRDefault="00E21924" w:rsidP="0021266E">
            <w:pPr>
              <w:spacing w:after="0" w:line="276" w:lineRule="auto"/>
              <w:jc w:val="both"/>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56 (26.7%)</w:t>
            </w:r>
          </w:p>
        </w:tc>
        <w:tc>
          <w:tcPr>
            <w:tcW w:w="1170" w:type="dxa"/>
            <w:tcBorders>
              <w:bottom w:val="single" w:sz="4" w:space="0" w:color="000000"/>
            </w:tcBorders>
            <w:shd w:val="clear" w:color="auto" w:fill="auto"/>
            <w:vAlign w:val="center"/>
            <w:hideMark/>
          </w:tcPr>
          <w:p w14:paraId="54C5BEB6" w14:textId="77777777" w:rsidR="00E21924" w:rsidRPr="007F7656" w:rsidRDefault="00E21924" w:rsidP="0021266E">
            <w:pPr>
              <w:spacing w:after="0" w:line="276" w:lineRule="auto"/>
              <w:jc w:val="both"/>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47 (22.4%)</w:t>
            </w:r>
          </w:p>
        </w:tc>
        <w:tc>
          <w:tcPr>
            <w:tcW w:w="1170" w:type="dxa"/>
            <w:tcBorders>
              <w:bottom w:val="single" w:sz="4" w:space="0" w:color="000000"/>
            </w:tcBorders>
            <w:shd w:val="clear" w:color="auto" w:fill="auto"/>
            <w:vAlign w:val="center"/>
            <w:hideMark/>
          </w:tcPr>
          <w:p w14:paraId="413228F4" w14:textId="77777777" w:rsidR="00E21924" w:rsidRPr="007F7656" w:rsidRDefault="00E21924" w:rsidP="0021266E">
            <w:pPr>
              <w:spacing w:after="0" w:line="276" w:lineRule="auto"/>
              <w:jc w:val="both"/>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210 (100%)</w:t>
            </w:r>
          </w:p>
        </w:tc>
        <w:tc>
          <w:tcPr>
            <w:tcW w:w="900" w:type="dxa"/>
            <w:vMerge/>
            <w:tcBorders>
              <w:bottom w:val="single" w:sz="4" w:space="0" w:color="000000"/>
            </w:tcBorders>
            <w:shd w:val="clear" w:color="auto" w:fill="auto"/>
            <w:vAlign w:val="center"/>
            <w:hideMark/>
          </w:tcPr>
          <w:p w14:paraId="3C59F481" w14:textId="77777777" w:rsidR="00E21924" w:rsidRPr="007F7656" w:rsidRDefault="00E21924" w:rsidP="0021266E">
            <w:pPr>
              <w:spacing w:after="0" w:line="276" w:lineRule="auto"/>
              <w:jc w:val="both"/>
              <w:rPr>
                <w:rFonts w:asciiTheme="majorBidi" w:eastAsia="Times New Roman" w:hAnsiTheme="majorBidi" w:cstheme="majorBidi"/>
                <w:sz w:val="18"/>
                <w:szCs w:val="18"/>
              </w:rPr>
            </w:pPr>
          </w:p>
        </w:tc>
      </w:tr>
    </w:tbl>
    <w:p w14:paraId="6BDC7987" w14:textId="77777777" w:rsidR="004A058A" w:rsidRPr="00105DBB" w:rsidRDefault="004A058A" w:rsidP="004A058A">
      <w:pPr>
        <w:bidi/>
        <w:spacing w:line="276" w:lineRule="auto"/>
        <w:jc w:val="right"/>
        <w:rPr>
          <w:rFonts w:asciiTheme="majorBidi" w:hAnsiTheme="majorBidi" w:cstheme="majorBidi"/>
          <w:sz w:val="24"/>
          <w:szCs w:val="24"/>
        </w:rPr>
      </w:pPr>
      <w:r w:rsidRPr="004637F0">
        <w:rPr>
          <w:rFonts w:asciiTheme="majorBidi" w:hAnsiTheme="majorBidi" w:cstheme="majorBidi"/>
          <w:sz w:val="21"/>
          <w:szCs w:val="21"/>
        </w:rPr>
        <w:t xml:space="preserve">* </w:t>
      </w:r>
      <w:r w:rsidRPr="00105DBB">
        <w:rPr>
          <w:rFonts w:asciiTheme="majorBidi" w:hAnsiTheme="majorBidi" w:cstheme="majorBidi"/>
          <w:sz w:val="24"/>
          <w:szCs w:val="24"/>
        </w:rPr>
        <w:t>Total number of moderate, severe and extremely severe cases</w:t>
      </w:r>
    </w:p>
    <w:p w14:paraId="7A38352E" w14:textId="4115FE0B" w:rsidR="003D4074" w:rsidRPr="00105DBB" w:rsidRDefault="00022290" w:rsidP="004637F0">
      <w:pPr>
        <w:spacing w:before="240" w:line="276" w:lineRule="auto"/>
        <w:ind w:firstLine="360"/>
        <w:jc w:val="both"/>
        <w:rPr>
          <w:rFonts w:asciiTheme="majorBidi" w:hAnsiTheme="majorBidi" w:cstheme="majorBidi"/>
          <w:sz w:val="24"/>
          <w:szCs w:val="24"/>
        </w:rPr>
      </w:pPr>
      <w:r w:rsidRPr="00105DBB">
        <w:rPr>
          <w:rFonts w:asciiTheme="majorBidi" w:hAnsiTheme="majorBidi" w:cstheme="majorBidi"/>
          <w:sz w:val="24"/>
          <w:szCs w:val="24"/>
        </w:rPr>
        <w:t xml:space="preserve">The sociodemographic contributors of depression, anxiety and resilience among study participants is </w:t>
      </w:r>
      <w:r w:rsidR="003942B4" w:rsidRPr="00105DBB">
        <w:rPr>
          <w:rFonts w:asciiTheme="majorBidi" w:hAnsiTheme="majorBidi" w:cstheme="majorBidi"/>
          <w:sz w:val="24"/>
          <w:szCs w:val="24"/>
        </w:rPr>
        <w:t xml:space="preserve">displayed in </w:t>
      </w:r>
      <w:r w:rsidR="003942B4" w:rsidRPr="00105DBB">
        <w:rPr>
          <w:rFonts w:asciiTheme="majorBidi" w:hAnsiTheme="majorBidi" w:cstheme="majorBidi"/>
          <w:b/>
          <w:bCs/>
          <w:sz w:val="24"/>
          <w:szCs w:val="24"/>
        </w:rPr>
        <w:t>Table 4.</w:t>
      </w:r>
      <w:r w:rsidR="003942B4" w:rsidRPr="00105DBB">
        <w:rPr>
          <w:rFonts w:asciiTheme="majorBidi" w:hAnsiTheme="majorBidi" w:cstheme="majorBidi"/>
          <w:sz w:val="24"/>
          <w:szCs w:val="24"/>
        </w:rPr>
        <w:t xml:space="preserve"> </w:t>
      </w:r>
      <w:r w:rsidR="004246BC" w:rsidRPr="00105DBB">
        <w:rPr>
          <w:rFonts w:asciiTheme="majorBidi" w:hAnsiTheme="majorBidi" w:cstheme="majorBidi"/>
          <w:sz w:val="24"/>
          <w:szCs w:val="24"/>
        </w:rPr>
        <w:t xml:space="preserve">A significant association was found between depression, anxiety and resilience with economic status, general health condition, concern about food shortage, concern about losing house, and concern about losing job. While no significant association was found between depression, anxiety and resilience with gender, marital status, losing family </w:t>
      </w:r>
      <w:r w:rsidR="003D4074" w:rsidRPr="00105DBB">
        <w:rPr>
          <w:rFonts w:asciiTheme="majorBidi" w:hAnsiTheme="majorBidi" w:cstheme="majorBidi"/>
          <w:sz w:val="24"/>
          <w:szCs w:val="24"/>
        </w:rPr>
        <w:t>member in childhood.</w:t>
      </w:r>
    </w:p>
    <w:p w14:paraId="072B3016" w14:textId="66E687D7" w:rsidR="003D4074" w:rsidRPr="00105DBB" w:rsidRDefault="003D4074" w:rsidP="0021266E">
      <w:pPr>
        <w:spacing w:before="240" w:after="0" w:line="276" w:lineRule="auto"/>
        <w:jc w:val="both"/>
        <w:rPr>
          <w:rFonts w:asciiTheme="majorBidi" w:hAnsiTheme="majorBidi" w:cstheme="majorBidi"/>
          <w:sz w:val="24"/>
          <w:szCs w:val="24"/>
        </w:rPr>
      </w:pPr>
      <w:r w:rsidRPr="00105DBB">
        <w:rPr>
          <w:rFonts w:asciiTheme="majorBidi" w:hAnsiTheme="majorBidi" w:cstheme="majorBidi"/>
          <w:b/>
          <w:bCs/>
          <w:sz w:val="24"/>
          <w:szCs w:val="24"/>
        </w:rPr>
        <w:t>Table</w:t>
      </w:r>
      <w:r w:rsidR="00AF056F" w:rsidRPr="00105DBB">
        <w:rPr>
          <w:rFonts w:asciiTheme="majorBidi" w:hAnsiTheme="majorBidi" w:cstheme="majorBidi"/>
          <w:b/>
          <w:bCs/>
          <w:sz w:val="24"/>
          <w:szCs w:val="24"/>
        </w:rPr>
        <w:t xml:space="preserve"> 4.</w:t>
      </w:r>
      <w:r w:rsidR="00AF056F" w:rsidRPr="00105DBB">
        <w:rPr>
          <w:rFonts w:asciiTheme="majorBidi" w:hAnsiTheme="majorBidi" w:cstheme="majorBidi"/>
          <w:sz w:val="24"/>
          <w:szCs w:val="24"/>
        </w:rPr>
        <w:t xml:space="preserve"> </w:t>
      </w:r>
      <w:r w:rsidRPr="00105DBB">
        <w:rPr>
          <w:rFonts w:asciiTheme="majorBidi" w:hAnsiTheme="majorBidi" w:cstheme="majorBidi"/>
          <w:sz w:val="24"/>
          <w:szCs w:val="24"/>
        </w:rPr>
        <w:t>Association of sociodemographic factors with depression, anxiety, and resilience</w:t>
      </w:r>
    </w:p>
    <w:tbl>
      <w:tblPr>
        <w:tblW w:w="8910" w:type="dxa"/>
        <w:tblLayout w:type="fixed"/>
        <w:tblLook w:val="04A0" w:firstRow="1" w:lastRow="0" w:firstColumn="1" w:lastColumn="0" w:noHBand="0" w:noVBand="1"/>
      </w:tblPr>
      <w:tblGrid>
        <w:gridCol w:w="2250"/>
        <w:gridCol w:w="1710"/>
        <w:gridCol w:w="810"/>
        <w:gridCol w:w="810"/>
        <w:gridCol w:w="810"/>
        <w:gridCol w:w="900"/>
        <w:gridCol w:w="810"/>
        <w:gridCol w:w="810"/>
      </w:tblGrid>
      <w:tr w:rsidR="007F7656" w:rsidRPr="007F7656" w14:paraId="7446DAC3" w14:textId="77777777" w:rsidTr="00B75912">
        <w:trPr>
          <w:trHeight w:val="290"/>
        </w:trPr>
        <w:tc>
          <w:tcPr>
            <w:tcW w:w="3960" w:type="dxa"/>
            <w:gridSpan w:val="2"/>
            <w:vMerge w:val="restart"/>
            <w:tcBorders>
              <w:top w:val="single" w:sz="4" w:space="0" w:color="000000"/>
            </w:tcBorders>
            <w:shd w:val="clear" w:color="auto" w:fill="auto"/>
            <w:noWrap/>
            <w:vAlign w:val="center"/>
            <w:hideMark/>
          </w:tcPr>
          <w:p w14:paraId="678AE138" w14:textId="3D09810A" w:rsidR="00B75912" w:rsidRPr="007F7656" w:rsidRDefault="00B75912"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b/>
                <w:bCs/>
                <w:sz w:val="18"/>
                <w:szCs w:val="18"/>
              </w:rPr>
              <w:t>Data</w:t>
            </w:r>
          </w:p>
        </w:tc>
        <w:tc>
          <w:tcPr>
            <w:tcW w:w="1620" w:type="dxa"/>
            <w:gridSpan w:val="2"/>
            <w:tcBorders>
              <w:top w:val="single" w:sz="4" w:space="0" w:color="000000"/>
            </w:tcBorders>
            <w:shd w:val="clear" w:color="auto" w:fill="auto"/>
            <w:vAlign w:val="center"/>
            <w:hideMark/>
          </w:tcPr>
          <w:p w14:paraId="55EF0CA4" w14:textId="77777777" w:rsidR="00B75912" w:rsidRPr="007F7656" w:rsidRDefault="00B75912" w:rsidP="0021266E">
            <w:pPr>
              <w:spacing w:after="0" w:line="276" w:lineRule="auto"/>
              <w:jc w:val="center"/>
              <w:rPr>
                <w:rFonts w:asciiTheme="majorBidi" w:eastAsia="Times New Roman" w:hAnsiTheme="majorBidi" w:cstheme="majorBidi"/>
                <w:b/>
                <w:bCs/>
                <w:sz w:val="18"/>
                <w:szCs w:val="18"/>
              </w:rPr>
            </w:pPr>
            <w:r w:rsidRPr="007F7656">
              <w:rPr>
                <w:rFonts w:asciiTheme="majorBidi" w:eastAsia="Times New Roman" w:hAnsiTheme="majorBidi" w:cstheme="majorBidi"/>
                <w:b/>
                <w:bCs/>
                <w:sz w:val="18"/>
                <w:szCs w:val="18"/>
              </w:rPr>
              <w:t>Depression</w:t>
            </w:r>
          </w:p>
        </w:tc>
        <w:tc>
          <w:tcPr>
            <w:tcW w:w="1710" w:type="dxa"/>
            <w:gridSpan w:val="2"/>
            <w:tcBorders>
              <w:top w:val="single" w:sz="4" w:space="0" w:color="000000"/>
            </w:tcBorders>
            <w:shd w:val="clear" w:color="auto" w:fill="auto"/>
            <w:vAlign w:val="center"/>
            <w:hideMark/>
          </w:tcPr>
          <w:p w14:paraId="4EC4CD9D" w14:textId="77777777" w:rsidR="00B75912" w:rsidRPr="007F7656" w:rsidRDefault="00B75912" w:rsidP="0021266E">
            <w:pPr>
              <w:spacing w:after="0" w:line="276" w:lineRule="auto"/>
              <w:jc w:val="center"/>
              <w:rPr>
                <w:rFonts w:asciiTheme="majorBidi" w:eastAsia="Times New Roman" w:hAnsiTheme="majorBidi" w:cstheme="majorBidi"/>
                <w:b/>
                <w:bCs/>
                <w:sz w:val="18"/>
                <w:szCs w:val="18"/>
              </w:rPr>
            </w:pPr>
            <w:r w:rsidRPr="007F7656">
              <w:rPr>
                <w:rFonts w:asciiTheme="majorBidi" w:eastAsia="Times New Roman" w:hAnsiTheme="majorBidi" w:cstheme="majorBidi"/>
                <w:b/>
                <w:bCs/>
                <w:sz w:val="18"/>
                <w:szCs w:val="18"/>
              </w:rPr>
              <w:t>Anxiety</w:t>
            </w:r>
          </w:p>
        </w:tc>
        <w:tc>
          <w:tcPr>
            <w:tcW w:w="1620" w:type="dxa"/>
            <w:gridSpan w:val="2"/>
            <w:tcBorders>
              <w:top w:val="single" w:sz="4" w:space="0" w:color="000000"/>
            </w:tcBorders>
            <w:shd w:val="clear" w:color="auto" w:fill="auto"/>
            <w:vAlign w:val="center"/>
            <w:hideMark/>
          </w:tcPr>
          <w:p w14:paraId="6F10D84C" w14:textId="4F760C49" w:rsidR="00B75912" w:rsidRPr="007F7656" w:rsidRDefault="00B75912" w:rsidP="0021266E">
            <w:pPr>
              <w:spacing w:after="0" w:line="276" w:lineRule="auto"/>
              <w:jc w:val="center"/>
              <w:rPr>
                <w:rFonts w:asciiTheme="majorBidi" w:eastAsia="Times New Roman" w:hAnsiTheme="majorBidi" w:cstheme="majorBidi"/>
                <w:b/>
                <w:bCs/>
                <w:sz w:val="18"/>
                <w:szCs w:val="18"/>
              </w:rPr>
            </w:pPr>
            <w:r w:rsidRPr="007F7656">
              <w:rPr>
                <w:rFonts w:asciiTheme="majorBidi" w:eastAsia="Times New Roman" w:hAnsiTheme="majorBidi" w:cstheme="majorBidi"/>
                <w:b/>
                <w:bCs/>
                <w:sz w:val="18"/>
                <w:szCs w:val="18"/>
              </w:rPr>
              <w:t>Resilience</w:t>
            </w:r>
          </w:p>
        </w:tc>
      </w:tr>
      <w:tr w:rsidR="007F7656" w:rsidRPr="007F7656" w14:paraId="64725E25" w14:textId="77777777" w:rsidTr="00587783">
        <w:trPr>
          <w:trHeight w:val="370"/>
        </w:trPr>
        <w:tc>
          <w:tcPr>
            <w:tcW w:w="3960" w:type="dxa"/>
            <w:gridSpan w:val="2"/>
            <w:vMerge/>
            <w:tcBorders>
              <w:bottom w:val="single" w:sz="4" w:space="0" w:color="000000"/>
            </w:tcBorders>
            <w:shd w:val="clear" w:color="auto" w:fill="auto"/>
            <w:noWrap/>
            <w:vAlign w:val="center"/>
            <w:hideMark/>
          </w:tcPr>
          <w:p w14:paraId="5D434E1E" w14:textId="6506481E" w:rsidR="00B75912" w:rsidRPr="007F7656" w:rsidRDefault="00B75912" w:rsidP="0021266E">
            <w:pPr>
              <w:spacing w:after="0" w:line="276" w:lineRule="auto"/>
              <w:jc w:val="center"/>
              <w:rPr>
                <w:rFonts w:asciiTheme="majorBidi" w:eastAsia="Times New Roman" w:hAnsiTheme="majorBidi" w:cstheme="majorBidi"/>
                <w:sz w:val="18"/>
                <w:szCs w:val="18"/>
              </w:rPr>
            </w:pPr>
          </w:p>
        </w:tc>
        <w:tc>
          <w:tcPr>
            <w:tcW w:w="810" w:type="dxa"/>
            <w:tcBorders>
              <w:bottom w:val="single" w:sz="4" w:space="0" w:color="000000"/>
            </w:tcBorders>
            <w:shd w:val="clear" w:color="auto" w:fill="auto"/>
            <w:vAlign w:val="center"/>
            <w:hideMark/>
          </w:tcPr>
          <w:p w14:paraId="7A18C8A9" w14:textId="7EC239B0" w:rsidR="00B75912" w:rsidRPr="007F7656" w:rsidRDefault="00B75912" w:rsidP="0021266E">
            <w:pPr>
              <w:spacing w:after="0" w:line="276" w:lineRule="auto"/>
              <w:jc w:val="center"/>
              <w:rPr>
                <w:rFonts w:asciiTheme="majorBidi" w:eastAsia="Times New Roman" w:hAnsiTheme="majorBidi" w:cstheme="majorBidi"/>
                <w:b/>
                <w:bCs/>
                <w:sz w:val="18"/>
                <w:szCs w:val="18"/>
              </w:rPr>
            </w:pPr>
            <w:r w:rsidRPr="007F7656">
              <w:rPr>
                <w:rFonts w:asciiTheme="majorBidi" w:eastAsia="Times New Roman" w:hAnsiTheme="majorBidi" w:cstheme="majorBidi"/>
                <w:b/>
                <w:bCs/>
                <w:sz w:val="18"/>
                <w:szCs w:val="18"/>
              </w:rPr>
              <w:t>No*</w:t>
            </w:r>
          </w:p>
        </w:tc>
        <w:tc>
          <w:tcPr>
            <w:tcW w:w="810" w:type="dxa"/>
            <w:tcBorders>
              <w:bottom w:val="single" w:sz="4" w:space="0" w:color="000000"/>
            </w:tcBorders>
            <w:shd w:val="clear" w:color="auto" w:fill="auto"/>
            <w:vAlign w:val="center"/>
            <w:hideMark/>
          </w:tcPr>
          <w:p w14:paraId="23D6ED96" w14:textId="77777777" w:rsidR="00B75912" w:rsidRPr="007F7656" w:rsidRDefault="00B75912" w:rsidP="0021266E">
            <w:pPr>
              <w:spacing w:after="0" w:line="276" w:lineRule="auto"/>
              <w:jc w:val="center"/>
              <w:rPr>
                <w:rFonts w:asciiTheme="majorBidi" w:eastAsia="Times New Roman" w:hAnsiTheme="majorBidi" w:cstheme="majorBidi"/>
                <w:b/>
                <w:bCs/>
                <w:sz w:val="18"/>
                <w:szCs w:val="18"/>
              </w:rPr>
            </w:pPr>
            <w:r w:rsidRPr="007F7656">
              <w:rPr>
                <w:rFonts w:asciiTheme="majorBidi" w:eastAsia="Times New Roman" w:hAnsiTheme="majorBidi" w:cstheme="majorBidi"/>
                <w:b/>
                <w:bCs/>
                <w:sz w:val="18"/>
                <w:szCs w:val="18"/>
              </w:rPr>
              <w:t>%</w:t>
            </w:r>
          </w:p>
        </w:tc>
        <w:tc>
          <w:tcPr>
            <w:tcW w:w="810" w:type="dxa"/>
            <w:tcBorders>
              <w:bottom w:val="single" w:sz="4" w:space="0" w:color="000000"/>
            </w:tcBorders>
            <w:shd w:val="clear" w:color="auto" w:fill="auto"/>
            <w:vAlign w:val="center"/>
            <w:hideMark/>
          </w:tcPr>
          <w:p w14:paraId="07656671" w14:textId="77777777" w:rsidR="00B75912" w:rsidRPr="007F7656" w:rsidRDefault="00B75912" w:rsidP="0021266E">
            <w:pPr>
              <w:spacing w:after="0" w:line="276" w:lineRule="auto"/>
              <w:jc w:val="center"/>
              <w:rPr>
                <w:rFonts w:asciiTheme="majorBidi" w:eastAsia="Times New Roman" w:hAnsiTheme="majorBidi" w:cstheme="majorBidi"/>
                <w:b/>
                <w:bCs/>
                <w:sz w:val="18"/>
                <w:szCs w:val="18"/>
              </w:rPr>
            </w:pPr>
            <w:r w:rsidRPr="007F7656">
              <w:rPr>
                <w:rFonts w:asciiTheme="majorBidi" w:eastAsia="Times New Roman" w:hAnsiTheme="majorBidi" w:cstheme="majorBidi"/>
                <w:b/>
                <w:bCs/>
                <w:sz w:val="18"/>
                <w:szCs w:val="18"/>
              </w:rPr>
              <w:t>No*</w:t>
            </w:r>
          </w:p>
        </w:tc>
        <w:tc>
          <w:tcPr>
            <w:tcW w:w="900" w:type="dxa"/>
            <w:tcBorders>
              <w:bottom w:val="single" w:sz="4" w:space="0" w:color="000000"/>
            </w:tcBorders>
            <w:shd w:val="clear" w:color="auto" w:fill="auto"/>
            <w:vAlign w:val="center"/>
            <w:hideMark/>
          </w:tcPr>
          <w:p w14:paraId="5817B373" w14:textId="77777777" w:rsidR="00B75912" w:rsidRPr="007F7656" w:rsidRDefault="00B75912" w:rsidP="0021266E">
            <w:pPr>
              <w:spacing w:after="0" w:line="276" w:lineRule="auto"/>
              <w:jc w:val="center"/>
              <w:rPr>
                <w:rFonts w:asciiTheme="majorBidi" w:eastAsia="Times New Roman" w:hAnsiTheme="majorBidi" w:cstheme="majorBidi"/>
                <w:b/>
                <w:bCs/>
                <w:sz w:val="18"/>
                <w:szCs w:val="18"/>
              </w:rPr>
            </w:pPr>
            <w:r w:rsidRPr="007F7656">
              <w:rPr>
                <w:rFonts w:asciiTheme="majorBidi" w:eastAsia="Times New Roman" w:hAnsiTheme="majorBidi" w:cstheme="majorBidi"/>
                <w:b/>
                <w:bCs/>
                <w:sz w:val="18"/>
                <w:szCs w:val="18"/>
              </w:rPr>
              <w:t>%</w:t>
            </w:r>
          </w:p>
        </w:tc>
        <w:tc>
          <w:tcPr>
            <w:tcW w:w="810" w:type="dxa"/>
            <w:tcBorders>
              <w:bottom w:val="single" w:sz="4" w:space="0" w:color="000000"/>
            </w:tcBorders>
            <w:shd w:val="clear" w:color="auto" w:fill="auto"/>
            <w:vAlign w:val="center"/>
            <w:hideMark/>
          </w:tcPr>
          <w:p w14:paraId="204C17AC" w14:textId="77777777" w:rsidR="00B75912" w:rsidRPr="007F7656" w:rsidRDefault="00B75912" w:rsidP="0021266E">
            <w:pPr>
              <w:spacing w:after="0" w:line="276" w:lineRule="auto"/>
              <w:jc w:val="center"/>
              <w:rPr>
                <w:rFonts w:asciiTheme="majorBidi" w:eastAsia="Times New Roman" w:hAnsiTheme="majorBidi" w:cstheme="majorBidi"/>
                <w:b/>
                <w:bCs/>
                <w:sz w:val="18"/>
                <w:szCs w:val="18"/>
              </w:rPr>
            </w:pPr>
            <w:r w:rsidRPr="007F7656">
              <w:rPr>
                <w:rFonts w:asciiTheme="majorBidi" w:eastAsia="Times New Roman" w:hAnsiTheme="majorBidi" w:cstheme="majorBidi"/>
                <w:b/>
                <w:bCs/>
                <w:sz w:val="18"/>
                <w:szCs w:val="18"/>
              </w:rPr>
              <w:t>No</w:t>
            </w:r>
          </w:p>
        </w:tc>
        <w:tc>
          <w:tcPr>
            <w:tcW w:w="810" w:type="dxa"/>
            <w:tcBorders>
              <w:bottom w:val="single" w:sz="4" w:space="0" w:color="000000"/>
            </w:tcBorders>
            <w:shd w:val="clear" w:color="auto" w:fill="auto"/>
            <w:vAlign w:val="center"/>
            <w:hideMark/>
          </w:tcPr>
          <w:p w14:paraId="2234F39C" w14:textId="77777777" w:rsidR="00B75912" w:rsidRPr="007F7656" w:rsidRDefault="00B75912" w:rsidP="0021266E">
            <w:pPr>
              <w:spacing w:after="0" w:line="276" w:lineRule="auto"/>
              <w:jc w:val="center"/>
              <w:rPr>
                <w:rFonts w:asciiTheme="majorBidi" w:eastAsia="Times New Roman" w:hAnsiTheme="majorBidi" w:cstheme="majorBidi"/>
                <w:b/>
                <w:bCs/>
                <w:sz w:val="18"/>
                <w:szCs w:val="18"/>
              </w:rPr>
            </w:pPr>
            <w:r w:rsidRPr="007F7656">
              <w:rPr>
                <w:rFonts w:asciiTheme="majorBidi" w:eastAsia="Times New Roman" w:hAnsiTheme="majorBidi" w:cstheme="majorBidi"/>
                <w:b/>
                <w:bCs/>
                <w:sz w:val="18"/>
                <w:szCs w:val="18"/>
              </w:rPr>
              <w:t>%</w:t>
            </w:r>
          </w:p>
        </w:tc>
      </w:tr>
      <w:tr w:rsidR="007F7656" w:rsidRPr="007F7656" w14:paraId="778D593E" w14:textId="77777777" w:rsidTr="00587783">
        <w:trPr>
          <w:trHeight w:val="280"/>
        </w:trPr>
        <w:tc>
          <w:tcPr>
            <w:tcW w:w="2250" w:type="dxa"/>
            <w:vMerge w:val="restart"/>
            <w:tcBorders>
              <w:top w:val="single" w:sz="4" w:space="0" w:color="000000"/>
            </w:tcBorders>
            <w:shd w:val="clear" w:color="auto" w:fill="auto"/>
            <w:noWrap/>
            <w:vAlign w:val="center"/>
            <w:hideMark/>
          </w:tcPr>
          <w:p w14:paraId="12928D4E" w14:textId="77777777" w:rsidR="00D20E66" w:rsidRPr="007F7656" w:rsidRDefault="00D20E66" w:rsidP="0021266E">
            <w:pPr>
              <w:spacing w:after="0" w:line="276" w:lineRule="auto"/>
              <w:jc w:val="both"/>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Gender</w:t>
            </w:r>
          </w:p>
        </w:tc>
        <w:tc>
          <w:tcPr>
            <w:tcW w:w="1710" w:type="dxa"/>
            <w:tcBorders>
              <w:top w:val="single" w:sz="4" w:space="0" w:color="000000"/>
            </w:tcBorders>
            <w:shd w:val="clear" w:color="auto" w:fill="auto"/>
            <w:noWrap/>
            <w:vAlign w:val="center"/>
            <w:hideMark/>
          </w:tcPr>
          <w:p w14:paraId="1B43B757" w14:textId="035560A0"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Male</w:t>
            </w:r>
          </w:p>
        </w:tc>
        <w:tc>
          <w:tcPr>
            <w:tcW w:w="810" w:type="dxa"/>
            <w:tcBorders>
              <w:top w:val="single" w:sz="4" w:space="0" w:color="000000"/>
            </w:tcBorders>
            <w:shd w:val="clear" w:color="auto" w:fill="auto"/>
            <w:noWrap/>
            <w:vAlign w:val="center"/>
            <w:hideMark/>
          </w:tcPr>
          <w:p w14:paraId="0FDD3B75"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63</w:t>
            </w:r>
          </w:p>
        </w:tc>
        <w:tc>
          <w:tcPr>
            <w:tcW w:w="810" w:type="dxa"/>
            <w:tcBorders>
              <w:top w:val="single" w:sz="4" w:space="0" w:color="000000"/>
            </w:tcBorders>
            <w:shd w:val="clear" w:color="auto" w:fill="auto"/>
            <w:noWrap/>
            <w:vAlign w:val="center"/>
            <w:hideMark/>
          </w:tcPr>
          <w:p w14:paraId="353EA97B"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40.9</w:t>
            </w:r>
          </w:p>
        </w:tc>
        <w:tc>
          <w:tcPr>
            <w:tcW w:w="810" w:type="dxa"/>
            <w:tcBorders>
              <w:top w:val="single" w:sz="4" w:space="0" w:color="000000"/>
            </w:tcBorders>
            <w:shd w:val="clear" w:color="auto" w:fill="auto"/>
            <w:noWrap/>
            <w:vAlign w:val="center"/>
            <w:hideMark/>
          </w:tcPr>
          <w:p w14:paraId="3FF8B371"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80</w:t>
            </w:r>
          </w:p>
        </w:tc>
        <w:tc>
          <w:tcPr>
            <w:tcW w:w="900" w:type="dxa"/>
            <w:tcBorders>
              <w:top w:val="single" w:sz="4" w:space="0" w:color="000000"/>
            </w:tcBorders>
            <w:shd w:val="clear" w:color="auto" w:fill="auto"/>
            <w:noWrap/>
            <w:vAlign w:val="center"/>
            <w:hideMark/>
          </w:tcPr>
          <w:p w14:paraId="4308D523"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51.9</w:t>
            </w:r>
          </w:p>
        </w:tc>
        <w:tc>
          <w:tcPr>
            <w:tcW w:w="810" w:type="dxa"/>
            <w:tcBorders>
              <w:top w:val="single" w:sz="4" w:space="0" w:color="000000"/>
            </w:tcBorders>
            <w:shd w:val="clear" w:color="auto" w:fill="auto"/>
            <w:noWrap/>
            <w:vAlign w:val="center"/>
            <w:hideMark/>
          </w:tcPr>
          <w:p w14:paraId="44E56672"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73</w:t>
            </w:r>
          </w:p>
        </w:tc>
        <w:tc>
          <w:tcPr>
            <w:tcW w:w="810" w:type="dxa"/>
            <w:tcBorders>
              <w:top w:val="single" w:sz="4" w:space="0" w:color="000000"/>
            </w:tcBorders>
            <w:shd w:val="clear" w:color="auto" w:fill="auto"/>
            <w:noWrap/>
            <w:vAlign w:val="center"/>
            <w:hideMark/>
          </w:tcPr>
          <w:p w14:paraId="2F980F3D"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47.4</w:t>
            </w:r>
          </w:p>
        </w:tc>
      </w:tr>
      <w:tr w:rsidR="007F7656" w:rsidRPr="007F7656" w14:paraId="0EC29C4D" w14:textId="77777777" w:rsidTr="00587783">
        <w:trPr>
          <w:trHeight w:val="290"/>
        </w:trPr>
        <w:tc>
          <w:tcPr>
            <w:tcW w:w="2250" w:type="dxa"/>
            <w:vMerge/>
            <w:shd w:val="clear" w:color="auto" w:fill="auto"/>
            <w:vAlign w:val="center"/>
            <w:hideMark/>
          </w:tcPr>
          <w:p w14:paraId="04A5A7AC" w14:textId="77777777" w:rsidR="00D20E66" w:rsidRPr="007F7656" w:rsidRDefault="00D20E66" w:rsidP="0021266E">
            <w:pPr>
              <w:spacing w:after="0" w:line="276" w:lineRule="auto"/>
              <w:jc w:val="both"/>
              <w:rPr>
                <w:rFonts w:asciiTheme="majorBidi" w:eastAsia="Times New Roman" w:hAnsiTheme="majorBidi" w:cstheme="majorBidi"/>
                <w:sz w:val="18"/>
                <w:szCs w:val="18"/>
              </w:rPr>
            </w:pPr>
          </w:p>
        </w:tc>
        <w:tc>
          <w:tcPr>
            <w:tcW w:w="1710" w:type="dxa"/>
            <w:shd w:val="clear" w:color="auto" w:fill="auto"/>
            <w:noWrap/>
            <w:vAlign w:val="center"/>
            <w:hideMark/>
          </w:tcPr>
          <w:p w14:paraId="621E269B" w14:textId="7D688338"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Female</w:t>
            </w:r>
          </w:p>
        </w:tc>
        <w:tc>
          <w:tcPr>
            <w:tcW w:w="810" w:type="dxa"/>
            <w:shd w:val="clear" w:color="auto" w:fill="auto"/>
            <w:noWrap/>
            <w:vAlign w:val="center"/>
            <w:hideMark/>
          </w:tcPr>
          <w:p w14:paraId="39BC0032"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21</w:t>
            </w:r>
          </w:p>
        </w:tc>
        <w:tc>
          <w:tcPr>
            <w:tcW w:w="810" w:type="dxa"/>
            <w:shd w:val="clear" w:color="auto" w:fill="auto"/>
            <w:noWrap/>
            <w:vAlign w:val="center"/>
            <w:hideMark/>
          </w:tcPr>
          <w:p w14:paraId="7C60499D"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37.5</w:t>
            </w:r>
          </w:p>
        </w:tc>
        <w:tc>
          <w:tcPr>
            <w:tcW w:w="810" w:type="dxa"/>
            <w:shd w:val="clear" w:color="auto" w:fill="auto"/>
            <w:noWrap/>
            <w:vAlign w:val="center"/>
            <w:hideMark/>
          </w:tcPr>
          <w:p w14:paraId="14F508DE"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28</w:t>
            </w:r>
          </w:p>
        </w:tc>
        <w:tc>
          <w:tcPr>
            <w:tcW w:w="900" w:type="dxa"/>
            <w:shd w:val="clear" w:color="auto" w:fill="auto"/>
            <w:noWrap/>
            <w:vAlign w:val="center"/>
            <w:hideMark/>
          </w:tcPr>
          <w:p w14:paraId="1761F7CE"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50</w:t>
            </w:r>
          </w:p>
        </w:tc>
        <w:tc>
          <w:tcPr>
            <w:tcW w:w="810" w:type="dxa"/>
            <w:shd w:val="clear" w:color="auto" w:fill="auto"/>
            <w:noWrap/>
            <w:vAlign w:val="center"/>
            <w:hideMark/>
          </w:tcPr>
          <w:p w14:paraId="246C546F"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34</w:t>
            </w:r>
          </w:p>
        </w:tc>
        <w:tc>
          <w:tcPr>
            <w:tcW w:w="810" w:type="dxa"/>
            <w:shd w:val="clear" w:color="auto" w:fill="auto"/>
            <w:noWrap/>
            <w:vAlign w:val="center"/>
            <w:hideMark/>
          </w:tcPr>
          <w:p w14:paraId="6AEFDB72"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60.7</w:t>
            </w:r>
          </w:p>
        </w:tc>
      </w:tr>
      <w:tr w:rsidR="007F7656" w:rsidRPr="007F7656" w14:paraId="52AC2A88" w14:textId="77777777" w:rsidTr="00587783">
        <w:trPr>
          <w:trHeight w:val="290"/>
        </w:trPr>
        <w:tc>
          <w:tcPr>
            <w:tcW w:w="2250" w:type="dxa"/>
            <w:tcBorders>
              <w:bottom w:val="single" w:sz="4" w:space="0" w:color="000000"/>
            </w:tcBorders>
            <w:shd w:val="clear" w:color="auto" w:fill="auto"/>
            <w:vAlign w:val="center"/>
            <w:hideMark/>
          </w:tcPr>
          <w:p w14:paraId="5AF3016D" w14:textId="77777777" w:rsidR="00D20E66" w:rsidRPr="007F7656" w:rsidRDefault="00D20E66" w:rsidP="0021266E">
            <w:pPr>
              <w:spacing w:after="0" w:line="276" w:lineRule="auto"/>
              <w:jc w:val="both"/>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 </w:t>
            </w:r>
          </w:p>
        </w:tc>
        <w:tc>
          <w:tcPr>
            <w:tcW w:w="1710" w:type="dxa"/>
            <w:tcBorders>
              <w:bottom w:val="single" w:sz="4" w:space="0" w:color="000000"/>
            </w:tcBorders>
            <w:shd w:val="clear" w:color="auto" w:fill="auto"/>
            <w:vAlign w:val="center"/>
            <w:hideMark/>
          </w:tcPr>
          <w:p w14:paraId="378A8911" w14:textId="77777777" w:rsidR="00D20E66" w:rsidRPr="007F7656" w:rsidRDefault="00D20E66" w:rsidP="0021266E">
            <w:pPr>
              <w:spacing w:after="0" w:line="276" w:lineRule="auto"/>
              <w:jc w:val="center"/>
              <w:rPr>
                <w:rFonts w:asciiTheme="majorBidi" w:eastAsia="Times New Roman" w:hAnsiTheme="majorBidi" w:cstheme="majorBidi"/>
                <w:i/>
                <w:iCs/>
                <w:sz w:val="18"/>
                <w:szCs w:val="18"/>
              </w:rPr>
            </w:pPr>
            <w:r w:rsidRPr="007F7656">
              <w:rPr>
                <w:rFonts w:asciiTheme="majorBidi" w:eastAsia="Times New Roman" w:hAnsiTheme="majorBidi" w:cstheme="majorBidi"/>
                <w:i/>
                <w:iCs/>
                <w:sz w:val="18"/>
                <w:szCs w:val="18"/>
              </w:rPr>
              <w:t>p-</w:t>
            </w:r>
            <w:r w:rsidRPr="007F7656">
              <w:rPr>
                <w:rFonts w:asciiTheme="majorBidi" w:eastAsia="Times New Roman" w:hAnsiTheme="majorBidi" w:cstheme="majorBidi"/>
                <w:sz w:val="18"/>
                <w:szCs w:val="18"/>
              </w:rPr>
              <w:t>Value</w:t>
            </w:r>
          </w:p>
        </w:tc>
        <w:tc>
          <w:tcPr>
            <w:tcW w:w="1620" w:type="dxa"/>
            <w:gridSpan w:val="2"/>
            <w:tcBorders>
              <w:bottom w:val="single" w:sz="4" w:space="0" w:color="000000"/>
            </w:tcBorders>
            <w:shd w:val="clear" w:color="auto" w:fill="auto"/>
            <w:noWrap/>
            <w:vAlign w:val="center"/>
            <w:hideMark/>
          </w:tcPr>
          <w:p w14:paraId="58B91C2E"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0.389</w:t>
            </w:r>
          </w:p>
        </w:tc>
        <w:tc>
          <w:tcPr>
            <w:tcW w:w="1710" w:type="dxa"/>
            <w:gridSpan w:val="2"/>
            <w:tcBorders>
              <w:bottom w:val="single" w:sz="4" w:space="0" w:color="000000"/>
            </w:tcBorders>
            <w:shd w:val="clear" w:color="auto" w:fill="auto"/>
            <w:noWrap/>
            <w:vAlign w:val="center"/>
            <w:hideMark/>
          </w:tcPr>
          <w:p w14:paraId="507AE3BB"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0.462</w:t>
            </w:r>
          </w:p>
        </w:tc>
        <w:tc>
          <w:tcPr>
            <w:tcW w:w="1620" w:type="dxa"/>
            <w:gridSpan w:val="2"/>
            <w:tcBorders>
              <w:bottom w:val="single" w:sz="4" w:space="0" w:color="000000"/>
            </w:tcBorders>
            <w:shd w:val="clear" w:color="auto" w:fill="auto"/>
            <w:noWrap/>
            <w:vAlign w:val="center"/>
            <w:hideMark/>
          </w:tcPr>
          <w:p w14:paraId="157F60AB"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0.06</w:t>
            </w:r>
          </w:p>
        </w:tc>
      </w:tr>
      <w:tr w:rsidR="007F7656" w:rsidRPr="007F7656" w14:paraId="5345B8DB" w14:textId="77777777" w:rsidTr="00587783">
        <w:trPr>
          <w:trHeight w:val="280"/>
        </w:trPr>
        <w:tc>
          <w:tcPr>
            <w:tcW w:w="2250" w:type="dxa"/>
            <w:tcBorders>
              <w:top w:val="single" w:sz="4" w:space="0" w:color="000000"/>
            </w:tcBorders>
            <w:shd w:val="clear" w:color="auto" w:fill="auto"/>
            <w:noWrap/>
            <w:vAlign w:val="center"/>
          </w:tcPr>
          <w:p w14:paraId="31E875E7" w14:textId="77777777" w:rsidR="00D20E66" w:rsidRPr="007F7656" w:rsidRDefault="00D20E66" w:rsidP="0021266E">
            <w:pPr>
              <w:spacing w:after="0" w:line="276" w:lineRule="auto"/>
              <w:jc w:val="both"/>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 xml:space="preserve">Age </w:t>
            </w:r>
          </w:p>
        </w:tc>
        <w:tc>
          <w:tcPr>
            <w:tcW w:w="1710" w:type="dxa"/>
            <w:tcBorders>
              <w:top w:val="single" w:sz="4" w:space="0" w:color="000000"/>
            </w:tcBorders>
            <w:shd w:val="clear" w:color="auto" w:fill="auto"/>
            <w:noWrap/>
            <w:vAlign w:val="center"/>
          </w:tcPr>
          <w:p w14:paraId="3DFFF83C"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less than 35</w:t>
            </w:r>
          </w:p>
        </w:tc>
        <w:tc>
          <w:tcPr>
            <w:tcW w:w="810" w:type="dxa"/>
            <w:tcBorders>
              <w:top w:val="single" w:sz="4" w:space="0" w:color="000000"/>
            </w:tcBorders>
            <w:shd w:val="clear" w:color="auto" w:fill="auto"/>
            <w:noWrap/>
            <w:vAlign w:val="center"/>
          </w:tcPr>
          <w:p w14:paraId="1FE2DD0E"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38</w:t>
            </w:r>
          </w:p>
        </w:tc>
        <w:tc>
          <w:tcPr>
            <w:tcW w:w="810" w:type="dxa"/>
            <w:tcBorders>
              <w:top w:val="single" w:sz="4" w:space="0" w:color="000000"/>
            </w:tcBorders>
            <w:shd w:val="clear" w:color="auto" w:fill="auto"/>
            <w:noWrap/>
            <w:vAlign w:val="center"/>
          </w:tcPr>
          <w:p w14:paraId="5D4731F5"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34.9</w:t>
            </w:r>
          </w:p>
        </w:tc>
        <w:tc>
          <w:tcPr>
            <w:tcW w:w="810" w:type="dxa"/>
            <w:tcBorders>
              <w:top w:val="single" w:sz="4" w:space="0" w:color="000000"/>
            </w:tcBorders>
            <w:shd w:val="clear" w:color="auto" w:fill="auto"/>
            <w:noWrap/>
            <w:vAlign w:val="center"/>
          </w:tcPr>
          <w:p w14:paraId="0F5475F9"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50</w:t>
            </w:r>
          </w:p>
        </w:tc>
        <w:tc>
          <w:tcPr>
            <w:tcW w:w="900" w:type="dxa"/>
            <w:tcBorders>
              <w:top w:val="single" w:sz="4" w:space="0" w:color="000000"/>
            </w:tcBorders>
            <w:shd w:val="clear" w:color="auto" w:fill="auto"/>
            <w:noWrap/>
            <w:vAlign w:val="center"/>
          </w:tcPr>
          <w:p w14:paraId="363E8F80"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45.9</w:t>
            </w:r>
          </w:p>
        </w:tc>
        <w:tc>
          <w:tcPr>
            <w:tcW w:w="810" w:type="dxa"/>
            <w:tcBorders>
              <w:top w:val="single" w:sz="4" w:space="0" w:color="000000"/>
            </w:tcBorders>
            <w:shd w:val="clear" w:color="auto" w:fill="auto"/>
            <w:noWrap/>
            <w:vAlign w:val="center"/>
          </w:tcPr>
          <w:p w14:paraId="1913E444"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61</w:t>
            </w:r>
          </w:p>
        </w:tc>
        <w:tc>
          <w:tcPr>
            <w:tcW w:w="810" w:type="dxa"/>
            <w:tcBorders>
              <w:top w:val="single" w:sz="4" w:space="0" w:color="000000"/>
            </w:tcBorders>
            <w:shd w:val="clear" w:color="auto" w:fill="auto"/>
            <w:noWrap/>
            <w:vAlign w:val="center"/>
          </w:tcPr>
          <w:p w14:paraId="2B28B21C"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56</w:t>
            </w:r>
          </w:p>
        </w:tc>
      </w:tr>
      <w:tr w:rsidR="007F7656" w:rsidRPr="007F7656" w14:paraId="0D3B5636" w14:textId="77777777" w:rsidTr="00587783">
        <w:trPr>
          <w:trHeight w:val="280"/>
        </w:trPr>
        <w:tc>
          <w:tcPr>
            <w:tcW w:w="2250" w:type="dxa"/>
            <w:shd w:val="clear" w:color="auto" w:fill="auto"/>
            <w:noWrap/>
            <w:vAlign w:val="center"/>
          </w:tcPr>
          <w:p w14:paraId="34D19DD9" w14:textId="77777777" w:rsidR="00D20E66" w:rsidRPr="007F7656" w:rsidRDefault="00D20E66" w:rsidP="0021266E">
            <w:pPr>
              <w:spacing w:after="0" w:line="276" w:lineRule="auto"/>
              <w:jc w:val="both"/>
              <w:rPr>
                <w:rFonts w:asciiTheme="majorBidi" w:eastAsia="Times New Roman" w:hAnsiTheme="majorBidi" w:cstheme="majorBidi"/>
                <w:sz w:val="18"/>
                <w:szCs w:val="18"/>
              </w:rPr>
            </w:pPr>
          </w:p>
        </w:tc>
        <w:tc>
          <w:tcPr>
            <w:tcW w:w="1710" w:type="dxa"/>
            <w:shd w:val="clear" w:color="auto" w:fill="auto"/>
            <w:noWrap/>
            <w:vAlign w:val="center"/>
          </w:tcPr>
          <w:p w14:paraId="68A16413"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over 35</w:t>
            </w:r>
          </w:p>
        </w:tc>
        <w:tc>
          <w:tcPr>
            <w:tcW w:w="810" w:type="dxa"/>
            <w:shd w:val="clear" w:color="auto" w:fill="auto"/>
            <w:noWrap/>
            <w:vAlign w:val="center"/>
          </w:tcPr>
          <w:p w14:paraId="1289095E"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46</w:t>
            </w:r>
          </w:p>
        </w:tc>
        <w:tc>
          <w:tcPr>
            <w:tcW w:w="810" w:type="dxa"/>
            <w:shd w:val="clear" w:color="auto" w:fill="auto"/>
            <w:noWrap/>
            <w:vAlign w:val="center"/>
          </w:tcPr>
          <w:p w14:paraId="2E39142C"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45.5</w:t>
            </w:r>
          </w:p>
        </w:tc>
        <w:tc>
          <w:tcPr>
            <w:tcW w:w="810" w:type="dxa"/>
            <w:shd w:val="clear" w:color="auto" w:fill="auto"/>
            <w:noWrap/>
            <w:vAlign w:val="center"/>
          </w:tcPr>
          <w:p w14:paraId="5EC7983A"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58</w:t>
            </w:r>
          </w:p>
        </w:tc>
        <w:tc>
          <w:tcPr>
            <w:tcW w:w="900" w:type="dxa"/>
            <w:shd w:val="clear" w:color="auto" w:fill="auto"/>
            <w:noWrap/>
            <w:vAlign w:val="center"/>
          </w:tcPr>
          <w:p w14:paraId="2A27C469"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57.4</w:t>
            </w:r>
          </w:p>
        </w:tc>
        <w:tc>
          <w:tcPr>
            <w:tcW w:w="810" w:type="dxa"/>
            <w:shd w:val="clear" w:color="auto" w:fill="auto"/>
            <w:noWrap/>
            <w:vAlign w:val="center"/>
          </w:tcPr>
          <w:p w14:paraId="52A6B3BB"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46</w:t>
            </w:r>
          </w:p>
        </w:tc>
        <w:tc>
          <w:tcPr>
            <w:tcW w:w="810" w:type="dxa"/>
            <w:shd w:val="clear" w:color="auto" w:fill="auto"/>
            <w:noWrap/>
            <w:vAlign w:val="center"/>
          </w:tcPr>
          <w:p w14:paraId="6049E0A0"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45.5</w:t>
            </w:r>
          </w:p>
        </w:tc>
      </w:tr>
      <w:tr w:rsidR="007F7656" w:rsidRPr="007F7656" w14:paraId="3E505B87" w14:textId="77777777" w:rsidTr="00587783">
        <w:trPr>
          <w:trHeight w:val="280"/>
        </w:trPr>
        <w:tc>
          <w:tcPr>
            <w:tcW w:w="2250" w:type="dxa"/>
            <w:tcBorders>
              <w:bottom w:val="single" w:sz="4" w:space="0" w:color="000000"/>
            </w:tcBorders>
            <w:shd w:val="clear" w:color="auto" w:fill="auto"/>
            <w:noWrap/>
            <w:vAlign w:val="center"/>
          </w:tcPr>
          <w:p w14:paraId="3867014D" w14:textId="77777777" w:rsidR="00D20E66" w:rsidRPr="007F7656" w:rsidRDefault="00D20E66" w:rsidP="0021266E">
            <w:pPr>
              <w:spacing w:after="0" w:line="276" w:lineRule="auto"/>
              <w:jc w:val="both"/>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 </w:t>
            </w:r>
          </w:p>
        </w:tc>
        <w:tc>
          <w:tcPr>
            <w:tcW w:w="1710" w:type="dxa"/>
            <w:tcBorders>
              <w:bottom w:val="single" w:sz="4" w:space="0" w:color="000000"/>
            </w:tcBorders>
            <w:shd w:val="clear" w:color="auto" w:fill="auto"/>
            <w:noWrap/>
            <w:vAlign w:val="center"/>
          </w:tcPr>
          <w:p w14:paraId="62A9BCD7"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i/>
                <w:iCs/>
                <w:sz w:val="18"/>
                <w:szCs w:val="18"/>
              </w:rPr>
              <w:t>p-</w:t>
            </w:r>
            <w:r w:rsidRPr="007F7656">
              <w:rPr>
                <w:rFonts w:asciiTheme="majorBidi" w:eastAsia="Times New Roman" w:hAnsiTheme="majorBidi" w:cstheme="majorBidi"/>
                <w:sz w:val="18"/>
                <w:szCs w:val="18"/>
              </w:rPr>
              <w:t>Value</w:t>
            </w:r>
          </w:p>
        </w:tc>
        <w:tc>
          <w:tcPr>
            <w:tcW w:w="810" w:type="dxa"/>
            <w:tcBorders>
              <w:bottom w:val="single" w:sz="4" w:space="0" w:color="000000"/>
            </w:tcBorders>
            <w:shd w:val="clear" w:color="auto" w:fill="auto"/>
            <w:noWrap/>
            <w:vAlign w:val="center"/>
          </w:tcPr>
          <w:p w14:paraId="24BE6417"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0.075</w:t>
            </w:r>
          </w:p>
        </w:tc>
        <w:tc>
          <w:tcPr>
            <w:tcW w:w="810" w:type="dxa"/>
            <w:tcBorders>
              <w:bottom w:val="single" w:sz="4" w:space="0" w:color="000000"/>
            </w:tcBorders>
            <w:shd w:val="clear" w:color="auto" w:fill="auto"/>
            <w:noWrap/>
            <w:vAlign w:val="center"/>
          </w:tcPr>
          <w:p w14:paraId="371293FB"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p>
        </w:tc>
        <w:tc>
          <w:tcPr>
            <w:tcW w:w="1710" w:type="dxa"/>
            <w:gridSpan w:val="2"/>
            <w:tcBorders>
              <w:bottom w:val="single" w:sz="4" w:space="0" w:color="000000"/>
            </w:tcBorders>
            <w:shd w:val="clear" w:color="auto" w:fill="auto"/>
            <w:noWrap/>
            <w:vAlign w:val="center"/>
          </w:tcPr>
          <w:p w14:paraId="5EC3E4EA" w14:textId="7C2C07B9" w:rsidR="00D20E66" w:rsidRPr="007F7656" w:rsidRDefault="00D20E66" w:rsidP="0021266E">
            <w:pPr>
              <w:spacing w:after="0" w:line="276" w:lineRule="auto"/>
              <w:jc w:val="center"/>
              <w:rPr>
                <w:rFonts w:asciiTheme="majorBidi" w:eastAsia="Times New Roman" w:hAnsiTheme="majorBidi" w:cstheme="majorBidi"/>
                <w:b/>
                <w:bCs/>
                <w:sz w:val="18"/>
                <w:szCs w:val="18"/>
              </w:rPr>
            </w:pPr>
            <w:r w:rsidRPr="007F7656">
              <w:rPr>
                <w:rFonts w:asciiTheme="majorBidi" w:eastAsia="Times New Roman" w:hAnsiTheme="majorBidi" w:cstheme="majorBidi"/>
                <w:b/>
                <w:bCs/>
                <w:sz w:val="18"/>
                <w:szCs w:val="18"/>
              </w:rPr>
              <w:t>0.026</w:t>
            </w:r>
          </w:p>
        </w:tc>
        <w:tc>
          <w:tcPr>
            <w:tcW w:w="1620" w:type="dxa"/>
            <w:gridSpan w:val="2"/>
            <w:tcBorders>
              <w:bottom w:val="single" w:sz="4" w:space="0" w:color="000000"/>
            </w:tcBorders>
            <w:shd w:val="clear" w:color="auto" w:fill="auto"/>
            <w:noWrap/>
            <w:vAlign w:val="center"/>
          </w:tcPr>
          <w:p w14:paraId="1C31D1F5"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0.085</w:t>
            </w:r>
          </w:p>
        </w:tc>
      </w:tr>
      <w:tr w:rsidR="007F7656" w:rsidRPr="007F7656" w14:paraId="17648BA3" w14:textId="77777777" w:rsidTr="00587783">
        <w:trPr>
          <w:trHeight w:val="280"/>
        </w:trPr>
        <w:tc>
          <w:tcPr>
            <w:tcW w:w="2250" w:type="dxa"/>
            <w:vMerge w:val="restart"/>
            <w:tcBorders>
              <w:top w:val="single" w:sz="4" w:space="0" w:color="000000"/>
            </w:tcBorders>
            <w:shd w:val="clear" w:color="auto" w:fill="auto"/>
            <w:noWrap/>
            <w:vAlign w:val="center"/>
            <w:hideMark/>
          </w:tcPr>
          <w:p w14:paraId="2BD41460" w14:textId="77777777" w:rsidR="00D20E66" w:rsidRPr="007F7656" w:rsidRDefault="00D20E66" w:rsidP="0021266E">
            <w:pPr>
              <w:spacing w:after="0" w:line="276" w:lineRule="auto"/>
              <w:jc w:val="both"/>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Job category</w:t>
            </w:r>
          </w:p>
        </w:tc>
        <w:tc>
          <w:tcPr>
            <w:tcW w:w="1710" w:type="dxa"/>
            <w:tcBorders>
              <w:top w:val="single" w:sz="4" w:space="0" w:color="000000"/>
            </w:tcBorders>
            <w:shd w:val="clear" w:color="auto" w:fill="auto"/>
            <w:noWrap/>
            <w:vAlign w:val="center"/>
            <w:hideMark/>
          </w:tcPr>
          <w:p w14:paraId="021E618C" w14:textId="2D7F0088"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Support staff</w:t>
            </w:r>
          </w:p>
        </w:tc>
        <w:tc>
          <w:tcPr>
            <w:tcW w:w="810" w:type="dxa"/>
            <w:tcBorders>
              <w:top w:val="single" w:sz="4" w:space="0" w:color="000000"/>
            </w:tcBorders>
            <w:shd w:val="clear" w:color="auto" w:fill="auto"/>
            <w:noWrap/>
            <w:vAlign w:val="center"/>
            <w:hideMark/>
          </w:tcPr>
          <w:p w14:paraId="6290F3F3"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24</w:t>
            </w:r>
          </w:p>
        </w:tc>
        <w:tc>
          <w:tcPr>
            <w:tcW w:w="810" w:type="dxa"/>
            <w:tcBorders>
              <w:top w:val="single" w:sz="4" w:space="0" w:color="000000"/>
            </w:tcBorders>
            <w:shd w:val="clear" w:color="auto" w:fill="auto"/>
            <w:noWrap/>
            <w:vAlign w:val="center"/>
            <w:hideMark/>
          </w:tcPr>
          <w:p w14:paraId="6DEBA50B"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68.6</w:t>
            </w:r>
          </w:p>
        </w:tc>
        <w:tc>
          <w:tcPr>
            <w:tcW w:w="810" w:type="dxa"/>
            <w:tcBorders>
              <w:top w:val="single" w:sz="4" w:space="0" w:color="000000"/>
            </w:tcBorders>
            <w:shd w:val="clear" w:color="auto" w:fill="auto"/>
            <w:noWrap/>
            <w:vAlign w:val="center"/>
            <w:hideMark/>
          </w:tcPr>
          <w:p w14:paraId="042779D5"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27</w:t>
            </w:r>
          </w:p>
        </w:tc>
        <w:tc>
          <w:tcPr>
            <w:tcW w:w="900" w:type="dxa"/>
            <w:tcBorders>
              <w:top w:val="single" w:sz="4" w:space="0" w:color="000000"/>
            </w:tcBorders>
            <w:shd w:val="clear" w:color="auto" w:fill="auto"/>
            <w:noWrap/>
            <w:vAlign w:val="center"/>
            <w:hideMark/>
          </w:tcPr>
          <w:p w14:paraId="797983F7"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77.1</w:t>
            </w:r>
          </w:p>
        </w:tc>
        <w:tc>
          <w:tcPr>
            <w:tcW w:w="810" w:type="dxa"/>
            <w:tcBorders>
              <w:top w:val="single" w:sz="4" w:space="0" w:color="000000"/>
            </w:tcBorders>
            <w:shd w:val="clear" w:color="auto" w:fill="auto"/>
            <w:noWrap/>
            <w:vAlign w:val="center"/>
            <w:hideMark/>
          </w:tcPr>
          <w:p w14:paraId="45C8A5A6"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24</w:t>
            </w:r>
          </w:p>
        </w:tc>
        <w:tc>
          <w:tcPr>
            <w:tcW w:w="810" w:type="dxa"/>
            <w:tcBorders>
              <w:top w:val="single" w:sz="4" w:space="0" w:color="000000"/>
            </w:tcBorders>
            <w:shd w:val="clear" w:color="auto" w:fill="auto"/>
            <w:noWrap/>
            <w:vAlign w:val="center"/>
            <w:hideMark/>
          </w:tcPr>
          <w:p w14:paraId="3D87A227"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68.6</w:t>
            </w:r>
          </w:p>
        </w:tc>
      </w:tr>
      <w:tr w:rsidR="007F7656" w:rsidRPr="007F7656" w14:paraId="11A2E347" w14:textId="77777777" w:rsidTr="00587783">
        <w:trPr>
          <w:trHeight w:val="290"/>
        </w:trPr>
        <w:tc>
          <w:tcPr>
            <w:tcW w:w="2250" w:type="dxa"/>
            <w:vMerge/>
            <w:shd w:val="clear" w:color="auto" w:fill="auto"/>
            <w:vAlign w:val="center"/>
            <w:hideMark/>
          </w:tcPr>
          <w:p w14:paraId="074D9B0C" w14:textId="77777777" w:rsidR="00D20E66" w:rsidRPr="007F7656" w:rsidRDefault="00D20E66" w:rsidP="0021266E">
            <w:pPr>
              <w:spacing w:after="0" w:line="276" w:lineRule="auto"/>
              <w:jc w:val="both"/>
              <w:rPr>
                <w:rFonts w:asciiTheme="majorBidi" w:eastAsia="Times New Roman" w:hAnsiTheme="majorBidi" w:cstheme="majorBidi"/>
                <w:sz w:val="18"/>
                <w:szCs w:val="18"/>
              </w:rPr>
            </w:pPr>
          </w:p>
        </w:tc>
        <w:tc>
          <w:tcPr>
            <w:tcW w:w="1710" w:type="dxa"/>
            <w:shd w:val="clear" w:color="auto" w:fill="auto"/>
            <w:noWrap/>
            <w:vAlign w:val="center"/>
            <w:hideMark/>
          </w:tcPr>
          <w:p w14:paraId="4741E2FE" w14:textId="7C443A0B"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Managers</w:t>
            </w:r>
          </w:p>
        </w:tc>
        <w:tc>
          <w:tcPr>
            <w:tcW w:w="810" w:type="dxa"/>
            <w:shd w:val="clear" w:color="auto" w:fill="auto"/>
            <w:noWrap/>
            <w:vAlign w:val="center"/>
            <w:hideMark/>
          </w:tcPr>
          <w:p w14:paraId="45ADF6A0"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11</w:t>
            </w:r>
          </w:p>
        </w:tc>
        <w:tc>
          <w:tcPr>
            <w:tcW w:w="810" w:type="dxa"/>
            <w:shd w:val="clear" w:color="auto" w:fill="auto"/>
            <w:noWrap/>
            <w:vAlign w:val="center"/>
            <w:hideMark/>
          </w:tcPr>
          <w:p w14:paraId="3DDB357C"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39.3</w:t>
            </w:r>
          </w:p>
        </w:tc>
        <w:tc>
          <w:tcPr>
            <w:tcW w:w="810" w:type="dxa"/>
            <w:shd w:val="clear" w:color="auto" w:fill="auto"/>
            <w:noWrap/>
            <w:vAlign w:val="center"/>
            <w:hideMark/>
          </w:tcPr>
          <w:p w14:paraId="1D9FBC54"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11</w:t>
            </w:r>
          </w:p>
        </w:tc>
        <w:tc>
          <w:tcPr>
            <w:tcW w:w="900" w:type="dxa"/>
            <w:shd w:val="clear" w:color="auto" w:fill="auto"/>
            <w:noWrap/>
            <w:vAlign w:val="center"/>
            <w:hideMark/>
          </w:tcPr>
          <w:p w14:paraId="140893AC"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39.3</w:t>
            </w:r>
          </w:p>
        </w:tc>
        <w:tc>
          <w:tcPr>
            <w:tcW w:w="810" w:type="dxa"/>
            <w:shd w:val="clear" w:color="auto" w:fill="auto"/>
            <w:noWrap/>
            <w:vAlign w:val="center"/>
            <w:hideMark/>
          </w:tcPr>
          <w:p w14:paraId="2815E6F5"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15</w:t>
            </w:r>
          </w:p>
        </w:tc>
        <w:tc>
          <w:tcPr>
            <w:tcW w:w="810" w:type="dxa"/>
            <w:shd w:val="clear" w:color="auto" w:fill="auto"/>
            <w:noWrap/>
            <w:vAlign w:val="center"/>
            <w:hideMark/>
          </w:tcPr>
          <w:p w14:paraId="6B4A04B1"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53.6</w:t>
            </w:r>
          </w:p>
        </w:tc>
      </w:tr>
      <w:tr w:rsidR="007F7656" w:rsidRPr="007F7656" w14:paraId="263216C5" w14:textId="77777777" w:rsidTr="00587783">
        <w:trPr>
          <w:trHeight w:val="288"/>
        </w:trPr>
        <w:tc>
          <w:tcPr>
            <w:tcW w:w="2250" w:type="dxa"/>
            <w:vMerge/>
            <w:shd w:val="clear" w:color="auto" w:fill="auto"/>
            <w:vAlign w:val="center"/>
            <w:hideMark/>
          </w:tcPr>
          <w:p w14:paraId="30F5E0B4" w14:textId="77777777" w:rsidR="00D20E66" w:rsidRPr="007F7656" w:rsidRDefault="00D20E66" w:rsidP="0021266E">
            <w:pPr>
              <w:spacing w:after="0" w:line="276" w:lineRule="auto"/>
              <w:jc w:val="both"/>
              <w:rPr>
                <w:rFonts w:asciiTheme="majorBidi" w:eastAsia="Times New Roman" w:hAnsiTheme="majorBidi" w:cstheme="majorBidi"/>
                <w:sz w:val="18"/>
                <w:szCs w:val="18"/>
              </w:rPr>
            </w:pPr>
          </w:p>
        </w:tc>
        <w:tc>
          <w:tcPr>
            <w:tcW w:w="1710" w:type="dxa"/>
            <w:shd w:val="clear" w:color="auto" w:fill="auto"/>
            <w:noWrap/>
            <w:vAlign w:val="center"/>
            <w:hideMark/>
          </w:tcPr>
          <w:p w14:paraId="63BA1EEC" w14:textId="6073B3A0"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Senior Staff</w:t>
            </w:r>
          </w:p>
        </w:tc>
        <w:tc>
          <w:tcPr>
            <w:tcW w:w="810" w:type="dxa"/>
            <w:shd w:val="clear" w:color="auto" w:fill="auto"/>
            <w:noWrap/>
            <w:vAlign w:val="center"/>
            <w:hideMark/>
          </w:tcPr>
          <w:p w14:paraId="76413326"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49</w:t>
            </w:r>
          </w:p>
        </w:tc>
        <w:tc>
          <w:tcPr>
            <w:tcW w:w="810" w:type="dxa"/>
            <w:shd w:val="clear" w:color="auto" w:fill="auto"/>
            <w:noWrap/>
            <w:vAlign w:val="center"/>
            <w:hideMark/>
          </w:tcPr>
          <w:p w14:paraId="3E543CD4"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33.3</w:t>
            </w:r>
          </w:p>
        </w:tc>
        <w:tc>
          <w:tcPr>
            <w:tcW w:w="810" w:type="dxa"/>
            <w:shd w:val="clear" w:color="auto" w:fill="auto"/>
            <w:noWrap/>
            <w:vAlign w:val="center"/>
            <w:hideMark/>
          </w:tcPr>
          <w:p w14:paraId="40AE6CF4"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70</w:t>
            </w:r>
          </w:p>
        </w:tc>
        <w:tc>
          <w:tcPr>
            <w:tcW w:w="900" w:type="dxa"/>
            <w:shd w:val="clear" w:color="auto" w:fill="auto"/>
            <w:noWrap/>
            <w:vAlign w:val="center"/>
            <w:hideMark/>
          </w:tcPr>
          <w:p w14:paraId="7E96A19B"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47.6</w:t>
            </w:r>
          </w:p>
        </w:tc>
        <w:tc>
          <w:tcPr>
            <w:tcW w:w="810" w:type="dxa"/>
            <w:shd w:val="clear" w:color="auto" w:fill="auto"/>
            <w:noWrap/>
            <w:vAlign w:val="center"/>
            <w:hideMark/>
          </w:tcPr>
          <w:p w14:paraId="73C2B6C2"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68</w:t>
            </w:r>
          </w:p>
        </w:tc>
        <w:tc>
          <w:tcPr>
            <w:tcW w:w="810" w:type="dxa"/>
            <w:shd w:val="clear" w:color="auto" w:fill="auto"/>
            <w:noWrap/>
            <w:vAlign w:val="center"/>
            <w:hideMark/>
          </w:tcPr>
          <w:p w14:paraId="0FEA2FA2"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46.3</w:t>
            </w:r>
          </w:p>
        </w:tc>
      </w:tr>
      <w:tr w:rsidR="007F7656" w:rsidRPr="007F7656" w14:paraId="026528EA" w14:textId="77777777" w:rsidTr="00587783">
        <w:trPr>
          <w:trHeight w:val="288"/>
        </w:trPr>
        <w:tc>
          <w:tcPr>
            <w:tcW w:w="2250" w:type="dxa"/>
            <w:tcBorders>
              <w:bottom w:val="single" w:sz="4" w:space="0" w:color="000000"/>
            </w:tcBorders>
            <w:shd w:val="clear" w:color="auto" w:fill="auto"/>
            <w:vAlign w:val="center"/>
            <w:hideMark/>
          </w:tcPr>
          <w:p w14:paraId="6AA050E4" w14:textId="77777777" w:rsidR="00D20E66" w:rsidRPr="007F7656" w:rsidRDefault="00D20E66" w:rsidP="0021266E">
            <w:pPr>
              <w:spacing w:after="0" w:line="276" w:lineRule="auto"/>
              <w:jc w:val="both"/>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 </w:t>
            </w:r>
          </w:p>
        </w:tc>
        <w:tc>
          <w:tcPr>
            <w:tcW w:w="1710" w:type="dxa"/>
            <w:tcBorders>
              <w:bottom w:val="single" w:sz="4" w:space="0" w:color="000000"/>
            </w:tcBorders>
            <w:shd w:val="clear" w:color="auto" w:fill="auto"/>
            <w:vAlign w:val="center"/>
            <w:hideMark/>
          </w:tcPr>
          <w:p w14:paraId="234C260D" w14:textId="77777777" w:rsidR="00D20E66" w:rsidRPr="007F7656" w:rsidRDefault="00D20E66" w:rsidP="0021266E">
            <w:pPr>
              <w:spacing w:after="0" w:line="276" w:lineRule="auto"/>
              <w:jc w:val="center"/>
              <w:rPr>
                <w:rFonts w:asciiTheme="majorBidi" w:eastAsia="Times New Roman" w:hAnsiTheme="majorBidi" w:cstheme="majorBidi"/>
                <w:i/>
                <w:iCs/>
                <w:sz w:val="18"/>
                <w:szCs w:val="18"/>
              </w:rPr>
            </w:pPr>
            <w:r w:rsidRPr="007F7656">
              <w:rPr>
                <w:rFonts w:asciiTheme="majorBidi" w:eastAsia="Times New Roman" w:hAnsiTheme="majorBidi" w:cstheme="majorBidi"/>
                <w:i/>
                <w:iCs/>
                <w:sz w:val="18"/>
                <w:szCs w:val="18"/>
              </w:rPr>
              <w:t>p-</w:t>
            </w:r>
            <w:r w:rsidRPr="007F7656">
              <w:rPr>
                <w:rFonts w:asciiTheme="majorBidi" w:eastAsia="Times New Roman" w:hAnsiTheme="majorBidi" w:cstheme="majorBidi"/>
                <w:sz w:val="18"/>
                <w:szCs w:val="18"/>
              </w:rPr>
              <w:t>Value</w:t>
            </w:r>
          </w:p>
        </w:tc>
        <w:tc>
          <w:tcPr>
            <w:tcW w:w="1620" w:type="dxa"/>
            <w:gridSpan w:val="2"/>
            <w:tcBorders>
              <w:bottom w:val="single" w:sz="4" w:space="0" w:color="000000"/>
            </w:tcBorders>
            <w:shd w:val="clear" w:color="auto" w:fill="auto"/>
            <w:noWrap/>
            <w:vAlign w:val="center"/>
            <w:hideMark/>
          </w:tcPr>
          <w:p w14:paraId="3B5C97CA" w14:textId="77777777" w:rsidR="00D20E66" w:rsidRPr="007F7656" w:rsidRDefault="00D20E66" w:rsidP="0021266E">
            <w:pPr>
              <w:spacing w:after="0" w:line="276" w:lineRule="auto"/>
              <w:jc w:val="center"/>
              <w:rPr>
                <w:rFonts w:asciiTheme="majorBidi" w:eastAsia="Times New Roman" w:hAnsiTheme="majorBidi" w:cstheme="majorBidi"/>
                <w:b/>
                <w:bCs/>
                <w:sz w:val="18"/>
                <w:szCs w:val="18"/>
              </w:rPr>
            </w:pPr>
            <w:r w:rsidRPr="007F7656">
              <w:rPr>
                <w:rFonts w:asciiTheme="majorBidi" w:eastAsia="Times New Roman" w:hAnsiTheme="majorBidi" w:cstheme="majorBidi"/>
                <w:b/>
                <w:bCs/>
                <w:sz w:val="18"/>
                <w:szCs w:val="18"/>
              </w:rPr>
              <w:t>0.001</w:t>
            </w:r>
          </w:p>
        </w:tc>
        <w:tc>
          <w:tcPr>
            <w:tcW w:w="1710" w:type="dxa"/>
            <w:gridSpan w:val="2"/>
            <w:tcBorders>
              <w:bottom w:val="single" w:sz="4" w:space="0" w:color="000000"/>
            </w:tcBorders>
            <w:shd w:val="clear" w:color="auto" w:fill="auto"/>
            <w:noWrap/>
            <w:vAlign w:val="center"/>
            <w:hideMark/>
          </w:tcPr>
          <w:p w14:paraId="6A37FCC4" w14:textId="77777777" w:rsidR="00D20E66" w:rsidRPr="007F7656" w:rsidRDefault="00D20E66" w:rsidP="0021266E">
            <w:pPr>
              <w:spacing w:after="0" w:line="276" w:lineRule="auto"/>
              <w:jc w:val="center"/>
              <w:rPr>
                <w:rFonts w:asciiTheme="majorBidi" w:eastAsia="Times New Roman" w:hAnsiTheme="majorBidi" w:cstheme="majorBidi"/>
                <w:b/>
                <w:bCs/>
                <w:sz w:val="18"/>
                <w:szCs w:val="18"/>
              </w:rPr>
            </w:pPr>
            <w:r w:rsidRPr="007F7656">
              <w:rPr>
                <w:rFonts w:asciiTheme="majorBidi" w:eastAsia="Times New Roman" w:hAnsiTheme="majorBidi" w:cstheme="majorBidi"/>
                <w:b/>
                <w:bCs/>
                <w:sz w:val="18"/>
                <w:szCs w:val="18"/>
              </w:rPr>
              <w:t>0.003</w:t>
            </w:r>
          </w:p>
        </w:tc>
        <w:tc>
          <w:tcPr>
            <w:tcW w:w="1620" w:type="dxa"/>
            <w:gridSpan w:val="2"/>
            <w:tcBorders>
              <w:bottom w:val="single" w:sz="4" w:space="0" w:color="000000"/>
            </w:tcBorders>
            <w:shd w:val="clear" w:color="auto" w:fill="auto"/>
            <w:noWrap/>
            <w:vAlign w:val="center"/>
            <w:hideMark/>
          </w:tcPr>
          <w:p w14:paraId="00E8E9FC"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0.057</w:t>
            </w:r>
          </w:p>
        </w:tc>
      </w:tr>
      <w:tr w:rsidR="007F7656" w:rsidRPr="007F7656" w14:paraId="3D253002" w14:textId="77777777" w:rsidTr="00587783">
        <w:trPr>
          <w:trHeight w:val="288"/>
        </w:trPr>
        <w:tc>
          <w:tcPr>
            <w:tcW w:w="2250" w:type="dxa"/>
            <w:vMerge w:val="restart"/>
            <w:tcBorders>
              <w:top w:val="single" w:sz="4" w:space="0" w:color="000000"/>
            </w:tcBorders>
            <w:shd w:val="clear" w:color="auto" w:fill="auto"/>
            <w:noWrap/>
            <w:vAlign w:val="center"/>
            <w:hideMark/>
          </w:tcPr>
          <w:p w14:paraId="7DDF4D9B" w14:textId="77777777" w:rsidR="00D20E66" w:rsidRPr="007F7656" w:rsidRDefault="00D20E66" w:rsidP="0021266E">
            <w:pPr>
              <w:spacing w:after="0" w:line="276" w:lineRule="auto"/>
              <w:jc w:val="both"/>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Education</w:t>
            </w:r>
          </w:p>
        </w:tc>
        <w:tc>
          <w:tcPr>
            <w:tcW w:w="1710" w:type="dxa"/>
            <w:tcBorders>
              <w:top w:val="single" w:sz="4" w:space="0" w:color="000000"/>
            </w:tcBorders>
            <w:shd w:val="clear" w:color="auto" w:fill="auto"/>
            <w:noWrap/>
            <w:vAlign w:val="center"/>
            <w:hideMark/>
          </w:tcPr>
          <w:p w14:paraId="7AB12C46" w14:textId="51BEF63D"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Illiterate</w:t>
            </w:r>
          </w:p>
        </w:tc>
        <w:tc>
          <w:tcPr>
            <w:tcW w:w="810" w:type="dxa"/>
            <w:tcBorders>
              <w:top w:val="single" w:sz="4" w:space="0" w:color="000000"/>
            </w:tcBorders>
            <w:shd w:val="clear" w:color="auto" w:fill="auto"/>
            <w:noWrap/>
            <w:vAlign w:val="center"/>
            <w:hideMark/>
          </w:tcPr>
          <w:p w14:paraId="79FC7FC6"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4</w:t>
            </w:r>
          </w:p>
        </w:tc>
        <w:tc>
          <w:tcPr>
            <w:tcW w:w="810" w:type="dxa"/>
            <w:tcBorders>
              <w:top w:val="single" w:sz="4" w:space="0" w:color="000000"/>
            </w:tcBorders>
            <w:shd w:val="clear" w:color="auto" w:fill="auto"/>
            <w:noWrap/>
            <w:vAlign w:val="center"/>
            <w:hideMark/>
          </w:tcPr>
          <w:p w14:paraId="66BEC2FE"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80</w:t>
            </w:r>
          </w:p>
        </w:tc>
        <w:tc>
          <w:tcPr>
            <w:tcW w:w="810" w:type="dxa"/>
            <w:tcBorders>
              <w:top w:val="single" w:sz="4" w:space="0" w:color="000000"/>
            </w:tcBorders>
            <w:shd w:val="clear" w:color="auto" w:fill="auto"/>
            <w:noWrap/>
            <w:vAlign w:val="center"/>
            <w:hideMark/>
          </w:tcPr>
          <w:p w14:paraId="3F4B720D"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3</w:t>
            </w:r>
          </w:p>
        </w:tc>
        <w:tc>
          <w:tcPr>
            <w:tcW w:w="900" w:type="dxa"/>
            <w:tcBorders>
              <w:top w:val="single" w:sz="4" w:space="0" w:color="000000"/>
            </w:tcBorders>
            <w:shd w:val="clear" w:color="auto" w:fill="auto"/>
            <w:noWrap/>
            <w:vAlign w:val="center"/>
            <w:hideMark/>
          </w:tcPr>
          <w:p w14:paraId="4C632627"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60</w:t>
            </w:r>
          </w:p>
        </w:tc>
        <w:tc>
          <w:tcPr>
            <w:tcW w:w="810" w:type="dxa"/>
            <w:tcBorders>
              <w:top w:val="single" w:sz="4" w:space="0" w:color="000000"/>
            </w:tcBorders>
            <w:shd w:val="clear" w:color="auto" w:fill="auto"/>
            <w:noWrap/>
            <w:vAlign w:val="center"/>
            <w:hideMark/>
          </w:tcPr>
          <w:p w14:paraId="12BB804F"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3</w:t>
            </w:r>
          </w:p>
        </w:tc>
        <w:tc>
          <w:tcPr>
            <w:tcW w:w="810" w:type="dxa"/>
            <w:tcBorders>
              <w:top w:val="single" w:sz="4" w:space="0" w:color="000000"/>
            </w:tcBorders>
            <w:shd w:val="clear" w:color="auto" w:fill="auto"/>
            <w:noWrap/>
            <w:vAlign w:val="center"/>
            <w:hideMark/>
          </w:tcPr>
          <w:p w14:paraId="3E361DE2"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60</w:t>
            </w:r>
          </w:p>
        </w:tc>
      </w:tr>
      <w:tr w:rsidR="007F7656" w:rsidRPr="007F7656" w14:paraId="27EE9EE9" w14:textId="77777777" w:rsidTr="00587783">
        <w:trPr>
          <w:trHeight w:val="290"/>
        </w:trPr>
        <w:tc>
          <w:tcPr>
            <w:tcW w:w="2250" w:type="dxa"/>
            <w:vMerge/>
            <w:shd w:val="clear" w:color="auto" w:fill="auto"/>
            <w:vAlign w:val="center"/>
            <w:hideMark/>
          </w:tcPr>
          <w:p w14:paraId="56AF8C73" w14:textId="77777777" w:rsidR="00D20E66" w:rsidRPr="007F7656" w:rsidRDefault="00D20E66" w:rsidP="0021266E">
            <w:pPr>
              <w:spacing w:after="0" w:line="276" w:lineRule="auto"/>
              <w:jc w:val="both"/>
              <w:rPr>
                <w:rFonts w:asciiTheme="majorBidi" w:eastAsia="Times New Roman" w:hAnsiTheme="majorBidi" w:cstheme="majorBidi"/>
                <w:sz w:val="18"/>
                <w:szCs w:val="18"/>
              </w:rPr>
            </w:pPr>
          </w:p>
        </w:tc>
        <w:tc>
          <w:tcPr>
            <w:tcW w:w="1710" w:type="dxa"/>
            <w:shd w:val="clear" w:color="auto" w:fill="auto"/>
            <w:noWrap/>
            <w:vAlign w:val="center"/>
            <w:hideMark/>
          </w:tcPr>
          <w:p w14:paraId="27ABFBCF"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School graduate</w:t>
            </w:r>
          </w:p>
        </w:tc>
        <w:tc>
          <w:tcPr>
            <w:tcW w:w="810" w:type="dxa"/>
            <w:shd w:val="clear" w:color="auto" w:fill="auto"/>
            <w:noWrap/>
            <w:vAlign w:val="center"/>
            <w:hideMark/>
          </w:tcPr>
          <w:p w14:paraId="0BE7FA7C"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16</w:t>
            </w:r>
          </w:p>
        </w:tc>
        <w:tc>
          <w:tcPr>
            <w:tcW w:w="810" w:type="dxa"/>
            <w:shd w:val="clear" w:color="auto" w:fill="auto"/>
            <w:noWrap/>
            <w:vAlign w:val="center"/>
            <w:hideMark/>
          </w:tcPr>
          <w:p w14:paraId="5D81290F"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66.7</w:t>
            </w:r>
          </w:p>
        </w:tc>
        <w:tc>
          <w:tcPr>
            <w:tcW w:w="810" w:type="dxa"/>
            <w:shd w:val="clear" w:color="auto" w:fill="auto"/>
            <w:noWrap/>
            <w:vAlign w:val="center"/>
            <w:hideMark/>
          </w:tcPr>
          <w:p w14:paraId="3F10FF43"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21</w:t>
            </w:r>
          </w:p>
        </w:tc>
        <w:tc>
          <w:tcPr>
            <w:tcW w:w="900" w:type="dxa"/>
            <w:shd w:val="clear" w:color="auto" w:fill="auto"/>
            <w:noWrap/>
            <w:vAlign w:val="center"/>
            <w:hideMark/>
          </w:tcPr>
          <w:p w14:paraId="0A1D8CE1"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87.5</w:t>
            </w:r>
          </w:p>
        </w:tc>
        <w:tc>
          <w:tcPr>
            <w:tcW w:w="810" w:type="dxa"/>
            <w:shd w:val="clear" w:color="auto" w:fill="auto"/>
            <w:noWrap/>
            <w:vAlign w:val="center"/>
            <w:hideMark/>
          </w:tcPr>
          <w:p w14:paraId="2AB2378E"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17</w:t>
            </w:r>
          </w:p>
        </w:tc>
        <w:tc>
          <w:tcPr>
            <w:tcW w:w="810" w:type="dxa"/>
            <w:shd w:val="clear" w:color="auto" w:fill="auto"/>
            <w:noWrap/>
            <w:vAlign w:val="center"/>
            <w:hideMark/>
          </w:tcPr>
          <w:p w14:paraId="120A15AF"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70.8</w:t>
            </w:r>
          </w:p>
        </w:tc>
      </w:tr>
      <w:tr w:rsidR="007F7656" w:rsidRPr="007F7656" w14:paraId="298E9F16" w14:textId="77777777" w:rsidTr="00587783">
        <w:trPr>
          <w:trHeight w:val="288"/>
        </w:trPr>
        <w:tc>
          <w:tcPr>
            <w:tcW w:w="2250" w:type="dxa"/>
            <w:vMerge/>
            <w:shd w:val="clear" w:color="auto" w:fill="auto"/>
            <w:vAlign w:val="center"/>
            <w:hideMark/>
          </w:tcPr>
          <w:p w14:paraId="08531D4D" w14:textId="77777777" w:rsidR="00D20E66" w:rsidRPr="007F7656" w:rsidRDefault="00D20E66" w:rsidP="0021266E">
            <w:pPr>
              <w:spacing w:after="0" w:line="276" w:lineRule="auto"/>
              <w:jc w:val="both"/>
              <w:rPr>
                <w:rFonts w:asciiTheme="majorBidi" w:eastAsia="Times New Roman" w:hAnsiTheme="majorBidi" w:cstheme="majorBidi"/>
                <w:sz w:val="18"/>
                <w:szCs w:val="18"/>
              </w:rPr>
            </w:pPr>
          </w:p>
        </w:tc>
        <w:tc>
          <w:tcPr>
            <w:tcW w:w="1710" w:type="dxa"/>
            <w:shd w:val="clear" w:color="auto" w:fill="auto"/>
            <w:noWrap/>
            <w:vAlign w:val="center"/>
            <w:hideMark/>
          </w:tcPr>
          <w:p w14:paraId="7797BF7A" w14:textId="25F95854"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bachelor</w:t>
            </w:r>
          </w:p>
        </w:tc>
        <w:tc>
          <w:tcPr>
            <w:tcW w:w="810" w:type="dxa"/>
            <w:shd w:val="clear" w:color="auto" w:fill="auto"/>
            <w:noWrap/>
            <w:vAlign w:val="center"/>
            <w:hideMark/>
          </w:tcPr>
          <w:p w14:paraId="1399A77B"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18</w:t>
            </w:r>
          </w:p>
        </w:tc>
        <w:tc>
          <w:tcPr>
            <w:tcW w:w="810" w:type="dxa"/>
            <w:shd w:val="clear" w:color="auto" w:fill="auto"/>
            <w:noWrap/>
            <w:vAlign w:val="center"/>
            <w:hideMark/>
          </w:tcPr>
          <w:p w14:paraId="08BACC6A"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30.5</w:t>
            </w:r>
          </w:p>
        </w:tc>
        <w:tc>
          <w:tcPr>
            <w:tcW w:w="810" w:type="dxa"/>
            <w:shd w:val="clear" w:color="auto" w:fill="auto"/>
            <w:noWrap/>
            <w:vAlign w:val="center"/>
            <w:hideMark/>
          </w:tcPr>
          <w:p w14:paraId="0140B0DD"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25</w:t>
            </w:r>
          </w:p>
        </w:tc>
        <w:tc>
          <w:tcPr>
            <w:tcW w:w="900" w:type="dxa"/>
            <w:shd w:val="clear" w:color="auto" w:fill="auto"/>
            <w:noWrap/>
            <w:vAlign w:val="center"/>
            <w:hideMark/>
          </w:tcPr>
          <w:p w14:paraId="29CDC429"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42.4</w:t>
            </w:r>
          </w:p>
        </w:tc>
        <w:tc>
          <w:tcPr>
            <w:tcW w:w="810" w:type="dxa"/>
            <w:shd w:val="clear" w:color="auto" w:fill="auto"/>
            <w:noWrap/>
            <w:vAlign w:val="center"/>
            <w:hideMark/>
          </w:tcPr>
          <w:p w14:paraId="55EB2360"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28</w:t>
            </w:r>
          </w:p>
        </w:tc>
        <w:tc>
          <w:tcPr>
            <w:tcW w:w="810" w:type="dxa"/>
            <w:shd w:val="clear" w:color="auto" w:fill="auto"/>
            <w:noWrap/>
            <w:vAlign w:val="center"/>
            <w:hideMark/>
          </w:tcPr>
          <w:p w14:paraId="38B8EDFC"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47.5</w:t>
            </w:r>
          </w:p>
        </w:tc>
      </w:tr>
      <w:tr w:rsidR="007F7656" w:rsidRPr="007F7656" w14:paraId="5093C32A" w14:textId="77777777" w:rsidTr="00587783">
        <w:trPr>
          <w:trHeight w:val="288"/>
        </w:trPr>
        <w:tc>
          <w:tcPr>
            <w:tcW w:w="2250" w:type="dxa"/>
            <w:vMerge/>
            <w:shd w:val="clear" w:color="auto" w:fill="auto"/>
            <w:vAlign w:val="center"/>
            <w:hideMark/>
          </w:tcPr>
          <w:p w14:paraId="5F79CDDB" w14:textId="77777777" w:rsidR="00D20E66" w:rsidRPr="007F7656" w:rsidRDefault="00D20E66" w:rsidP="0021266E">
            <w:pPr>
              <w:spacing w:after="0" w:line="276" w:lineRule="auto"/>
              <w:jc w:val="both"/>
              <w:rPr>
                <w:rFonts w:asciiTheme="majorBidi" w:eastAsia="Times New Roman" w:hAnsiTheme="majorBidi" w:cstheme="majorBidi"/>
                <w:sz w:val="18"/>
                <w:szCs w:val="18"/>
              </w:rPr>
            </w:pPr>
          </w:p>
        </w:tc>
        <w:tc>
          <w:tcPr>
            <w:tcW w:w="1710" w:type="dxa"/>
            <w:shd w:val="clear" w:color="auto" w:fill="auto"/>
            <w:noWrap/>
            <w:vAlign w:val="center"/>
            <w:hideMark/>
          </w:tcPr>
          <w:p w14:paraId="5EDB339B"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Master and PHD</w:t>
            </w:r>
          </w:p>
        </w:tc>
        <w:tc>
          <w:tcPr>
            <w:tcW w:w="810" w:type="dxa"/>
            <w:shd w:val="clear" w:color="auto" w:fill="auto"/>
            <w:noWrap/>
            <w:vAlign w:val="center"/>
            <w:hideMark/>
          </w:tcPr>
          <w:p w14:paraId="1A57B47A"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46</w:t>
            </w:r>
          </w:p>
        </w:tc>
        <w:tc>
          <w:tcPr>
            <w:tcW w:w="810" w:type="dxa"/>
            <w:shd w:val="clear" w:color="auto" w:fill="auto"/>
            <w:noWrap/>
            <w:vAlign w:val="center"/>
            <w:hideMark/>
          </w:tcPr>
          <w:p w14:paraId="31B366C4"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37.7</w:t>
            </w:r>
          </w:p>
        </w:tc>
        <w:tc>
          <w:tcPr>
            <w:tcW w:w="810" w:type="dxa"/>
            <w:shd w:val="clear" w:color="auto" w:fill="auto"/>
            <w:noWrap/>
            <w:vAlign w:val="center"/>
            <w:hideMark/>
          </w:tcPr>
          <w:p w14:paraId="4A7A3AC1"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59</w:t>
            </w:r>
          </w:p>
        </w:tc>
        <w:tc>
          <w:tcPr>
            <w:tcW w:w="900" w:type="dxa"/>
            <w:shd w:val="clear" w:color="auto" w:fill="auto"/>
            <w:noWrap/>
            <w:vAlign w:val="center"/>
            <w:hideMark/>
          </w:tcPr>
          <w:p w14:paraId="4E2CD7E0"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48.4</w:t>
            </w:r>
          </w:p>
        </w:tc>
        <w:tc>
          <w:tcPr>
            <w:tcW w:w="810" w:type="dxa"/>
            <w:shd w:val="clear" w:color="auto" w:fill="auto"/>
            <w:noWrap/>
            <w:vAlign w:val="center"/>
            <w:hideMark/>
          </w:tcPr>
          <w:p w14:paraId="29629D72"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59</w:t>
            </w:r>
          </w:p>
        </w:tc>
        <w:tc>
          <w:tcPr>
            <w:tcW w:w="810" w:type="dxa"/>
            <w:shd w:val="clear" w:color="auto" w:fill="auto"/>
            <w:noWrap/>
            <w:vAlign w:val="center"/>
            <w:hideMark/>
          </w:tcPr>
          <w:p w14:paraId="473ED590"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48.4</w:t>
            </w:r>
          </w:p>
        </w:tc>
      </w:tr>
      <w:tr w:rsidR="007F7656" w:rsidRPr="007F7656" w14:paraId="68DCDA57" w14:textId="77777777" w:rsidTr="00587783">
        <w:trPr>
          <w:trHeight w:val="288"/>
        </w:trPr>
        <w:tc>
          <w:tcPr>
            <w:tcW w:w="2250" w:type="dxa"/>
            <w:tcBorders>
              <w:bottom w:val="single" w:sz="4" w:space="0" w:color="000000"/>
            </w:tcBorders>
            <w:shd w:val="clear" w:color="auto" w:fill="auto"/>
            <w:vAlign w:val="center"/>
            <w:hideMark/>
          </w:tcPr>
          <w:p w14:paraId="4FB2F188" w14:textId="77777777" w:rsidR="00D20E66" w:rsidRPr="007F7656" w:rsidRDefault="00D20E66" w:rsidP="0021266E">
            <w:pPr>
              <w:spacing w:after="0" w:line="276" w:lineRule="auto"/>
              <w:jc w:val="both"/>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 </w:t>
            </w:r>
          </w:p>
        </w:tc>
        <w:tc>
          <w:tcPr>
            <w:tcW w:w="1710" w:type="dxa"/>
            <w:tcBorders>
              <w:bottom w:val="single" w:sz="4" w:space="0" w:color="000000"/>
            </w:tcBorders>
            <w:shd w:val="clear" w:color="auto" w:fill="auto"/>
            <w:vAlign w:val="center"/>
            <w:hideMark/>
          </w:tcPr>
          <w:p w14:paraId="1EE8CEFE" w14:textId="77777777" w:rsidR="00D20E66" w:rsidRPr="007F7656" w:rsidRDefault="00D20E66" w:rsidP="0021266E">
            <w:pPr>
              <w:spacing w:after="0" w:line="276" w:lineRule="auto"/>
              <w:jc w:val="center"/>
              <w:rPr>
                <w:rFonts w:asciiTheme="majorBidi" w:eastAsia="Times New Roman" w:hAnsiTheme="majorBidi" w:cstheme="majorBidi"/>
                <w:i/>
                <w:iCs/>
                <w:sz w:val="18"/>
                <w:szCs w:val="18"/>
              </w:rPr>
            </w:pPr>
            <w:r w:rsidRPr="007F7656">
              <w:rPr>
                <w:rFonts w:asciiTheme="majorBidi" w:eastAsia="Times New Roman" w:hAnsiTheme="majorBidi" w:cstheme="majorBidi"/>
                <w:i/>
                <w:iCs/>
                <w:sz w:val="18"/>
                <w:szCs w:val="18"/>
              </w:rPr>
              <w:t>p-</w:t>
            </w:r>
            <w:r w:rsidRPr="007F7656">
              <w:rPr>
                <w:rFonts w:asciiTheme="majorBidi" w:eastAsia="Times New Roman" w:hAnsiTheme="majorBidi" w:cstheme="majorBidi"/>
                <w:sz w:val="18"/>
                <w:szCs w:val="18"/>
              </w:rPr>
              <w:t>Value</w:t>
            </w:r>
          </w:p>
        </w:tc>
        <w:tc>
          <w:tcPr>
            <w:tcW w:w="1620" w:type="dxa"/>
            <w:gridSpan w:val="2"/>
            <w:tcBorders>
              <w:bottom w:val="single" w:sz="4" w:space="0" w:color="000000"/>
            </w:tcBorders>
            <w:shd w:val="clear" w:color="auto" w:fill="auto"/>
            <w:noWrap/>
            <w:vAlign w:val="center"/>
            <w:hideMark/>
          </w:tcPr>
          <w:p w14:paraId="64599EEB" w14:textId="77777777" w:rsidR="00D20E66" w:rsidRPr="007F7656" w:rsidRDefault="00D20E66" w:rsidP="0021266E">
            <w:pPr>
              <w:spacing w:after="0" w:line="276" w:lineRule="auto"/>
              <w:jc w:val="center"/>
              <w:rPr>
                <w:rFonts w:asciiTheme="majorBidi" w:eastAsia="Times New Roman" w:hAnsiTheme="majorBidi" w:cstheme="majorBidi"/>
                <w:b/>
                <w:bCs/>
                <w:sz w:val="18"/>
                <w:szCs w:val="18"/>
              </w:rPr>
            </w:pPr>
            <w:r w:rsidRPr="007F7656">
              <w:rPr>
                <w:rFonts w:asciiTheme="majorBidi" w:eastAsia="Times New Roman" w:hAnsiTheme="majorBidi" w:cstheme="majorBidi"/>
                <w:b/>
                <w:bCs/>
                <w:sz w:val="18"/>
                <w:szCs w:val="18"/>
              </w:rPr>
              <w:t>0.018</w:t>
            </w:r>
          </w:p>
        </w:tc>
        <w:tc>
          <w:tcPr>
            <w:tcW w:w="1710" w:type="dxa"/>
            <w:gridSpan w:val="2"/>
            <w:tcBorders>
              <w:bottom w:val="single" w:sz="4" w:space="0" w:color="000000"/>
            </w:tcBorders>
            <w:shd w:val="clear" w:color="auto" w:fill="auto"/>
            <w:noWrap/>
            <w:vAlign w:val="center"/>
            <w:hideMark/>
          </w:tcPr>
          <w:p w14:paraId="5D32837F"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0.200</w:t>
            </w:r>
          </w:p>
        </w:tc>
        <w:tc>
          <w:tcPr>
            <w:tcW w:w="1620" w:type="dxa"/>
            <w:gridSpan w:val="2"/>
            <w:tcBorders>
              <w:bottom w:val="single" w:sz="4" w:space="0" w:color="000000"/>
            </w:tcBorders>
            <w:shd w:val="clear" w:color="auto" w:fill="auto"/>
            <w:noWrap/>
            <w:vAlign w:val="center"/>
            <w:hideMark/>
          </w:tcPr>
          <w:p w14:paraId="75EB8F14"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0.206</w:t>
            </w:r>
          </w:p>
        </w:tc>
      </w:tr>
      <w:tr w:rsidR="007F7656" w:rsidRPr="007F7656" w14:paraId="0D088DDC" w14:textId="77777777" w:rsidTr="00587783">
        <w:trPr>
          <w:trHeight w:val="288"/>
        </w:trPr>
        <w:tc>
          <w:tcPr>
            <w:tcW w:w="2250" w:type="dxa"/>
            <w:vMerge w:val="restart"/>
            <w:tcBorders>
              <w:top w:val="single" w:sz="4" w:space="0" w:color="000000"/>
            </w:tcBorders>
            <w:shd w:val="clear" w:color="auto" w:fill="auto"/>
            <w:noWrap/>
            <w:vAlign w:val="center"/>
            <w:hideMark/>
          </w:tcPr>
          <w:p w14:paraId="7BB120FB" w14:textId="77777777" w:rsidR="00D20E66" w:rsidRPr="007F7656" w:rsidRDefault="00D20E66" w:rsidP="0021266E">
            <w:pPr>
              <w:spacing w:after="0" w:line="276" w:lineRule="auto"/>
              <w:jc w:val="both"/>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Marital status</w:t>
            </w:r>
          </w:p>
        </w:tc>
        <w:tc>
          <w:tcPr>
            <w:tcW w:w="1710" w:type="dxa"/>
            <w:tcBorders>
              <w:top w:val="single" w:sz="4" w:space="0" w:color="000000"/>
            </w:tcBorders>
            <w:shd w:val="clear" w:color="auto" w:fill="auto"/>
            <w:noWrap/>
            <w:vAlign w:val="center"/>
            <w:hideMark/>
          </w:tcPr>
          <w:p w14:paraId="554B342B" w14:textId="69BE6402"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Married</w:t>
            </w:r>
          </w:p>
        </w:tc>
        <w:tc>
          <w:tcPr>
            <w:tcW w:w="810" w:type="dxa"/>
            <w:tcBorders>
              <w:top w:val="single" w:sz="4" w:space="0" w:color="000000"/>
            </w:tcBorders>
            <w:shd w:val="clear" w:color="auto" w:fill="auto"/>
            <w:noWrap/>
            <w:vAlign w:val="center"/>
            <w:hideMark/>
          </w:tcPr>
          <w:p w14:paraId="411D408B"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75</w:t>
            </w:r>
          </w:p>
        </w:tc>
        <w:tc>
          <w:tcPr>
            <w:tcW w:w="810" w:type="dxa"/>
            <w:tcBorders>
              <w:top w:val="single" w:sz="4" w:space="0" w:color="000000"/>
            </w:tcBorders>
            <w:shd w:val="clear" w:color="auto" w:fill="auto"/>
            <w:noWrap/>
            <w:vAlign w:val="center"/>
            <w:hideMark/>
          </w:tcPr>
          <w:p w14:paraId="1A41F60E"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42.1</w:t>
            </w:r>
          </w:p>
        </w:tc>
        <w:tc>
          <w:tcPr>
            <w:tcW w:w="810" w:type="dxa"/>
            <w:tcBorders>
              <w:top w:val="single" w:sz="4" w:space="0" w:color="000000"/>
            </w:tcBorders>
            <w:shd w:val="clear" w:color="auto" w:fill="auto"/>
            <w:noWrap/>
            <w:vAlign w:val="center"/>
            <w:hideMark/>
          </w:tcPr>
          <w:p w14:paraId="6F893D97"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96</w:t>
            </w:r>
          </w:p>
        </w:tc>
        <w:tc>
          <w:tcPr>
            <w:tcW w:w="900" w:type="dxa"/>
            <w:tcBorders>
              <w:top w:val="single" w:sz="4" w:space="0" w:color="000000"/>
            </w:tcBorders>
            <w:shd w:val="clear" w:color="auto" w:fill="auto"/>
            <w:noWrap/>
            <w:vAlign w:val="center"/>
            <w:hideMark/>
          </w:tcPr>
          <w:p w14:paraId="7F0CC722"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53.9</w:t>
            </w:r>
          </w:p>
        </w:tc>
        <w:tc>
          <w:tcPr>
            <w:tcW w:w="810" w:type="dxa"/>
            <w:tcBorders>
              <w:top w:val="single" w:sz="4" w:space="0" w:color="000000"/>
            </w:tcBorders>
            <w:shd w:val="clear" w:color="auto" w:fill="auto"/>
            <w:noWrap/>
            <w:vAlign w:val="center"/>
            <w:hideMark/>
          </w:tcPr>
          <w:p w14:paraId="2840582B"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89</w:t>
            </w:r>
          </w:p>
        </w:tc>
        <w:tc>
          <w:tcPr>
            <w:tcW w:w="810" w:type="dxa"/>
            <w:tcBorders>
              <w:top w:val="single" w:sz="4" w:space="0" w:color="000000"/>
            </w:tcBorders>
            <w:shd w:val="clear" w:color="auto" w:fill="auto"/>
            <w:noWrap/>
            <w:vAlign w:val="center"/>
            <w:hideMark/>
          </w:tcPr>
          <w:p w14:paraId="478323FD"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50</w:t>
            </w:r>
          </w:p>
        </w:tc>
      </w:tr>
      <w:tr w:rsidR="007F7656" w:rsidRPr="007F7656" w14:paraId="0EFEF6FF" w14:textId="77777777" w:rsidTr="00587783">
        <w:trPr>
          <w:trHeight w:val="288"/>
        </w:trPr>
        <w:tc>
          <w:tcPr>
            <w:tcW w:w="2250" w:type="dxa"/>
            <w:vMerge/>
            <w:shd w:val="clear" w:color="auto" w:fill="auto"/>
            <w:vAlign w:val="center"/>
            <w:hideMark/>
          </w:tcPr>
          <w:p w14:paraId="1C36E872" w14:textId="77777777" w:rsidR="00D20E66" w:rsidRPr="007F7656" w:rsidRDefault="00D20E66" w:rsidP="0021266E">
            <w:pPr>
              <w:spacing w:after="0" w:line="276" w:lineRule="auto"/>
              <w:jc w:val="both"/>
              <w:rPr>
                <w:rFonts w:asciiTheme="majorBidi" w:eastAsia="Times New Roman" w:hAnsiTheme="majorBidi" w:cstheme="majorBidi"/>
                <w:sz w:val="18"/>
                <w:szCs w:val="18"/>
              </w:rPr>
            </w:pPr>
          </w:p>
        </w:tc>
        <w:tc>
          <w:tcPr>
            <w:tcW w:w="1710" w:type="dxa"/>
            <w:shd w:val="clear" w:color="auto" w:fill="auto"/>
            <w:noWrap/>
            <w:vAlign w:val="center"/>
            <w:hideMark/>
          </w:tcPr>
          <w:p w14:paraId="018027BF" w14:textId="480F843B"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Single</w:t>
            </w:r>
          </w:p>
        </w:tc>
        <w:tc>
          <w:tcPr>
            <w:tcW w:w="810" w:type="dxa"/>
            <w:shd w:val="clear" w:color="auto" w:fill="auto"/>
            <w:noWrap/>
            <w:vAlign w:val="center"/>
            <w:hideMark/>
          </w:tcPr>
          <w:p w14:paraId="2C81850F"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9</w:t>
            </w:r>
          </w:p>
        </w:tc>
        <w:tc>
          <w:tcPr>
            <w:tcW w:w="810" w:type="dxa"/>
            <w:shd w:val="clear" w:color="auto" w:fill="auto"/>
            <w:noWrap/>
            <w:vAlign w:val="center"/>
            <w:hideMark/>
          </w:tcPr>
          <w:p w14:paraId="7FDA4C8A"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28.1</w:t>
            </w:r>
          </w:p>
        </w:tc>
        <w:tc>
          <w:tcPr>
            <w:tcW w:w="810" w:type="dxa"/>
            <w:shd w:val="clear" w:color="auto" w:fill="auto"/>
            <w:noWrap/>
            <w:vAlign w:val="center"/>
            <w:hideMark/>
          </w:tcPr>
          <w:p w14:paraId="74B74965"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12</w:t>
            </w:r>
          </w:p>
        </w:tc>
        <w:tc>
          <w:tcPr>
            <w:tcW w:w="900" w:type="dxa"/>
            <w:shd w:val="clear" w:color="auto" w:fill="auto"/>
            <w:noWrap/>
            <w:vAlign w:val="center"/>
            <w:hideMark/>
          </w:tcPr>
          <w:p w14:paraId="3687A8A5"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37.5</w:t>
            </w:r>
          </w:p>
        </w:tc>
        <w:tc>
          <w:tcPr>
            <w:tcW w:w="810" w:type="dxa"/>
            <w:shd w:val="clear" w:color="auto" w:fill="auto"/>
            <w:noWrap/>
            <w:vAlign w:val="center"/>
            <w:hideMark/>
          </w:tcPr>
          <w:p w14:paraId="0D5D8CA6"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18</w:t>
            </w:r>
          </w:p>
        </w:tc>
        <w:tc>
          <w:tcPr>
            <w:tcW w:w="810" w:type="dxa"/>
            <w:shd w:val="clear" w:color="auto" w:fill="auto"/>
            <w:noWrap/>
            <w:vAlign w:val="center"/>
            <w:hideMark/>
          </w:tcPr>
          <w:p w14:paraId="58E97373"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56.3</w:t>
            </w:r>
          </w:p>
        </w:tc>
      </w:tr>
      <w:tr w:rsidR="007F7656" w:rsidRPr="007F7656" w14:paraId="78952A0B" w14:textId="77777777" w:rsidTr="00587783">
        <w:trPr>
          <w:trHeight w:val="290"/>
        </w:trPr>
        <w:tc>
          <w:tcPr>
            <w:tcW w:w="2250" w:type="dxa"/>
            <w:tcBorders>
              <w:bottom w:val="single" w:sz="4" w:space="0" w:color="000000"/>
            </w:tcBorders>
            <w:shd w:val="clear" w:color="auto" w:fill="auto"/>
            <w:vAlign w:val="center"/>
            <w:hideMark/>
          </w:tcPr>
          <w:p w14:paraId="66563D8C" w14:textId="77777777" w:rsidR="00D20E66" w:rsidRPr="007F7656" w:rsidRDefault="00D20E66" w:rsidP="0021266E">
            <w:pPr>
              <w:spacing w:after="0" w:line="276" w:lineRule="auto"/>
              <w:jc w:val="both"/>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 </w:t>
            </w:r>
          </w:p>
        </w:tc>
        <w:tc>
          <w:tcPr>
            <w:tcW w:w="1710" w:type="dxa"/>
            <w:tcBorders>
              <w:bottom w:val="single" w:sz="4" w:space="0" w:color="000000"/>
            </w:tcBorders>
            <w:shd w:val="clear" w:color="auto" w:fill="auto"/>
            <w:vAlign w:val="center"/>
            <w:hideMark/>
          </w:tcPr>
          <w:p w14:paraId="15840472" w14:textId="77777777" w:rsidR="00D20E66" w:rsidRPr="007F7656" w:rsidRDefault="00D20E66" w:rsidP="0021266E">
            <w:pPr>
              <w:spacing w:after="0" w:line="276" w:lineRule="auto"/>
              <w:jc w:val="center"/>
              <w:rPr>
                <w:rFonts w:asciiTheme="majorBidi" w:eastAsia="Times New Roman" w:hAnsiTheme="majorBidi" w:cstheme="majorBidi"/>
                <w:i/>
                <w:iCs/>
                <w:sz w:val="18"/>
                <w:szCs w:val="18"/>
              </w:rPr>
            </w:pPr>
            <w:r w:rsidRPr="007F7656">
              <w:rPr>
                <w:rFonts w:asciiTheme="majorBidi" w:eastAsia="Times New Roman" w:hAnsiTheme="majorBidi" w:cstheme="majorBidi"/>
                <w:i/>
                <w:iCs/>
                <w:sz w:val="18"/>
                <w:szCs w:val="18"/>
              </w:rPr>
              <w:t>p-</w:t>
            </w:r>
            <w:r w:rsidRPr="007F7656">
              <w:rPr>
                <w:rFonts w:asciiTheme="majorBidi" w:eastAsia="Times New Roman" w:hAnsiTheme="majorBidi" w:cstheme="majorBidi"/>
                <w:sz w:val="18"/>
                <w:szCs w:val="18"/>
              </w:rPr>
              <w:t>Value</w:t>
            </w:r>
          </w:p>
        </w:tc>
        <w:tc>
          <w:tcPr>
            <w:tcW w:w="1620" w:type="dxa"/>
            <w:gridSpan w:val="2"/>
            <w:tcBorders>
              <w:bottom w:val="single" w:sz="4" w:space="0" w:color="000000"/>
            </w:tcBorders>
            <w:shd w:val="clear" w:color="auto" w:fill="auto"/>
            <w:noWrap/>
            <w:vAlign w:val="center"/>
            <w:hideMark/>
          </w:tcPr>
          <w:p w14:paraId="04AB4210"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0.097</w:t>
            </w:r>
          </w:p>
        </w:tc>
        <w:tc>
          <w:tcPr>
            <w:tcW w:w="1710" w:type="dxa"/>
            <w:gridSpan w:val="2"/>
            <w:tcBorders>
              <w:bottom w:val="single" w:sz="4" w:space="0" w:color="000000"/>
            </w:tcBorders>
            <w:shd w:val="clear" w:color="auto" w:fill="auto"/>
            <w:noWrap/>
            <w:vAlign w:val="center"/>
            <w:hideMark/>
          </w:tcPr>
          <w:p w14:paraId="39121F94"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0.064</w:t>
            </w:r>
          </w:p>
        </w:tc>
        <w:tc>
          <w:tcPr>
            <w:tcW w:w="1620" w:type="dxa"/>
            <w:gridSpan w:val="2"/>
            <w:tcBorders>
              <w:bottom w:val="single" w:sz="4" w:space="0" w:color="000000"/>
            </w:tcBorders>
            <w:shd w:val="clear" w:color="auto" w:fill="auto"/>
            <w:noWrap/>
            <w:vAlign w:val="center"/>
            <w:hideMark/>
          </w:tcPr>
          <w:p w14:paraId="07523A59"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0.324</w:t>
            </w:r>
          </w:p>
        </w:tc>
      </w:tr>
      <w:tr w:rsidR="007F7656" w:rsidRPr="007F7656" w14:paraId="58B69314" w14:textId="77777777" w:rsidTr="00587783">
        <w:trPr>
          <w:trHeight w:val="290"/>
        </w:trPr>
        <w:tc>
          <w:tcPr>
            <w:tcW w:w="2250" w:type="dxa"/>
            <w:vMerge w:val="restart"/>
            <w:tcBorders>
              <w:top w:val="single" w:sz="4" w:space="0" w:color="000000"/>
            </w:tcBorders>
            <w:shd w:val="clear" w:color="auto" w:fill="auto"/>
            <w:noWrap/>
            <w:vAlign w:val="center"/>
            <w:hideMark/>
          </w:tcPr>
          <w:p w14:paraId="0D7ACD4D" w14:textId="77777777" w:rsidR="00D20E66" w:rsidRPr="007F7656" w:rsidRDefault="00D20E66" w:rsidP="0021266E">
            <w:pPr>
              <w:spacing w:after="0" w:line="276" w:lineRule="auto"/>
              <w:jc w:val="both"/>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Economic Status</w:t>
            </w:r>
          </w:p>
        </w:tc>
        <w:tc>
          <w:tcPr>
            <w:tcW w:w="1710" w:type="dxa"/>
            <w:tcBorders>
              <w:top w:val="single" w:sz="4" w:space="0" w:color="000000"/>
            </w:tcBorders>
            <w:shd w:val="clear" w:color="auto" w:fill="auto"/>
            <w:noWrap/>
            <w:vAlign w:val="center"/>
            <w:hideMark/>
          </w:tcPr>
          <w:p w14:paraId="3B22CCA1"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Poor</w:t>
            </w:r>
          </w:p>
        </w:tc>
        <w:tc>
          <w:tcPr>
            <w:tcW w:w="810" w:type="dxa"/>
            <w:tcBorders>
              <w:top w:val="single" w:sz="4" w:space="0" w:color="000000"/>
            </w:tcBorders>
            <w:shd w:val="clear" w:color="auto" w:fill="auto"/>
            <w:noWrap/>
            <w:vAlign w:val="center"/>
            <w:hideMark/>
          </w:tcPr>
          <w:p w14:paraId="4111052B"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26</w:t>
            </w:r>
          </w:p>
        </w:tc>
        <w:tc>
          <w:tcPr>
            <w:tcW w:w="810" w:type="dxa"/>
            <w:tcBorders>
              <w:top w:val="single" w:sz="4" w:space="0" w:color="000000"/>
            </w:tcBorders>
            <w:shd w:val="clear" w:color="auto" w:fill="auto"/>
            <w:noWrap/>
            <w:vAlign w:val="center"/>
            <w:hideMark/>
          </w:tcPr>
          <w:p w14:paraId="450023CE"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52</w:t>
            </w:r>
          </w:p>
        </w:tc>
        <w:tc>
          <w:tcPr>
            <w:tcW w:w="810" w:type="dxa"/>
            <w:tcBorders>
              <w:top w:val="single" w:sz="4" w:space="0" w:color="000000"/>
            </w:tcBorders>
            <w:shd w:val="clear" w:color="auto" w:fill="auto"/>
            <w:noWrap/>
            <w:vAlign w:val="center"/>
            <w:hideMark/>
          </w:tcPr>
          <w:p w14:paraId="316A5FDE"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33</w:t>
            </w:r>
          </w:p>
        </w:tc>
        <w:tc>
          <w:tcPr>
            <w:tcW w:w="900" w:type="dxa"/>
            <w:tcBorders>
              <w:top w:val="single" w:sz="4" w:space="0" w:color="000000"/>
            </w:tcBorders>
            <w:shd w:val="clear" w:color="auto" w:fill="auto"/>
            <w:noWrap/>
            <w:vAlign w:val="center"/>
            <w:hideMark/>
          </w:tcPr>
          <w:p w14:paraId="58EC8CCE"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66</w:t>
            </w:r>
          </w:p>
        </w:tc>
        <w:tc>
          <w:tcPr>
            <w:tcW w:w="810" w:type="dxa"/>
            <w:tcBorders>
              <w:top w:val="single" w:sz="4" w:space="0" w:color="000000"/>
            </w:tcBorders>
            <w:shd w:val="clear" w:color="auto" w:fill="auto"/>
            <w:noWrap/>
            <w:vAlign w:val="center"/>
            <w:hideMark/>
          </w:tcPr>
          <w:p w14:paraId="05E2ADC8"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32</w:t>
            </w:r>
          </w:p>
        </w:tc>
        <w:tc>
          <w:tcPr>
            <w:tcW w:w="810" w:type="dxa"/>
            <w:tcBorders>
              <w:top w:val="single" w:sz="4" w:space="0" w:color="000000"/>
            </w:tcBorders>
            <w:shd w:val="clear" w:color="auto" w:fill="auto"/>
            <w:noWrap/>
            <w:vAlign w:val="center"/>
            <w:hideMark/>
          </w:tcPr>
          <w:p w14:paraId="64317732"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64</w:t>
            </w:r>
          </w:p>
        </w:tc>
      </w:tr>
      <w:tr w:rsidR="007F7656" w:rsidRPr="007F7656" w14:paraId="170FAC1F" w14:textId="77777777" w:rsidTr="00587783">
        <w:trPr>
          <w:trHeight w:val="290"/>
        </w:trPr>
        <w:tc>
          <w:tcPr>
            <w:tcW w:w="2250" w:type="dxa"/>
            <w:vMerge/>
            <w:shd w:val="clear" w:color="auto" w:fill="auto"/>
            <w:vAlign w:val="center"/>
            <w:hideMark/>
          </w:tcPr>
          <w:p w14:paraId="6F353EE7" w14:textId="77777777" w:rsidR="00D20E66" w:rsidRPr="007F7656" w:rsidRDefault="00D20E66" w:rsidP="0021266E">
            <w:pPr>
              <w:spacing w:after="0" w:line="276" w:lineRule="auto"/>
              <w:jc w:val="both"/>
              <w:rPr>
                <w:rFonts w:asciiTheme="majorBidi" w:eastAsia="Times New Roman" w:hAnsiTheme="majorBidi" w:cstheme="majorBidi"/>
                <w:sz w:val="18"/>
                <w:szCs w:val="18"/>
              </w:rPr>
            </w:pPr>
          </w:p>
        </w:tc>
        <w:tc>
          <w:tcPr>
            <w:tcW w:w="1710" w:type="dxa"/>
            <w:shd w:val="clear" w:color="auto" w:fill="auto"/>
            <w:noWrap/>
            <w:vAlign w:val="center"/>
            <w:hideMark/>
          </w:tcPr>
          <w:p w14:paraId="68BB1F8C"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Good</w:t>
            </w:r>
          </w:p>
        </w:tc>
        <w:tc>
          <w:tcPr>
            <w:tcW w:w="810" w:type="dxa"/>
            <w:shd w:val="clear" w:color="auto" w:fill="auto"/>
            <w:noWrap/>
            <w:vAlign w:val="center"/>
            <w:hideMark/>
          </w:tcPr>
          <w:p w14:paraId="6DB632F8"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58</w:t>
            </w:r>
          </w:p>
        </w:tc>
        <w:tc>
          <w:tcPr>
            <w:tcW w:w="810" w:type="dxa"/>
            <w:shd w:val="clear" w:color="auto" w:fill="auto"/>
            <w:noWrap/>
            <w:vAlign w:val="center"/>
            <w:hideMark/>
          </w:tcPr>
          <w:p w14:paraId="01CE50A1"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36.3</w:t>
            </w:r>
          </w:p>
        </w:tc>
        <w:tc>
          <w:tcPr>
            <w:tcW w:w="810" w:type="dxa"/>
            <w:shd w:val="clear" w:color="auto" w:fill="auto"/>
            <w:noWrap/>
            <w:vAlign w:val="center"/>
            <w:hideMark/>
          </w:tcPr>
          <w:p w14:paraId="62F7DFC4"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75</w:t>
            </w:r>
          </w:p>
        </w:tc>
        <w:tc>
          <w:tcPr>
            <w:tcW w:w="900" w:type="dxa"/>
            <w:shd w:val="clear" w:color="auto" w:fill="auto"/>
            <w:noWrap/>
            <w:vAlign w:val="center"/>
            <w:hideMark/>
          </w:tcPr>
          <w:p w14:paraId="5A5053A5"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46.9</w:t>
            </w:r>
          </w:p>
        </w:tc>
        <w:tc>
          <w:tcPr>
            <w:tcW w:w="810" w:type="dxa"/>
            <w:shd w:val="clear" w:color="auto" w:fill="auto"/>
            <w:noWrap/>
            <w:vAlign w:val="center"/>
            <w:hideMark/>
          </w:tcPr>
          <w:p w14:paraId="56A5D1EF"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75</w:t>
            </w:r>
          </w:p>
        </w:tc>
        <w:tc>
          <w:tcPr>
            <w:tcW w:w="810" w:type="dxa"/>
            <w:shd w:val="clear" w:color="auto" w:fill="auto"/>
            <w:noWrap/>
            <w:vAlign w:val="center"/>
            <w:hideMark/>
          </w:tcPr>
          <w:p w14:paraId="3273945E"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46.9</w:t>
            </w:r>
          </w:p>
        </w:tc>
      </w:tr>
      <w:tr w:rsidR="007F7656" w:rsidRPr="007F7656" w14:paraId="51875BBC" w14:textId="77777777" w:rsidTr="00587783">
        <w:trPr>
          <w:trHeight w:val="290"/>
        </w:trPr>
        <w:tc>
          <w:tcPr>
            <w:tcW w:w="2250" w:type="dxa"/>
            <w:tcBorders>
              <w:bottom w:val="single" w:sz="4" w:space="0" w:color="000000"/>
            </w:tcBorders>
            <w:shd w:val="clear" w:color="auto" w:fill="auto"/>
            <w:noWrap/>
            <w:vAlign w:val="center"/>
            <w:hideMark/>
          </w:tcPr>
          <w:p w14:paraId="4F4AF029" w14:textId="77777777" w:rsidR="00D20E66" w:rsidRPr="007F7656" w:rsidRDefault="00D20E66" w:rsidP="0021266E">
            <w:pPr>
              <w:spacing w:after="0" w:line="276" w:lineRule="auto"/>
              <w:jc w:val="both"/>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lastRenderedPageBreak/>
              <w:t> </w:t>
            </w:r>
          </w:p>
        </w:tc>
        <w:tc>
          <w:tcPr>
            <w:tcW w:w="1710" w:type="dxa"/>
            <w:tcBorders>
              <w:bottom w:val="single" w:sz="4" w:space="0" w:color="000000"/>
            </w:tcBorders>
            <w:shd w:val="clear" w:color="auto" w:fill="auto"/>
            <w:vAlign w:val="center"/>
            <w:hideMark/>
          </w:tcPr>
          <w:p w14:paraId="08EC3901" w14:textId="77777777" w:rsidR="00D20E66" w:rsidRPr="007F7656" w:rsidRDefault="00D20E66" w:rsidP="0021266E">
            <w:pPr>
              <w:spacing w:after="0" w:line="276" w:lineRule="auto"/>
              <w:jc w:val="center"/>
              <w:rPr>
                <w:rFonts w:asciiTheme="majorBidi" w:eastAsia="Times New Roman" w:hAnsiTheme="majorBidi" w:cstheme="majorBidi"/>
                <w:i/>
                <w:iCs/>
                <w:sz w:val="18"/>
                <w:szCs w:val="18"/>
              </w:rPr>
            </w:pPr>
            <w:r w:rsidRPr="007F7656">
              <w:rPr>
                <w:rFonts w:asciiTheme="majorBidi" w:eastAsia="Times New Roman" w:hAnsiTheme="majorBidi" w:cstheme="majorBidi"/>
                <w:i/>
                <w:iCs/>
                <w:sz w:val="18"/>
                <w:szCs w:val="18"/>
              </w:rPr>
              <w:t>p-</w:t>
            </w:r>
            <w:r w:rsidRPr="007F7656">
              <w:rPr>
                <w:rFonts w:asciiTheme="majorBidi" w:eastAsia="Times New Roman" w:hAnsiTheme="majorBidi" w:cstheme="majorBidi"/>
                <w:sz w:val="18"/>
                <w:szCs w:val="18"/>
              </w:rPr>
              <w:t>Value</w:t>
            </w:r>
          </w:p>
        </w:tc>
        <w:tc>
          <w:tcPr>
            <w:tcW w:w="1620" w:type="dxa"/>
            <w:gridSpan w:val="2"/>
            <w:tcBorders>
              <w:bottom w:val="single" w:sz="4" w:space="0" w:color="000000"/>
            </w:tcBorders>
            <w:shd w:val="clear" w:color="auto" w:fill="auto"/>
            <w:noWrap/>
            <w:vAlign w:val="center"/>
            <w:hideMark/>
          </w:tcPr>
          <w:p w14:paraId="69538240" w14:textId="77777777" w:rsidR="00D20E66" w:rsidRPr="007F7656" w:rsidRDefault="00D20E66" w:rsidP="0021266E">
            <w:pPr>
              <w:spacing w:after="0" w:line="276" w:lineRule="auto"/>
              <w:jc w:val="center"/>
              <w:rPr>
                <w:rFonts w:asciiTheme="majorBidi" w:eastAsia="Times New Roman" w:hAnsiTheme="majorBidi" w:cstheme="majorBidi"/>
                <w:b/>
                <w:bCs/>
                <w:sz w:val="18"/>
                <w:szCs w:val="18"/>
              </w:rPr>
            </w:pPr>
            <w:r w:rsidRPr="007F7656">
              <w:rPr>
                <w:rFonts w:asciiTheme="majorBidi" w:eastAsia="Times New Roman" w:hAnsiTheme="majorBidi" w:cstheme="majorBidi"/>
                <w:b/>
                <w:bCs/>
                <w:sz w:val="18"/>
                <w:szCs w:val="18"/>
              </w:rPr>
              <w:t>0.035</w:t>
            </w:r>
          </w:p>
        </w:tc>
        <w:tc>
          <w:tcPr>
            <w:tcW w:w="1710" w:type="dxa"/>
            <w:gridSpan w:val="2"/>
            <w:tcBorders>
              <w:bottom w:val="single" w:sz="4" w:space="0" w:color="000000"/>
            </w:tcBorders>
            <w:shd w:val="clear" w:color="auto" w:fill="auto"/>
            <w:noWrap/>
            <w:vAlign w:val="center"/>
            <w:hideMark/>
          </w:tcPr>
          <w:p w14:paraId="43B8B581" w14:textId="77777777" w:rsidR="00D20E66" w:rsidRPr="007F7656" w:rsidRDefault="00D20E66" w:rsidP="0021266E">
            <w:pPr>
              <w:spacing w:after="0" w:line="276" w:lineRule="auto"/>
              <w:jc w:val="center"/>
              <w:rPr>
                <w:rFonts w:asciiTheme="majorBidi" w:eastAsia="Times New Roman" w:hAnsiTheme="majorBidi" w:cstheme="majorBidi"/>
                <w:b/>
                <w:bCs/>
                <w:sz w:val="18"/>
                <w:szCs w:val="18"/>
              </w:rPr>
            </w:pPr>
            <w:r w:rsidRPr="007F7656">
              <w:rPr>
                <w:rFonts w:asciiTheme="majorBidi" w:eastAsia="Times New Roman" w:hAnsiTheme="majorBidi" w:cstheme="majorBidi"/>
                <w:b/>
                <w:bCs/>
                <w:sz w:val="18"/>
                <w:szCs w:val="18"/>
              </w:rPr>
              <w:t>0.013</w:t>
            </w:r>
          </w:p>
        </w:tc>
        <w:tc>
          <w:tcPr>
            <w:tcW w:w="1620" w:type="dxa"/>
            <w:gridSpan w:val="2"/>
            <w:tcBorders>
              <w:bottom w:val="single" w:sz="4" w:space="0" w:color="000000"/>
            </w:tcBorders>
            <w:shd w:val="clear" w:color="auto" w:fill="auto"/>
            <w:noWrap/>
            <w:vAlign w:val="center"/>
            <w:hideMark/>
          </w:tcPr>
          <w:p w14:paraId="2017F10E" w14:textId="77777777" w:rsidR="00D20E66" w:rsidRPr="007F7656" w:rsidRDefault="00D20E66" w:rsidP="0021266E">
            <w:pPr>
              <w:spacing w:after="0" w:line="276" w:lineRule="auto"/>
              <w:jc w:val="center"/>
              <w:rPr>
                <w:rFonts w:asciiTheme="majorBidi" w:eastAsia="Times New Roman" w:hAnsiTheme="majorBidi" w:cstheme="majorBidi"/>
                <w:b/>
                <w:bCs/>
                <w:sz w:val="18"/>
                <w:szCs w:val="18"/>
              </w:rPr>
            </w:pPr>
            <w:r w:rsidRPr="007F7656">
              <w:rPr>
                <w:rFonts w:asciiTheme="majorBidi" w:eastAsia="Times New Roman" w:hAnsiTheme="majorBidi" w:cstheme="majorBidi"/>
                <w:b/>
                <w:bCs/>
                <w:sz w:val="18"/>
                <w:szCs w:val="18"/>
              </w:rPr>
              <w:t>0.025</w:t>
            </w:r>
          </w:p>
        </w:tc>
      </w:tr>
      <w:tr w:rsidR="007F7656" w:rsidRPr="007F7656" w14:paraId="7F78B9C6" w14:textId="77777777" w:rsidTr="00587783">
        <w:trPr>
          <w:trHeight w:val="290"/>
        </w:trPr>
        <w:tc>
          <w:tcPr>
            <w:tcW w:w="2250" w:type="dxa"/>
            <w:vMerge w:val="restart"/>
            <w:tcBorders>
              <w:top w:val="single" w:sz="4" w:space="0" w:color="000000"/>
            </w:tcBorders>
            <w:shd w:val="clear" w:color="auto" w:fill="auto"/>
            <w:noWrap/>
            <w:vAlign w:val="center"/>
            <w:hideMark/>
          </w:tcPr>
          <w:p w14:paraId="50D7173C" w14:textId="77777777" w:rsidR="00D20E66" w:rsidRPr="007F7656" w:rsidRDefault="00D20E66" w:rsidP="0021266E">
            <w:pPr>
              <w:spacing w:after="0" w:line="276" w:lineRule="auto"/>
              <w:jc w:val="both"/>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Type of residence</w:t>
            </w:r>
          </w:p>
        </w:tc>
        <w:tc>
          <w:tcPr>
            <w:tcW w:w="1710" w:type="dxa"/>
            <w:tcBorders>
              <w:top w:val="single" w:sz="4" w:space="0" w:color="000000"/>
            </w:tcBorders>
            <w:shd w:val="clear" w:color="auto" w:fill="auto"/>
            <w:noWrap/>
            <w:vAlign w:val="center"/>
            <w:hideMark/>
          </w:tcPr>
          <w:p w14:paraId="66A32DC3" w14:textId="1650ADAB"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Personal</w:t>
            </w:r>
          </w:p>
        </w:tc>
        <w:tc>
          <w:tcPr>
            <w:tcW w:w="810" w:type="dxa"/>
            <w:tcBorders>
              <w:top w:val="single" w:sz="4" w:space="0" w:color="000000"/>
            </w:tcBorders>
            <w:shd w:val="clear" w:color="auto" w:fill="auto"/>
            <w:noWrap/>
            <w:vAlign w:val="center"/>
            <w:hideMark/>
          </w:tcPr>
          <w:p w14:paraId="1D1F914C"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56</w:t>
            </w:r>
          </w:p>
        </w:tc>
        <w:tc>
          <w:tcPr>
            <w:tcW w:w="810" w:type="dxa"/>
            <w:tcBorders>
              <w:top w:val="single" w:sz="4" w:space="0" w:color="000000"/>
            </w:tcBorders>
            <w:shd w:val="clear" w:color="auto" w:fill="auto"/>
            <w:noWrap/>
            <w:vAlign w:val="center"/>
            <w:hideMark/>
          </w:tcPr>
          <w:p w14:paraId="5F15C2F6"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39.7</w:t>
            </w:r>
          </w:p>
        </w:tc>
        <w:tc>
          <w:tcPr>
            <w:tcW w:w="810" w:type="dxa"/>
            <w:tcBorders>
              <w:top w:val="single" w:sz="4" w:space="0" w:color="000000"/>
            </w:tcBorders>
            <w:shd w:val="clear" w:color="auto" w:fill="auto"/>
            <w:noWrap/>
            <w:vAlign w:val="center"/>
            <w:hideMark/>
          </w:tcPr>
          <w:p w14:paraId="60E5339A"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66</w:t>
            </w:r>
          </w:p>
        </w:tc>
        <w:tc>
          <w:tcPr>
            <w:tcW w:w="900" w:type="dxa"/>
            <w:tcBorders>
              <w:top w:val="single" w:sz="4" w:space="0" w:color="000000"/>
            </w:tcBorders>
            <w:shd w:val="clear" w:color="auto" w:fill="auto"/>
            <w:noWrap/>
            <w:vAlign w:val="center"/>
            <w:hideMark/>
          </w:tcPr>
          <w:p w14:paraId="53F98BC9"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46.8</w:t>
            </w:r>
          </w:p>
        </w:tc>
        <w:tc>
          <w:tcPr>
            <w:tcW w:w="810" w:type="dxa"/>
            <w:tcBorders>
              <w:top w:val="single" w:sz="4" w:space="0" w:color="000000"/>
            </w:tcBorders>
            <w:shd w:val="clear" w:color="auto" w:fill="auto"/>
            <w:noWrap/>
            <w:vAlign w:val="center"/>
            <w:hideMark/>
          </w:tcPr>
          <w:p w14:paraId="27748CFD"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68</w:t>
            </w:r>
          </w:p>
        </w:tc>
        <w:tc>
          <w:tcPr>
            <w:tcW w:w="810" w:type="dxa"/>
            <w:tcBorders>
              <w:top w:val="single" w:sz="4" w:space="0" w:color="000000"/>
            </w:tcBorders>
            <w:shd w:val="clear" w:color="auto" w:fill="auto"/>
            <w:noWrap/>
            <w:vAlign w:val="center"/>
            <w:hideMark/>
          </w:tcPr>
          <w:p w14:paraId="3D51A020"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48.2</w:t>
            </w:r>
          </w:p>
        </w:tc>
      </w:tr>
      <w:tr w:rsidR="007F7656" w:rsidRPr="007F7656" w14:paraId="6B1D4E64" w14:textId="77777777" w:rsidTr="00587783">
        <w:trPr>
          <w:trHeight w:val="290"/>
        </w:trPr>
        <w:tc>
          <w:tcPr>
            <w:tcW w:w="2250" w:type="dxa"/>
            <w:vMerge/>
            <w:shd w:val="clear" w:color="auto" w:fill="auto"/>
            <w:vAlign w:val="center"/>
            <w:hideMark/>
          </w:tcPr>
          <w:p w14:paraId="557BCC14" w14:textId="77777777" w:rsidR="00D20E66" w:rsidRPr="007F7656" w:rsidRDefault="00D20E66" w:rsidP="0021266E">
            <w:pPr>
              <w:spacing w:after="0" w:line="276" w:lineRule="auto"/>
              <w:jc w:val="both"/>
              <w:rPr>
                <w:rFonts w:asciiTheme="majorBidi" w:eastAsia="Times New Roman" w:hAnsiTheme="majorBidi" w:cstheme="majorBidi"/>
                <w:sz w:val="18"/>
                <w:szCs w:val="18"/>
              </w:rPr>
            </w:pPr>
          </w:p>
        </w:tc>
        <w:tc>
          <w:tcPr>
            <w:tcW w:w="1710" w:type="dxa"/>
            <w:shd w:val="clear" w:color="auto" w:fill="auto"/>
            <w:noWrap/>
            <w:vAlign w:val="center"/>
            <w:hideMark/>
          </w:tcPr>
          <w:p w14:paraId="0950EB84" w14:textId="3023319E"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Rented</w:t>
            </w:r>
          </w:p>
        </w:tc>
        <w:tc>
          <w:tcPr>
            <w:tcW w:w="810" w:type="dxa"/>
            <w:shd w:val="clear" w:color="auto" w:fill="auto"/>
            <w:noWrap/>
            <w:vAlign w:val="center"/>
            <w:hideMark/>
          </w:tcPr>
          <w:p w14:paraId="0067EF0A"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28</w:t>
            </w:r>
          </w:p>
        </w:tc>
        <w:tc>
          <w:tcPr>
            <w:tcW w:w="810" w:type="dxa"/>
            <w:shd w:val="clear" w:color="auto" w:fill="auto"/>
            <w:noWrap/>
            <w:vAlign w:val="center"/>
            <w:hideMark/>
          </w:tcPr>
          <w:p w14:paraId="2E49FC12"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40.6</w:t>
            </w:r>
          </w:p>
        </w:tc>
        <w:tc>
          <w:tcPr>
            <w:tcW w:w="810" w:type="dxa"/>
            <w:shd w:val="clear" w:color="auto" w:fill="auto"/>
            <w:noWrap/>
            <w:vAlign w:val="center"/>
            <w:hideMark/>
          </w:tcPr>
          <w:p w14:paraId="6758032C"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42</w:t>
            </w:r>
          </w:p>
        </w:tc>
        <w:tc>
          <w:tcPr>
            <w:tcW w:w="900" w:type="dxa"/>
            <w:shd w:val="clear" w:color="auto" w:fill="auto"/>
            <w:noWrap/>
            <w:vAlign w:val="center"/>
            <w:hideMark/>
          </w:tcPr>
          <w:p w14:paraId="367EA5E5"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60.9</w:t>
            </w:r>
          </w:p>
        </w:tc>
        <w:tc>
          <w:tcPr>
            <w:tcW w:w="810" w:type="dxa"/>
            <w:shd w:val="clear" w:color="auto" w:fill="auto"/>
            <w:noWrap/>
            <w:vAlign w:val="center"/>
            <w:hideMark/>
          </w:tcPr>
          <w:p w14:paraId="33AF2626"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39</w:t>
            </w:r>
          </w:p>
        </w:tc>
        <w:tc>
          <w:tcPr>
            <w:tcW w:w="810" w:type="dxa"/>
            <w:shd w:val="clear" w:color="auto" w:fill="auto"/>
            <w:noWrap/>
            <w:vAlign w:val="center"/>
            <w:hideMark/>
          </w:tcPr>
          <w:p w14:paraId="61573F1E"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56.5</w:t>
            </w:r>
          </w:p>
        </w:tc>
      </w:tr>
      <w:tr w:rsidR="007F7656" w:rsidRPr="007F7656" w14:paraId="45382B88" w14:textId="77777777" w:rsidTr="00587783">
        <w:trPr>
          <w:trHeight w:val="290"/>
        </w:trPr>
        <w:tc>
          <w:tcPr>
            <w:tcW w:w="2250" w:type="dxa"/>
            <w:tcBorders>
              <w:bottom w:val="single" w:sz="4" w:space="0" w:color="000000"/>
            </w:tcBorders>
            <w:shd w:val="clear" w:color="auto" w:fill="auto"/>
            <w:noWrap/>
            <w:vAlign w:val="center"/>
            <w:hideMark/>
          </w:tcPr>
          <w:p w14:paraId="5E555321" w14:textId="77777777" w:rsidR="00D20E66" w:rsidRPr="007F7656" w:rsidRDefault="00D20E66" w:rsidP="0021266E">
            <w:pPr>
              <w:spacing w:after="0" w:line="276" w:lineRule="auto"/>
              <w:jc w:val="both"/>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 </w:t>
            </w:r>
          </w:p>
        </w:tc>
        <w:tc>
          <w:tcPr>
            <w:tcW w:w="1710" w:type="dxa"/>
            <w:tcBorders>
              <w:bottom w:val="single" w:sz="4" w:space="0" w:color="000000"/>
            </w:tcBorders>
            <w:shd w:val="clear" w:color="auto" w:fill="auto"/>
            <w:vAlign w:val="center"/>
            <w:hideMark/>
          </w:tcPr>
          <w:p w14:paraId="0A62FC1F" w14:textId="77777777" w:rsidR="00D20E66" w:rsidRPr="007F7656" w:rsidRDefault="00D20E66" w:rsidP="0021266E">
            <w:pPr>
              <w:spacing w:after="0" w:line="276" w:lineRule="auto"/>
              <w:jc w:val="center"/>
              <w:rPr>
                <w:rFonts w:asciiTheme="majorBidi" w:eastAsia="Times New Roman" w:hAnsiTheme="majorBidi" w:cstheme="majorBidi"/>
                <w:i/>
                <w:iCs/>
                <w:sz w:val="18"/>
                <w:szCs w:val="18"/>
              </w:rPr>
            </w:pPr>
            <w:r w:rsidRPr="007F7656">
              <w:rPr>
                <w:rFonts w:asciiTheme="majorBidi" w:eastAsia="Times New Roman" w:hAnsiTheme="majorBidi" w:cstheme="majorBidi"/>
                <w:i/>
                <w:iCs/>
                <w:sz w:val="18"/>
                <w:szCs w:val="18"/>
              </w:rPr>
              <w:t>p-</w:t>
            </w:r>
            <w:r w:rsidRPr="007F7656">
              <w:rPr>
                <w:rFonts w:asciiTheme="majorBidi" w:eastAsia="Times New Roman" w:hAnsiTheme="majorBidi" w:cstheme="majorBidi"/>
                <w:sz w:val="18"/>
                <w:szCs w:val="18"/>
              </w:rPr>
              <w:t>Value</w:t>
            </w:r>
          </w:p>
        </w:tc>
        <w:tc>
          <w:tcPr>
            <w:tcW w:w="1620" w:type="dxa"/>
            <w:gridSpan w:val="2"/>
            <w:tcBorders>
              <w:bottom w:val="single" w:sz="4" w:space="0" w:color="000000"/>
            </w:tcBorders>
            <w:shd w:val="clear" w:color="auto" w:fill="auto"/>
            <w:noWrap/>
            <w:vAlign w:val="center"/>
            <w:hideMark/>
          </w:tcPr>
          <w:p w14:paraId="126EF0A7"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0.511</w:t>
            </w:r>
          </w:p>
        </w:tc>
        <w:tc>
          <w:tcPr>
            <w:tcW w:w="1710" w:type="dxa"/>
            <w:gridSpan w:val="2"/>
            <w:tcBorders>
              <w:bottom w:val="single" w:sz="4" w:space="0" w:color="000000"/>
            </w:tcBorders>
            <w:shd w:val="clear" w:color="auto" w:fill="auto"/>
            <w:noWrap/>
            <w:vAlign w:val="center"/>
            <w:hideMark/>
          </w:tcPr>
          <w:p w14:paraId="451303C5"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0.038</w:t>
            </w:r>
          </w:p>
        </w:tc>
        <w:tc>
          <w:tcPr>
            <w:tcW w:w="1620" w:type="dxa"/>
            <w:gridSpan w:val="2"/>
            <w:tcBorders>
              <w:bottom w:val="single" w:sz="4" w:space="0" w:color="000000"/>
            </w:tcBorders>
            <w:shd w:val="clear" w:color="auto" w:fill="auto"/>
            <w:noWrap/>
            <w:vAlign w:val="center"/>
            <w:hideMark/>
          </w:tcPr>
          <w:p w14:paraId="058472E3"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0.163</w:t>
            </w:r>
          </w:p>
        </w:tc>
      </w:tr>
      <w:tr w:rsidR="007F7656" w:rsidRPr="007F7656" w14:paraId="56501392" w14:textId="77777777" w:rsidTr="00587783">
        <w:trPr>
          <w:trHeight w:val="290"/>
        </w:trPr>
        <w:tc>
          <w:tcPr>
            <w:tcW w:w="2250" w:type="dxa"/>
            <w:vMerge w:val="restart"/>
            <w:tcBorders>
              <w:top w:val="single" w:sz="4" w:space="0" w:color="000000"/>
            </w:tcBorders>
            <w:shd w:val="clear" w:color="auto" w:fill="auto"/>
            <w:noWrap/>
            <w:vAlign w:val="center"/>
            <w:hideMark/>
          </w:tcPr>
          <w:p w14:paraId="16EADBAC" w14:textId="77777777" w:rsidR="00D20E66" w:rsidRPr="007F7656" w:rsidRDefault="00D20E66" w:rsidP="0021266E">
            <w:pPr>
              <w:spacing w:after="0" w:line="276" w:lineRule="auto"/>
              <w:jc w:val="both"/>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Loss of family member in childhood</w:t>
            </w:r>
          </w:p>
        </w:tc>
        <w:tc>
          <w:tcPr>
            <w:tcW w:w="1710" w:type="dxa"/>
            <w:tcBorders>
              <w:top w:val="single" w:sz="4" w:space="0" w:color="000000"/>
            </w:tcBorders>
            <w:shd w:val="clear" w:color="auto" w:fill="auto"/>
            <w:noWrap/>
            <w:vAlign w:val="center"/>
            <w:hideMark/>
          </w:tcPr>
          <w:p w14:paraId="4AFA121A"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Yes</w:t>
            </w:r>
          </w:p>
        </w:tc>
        <w:tc>
          <w:tcPr>
            <w:tcW w:w="810" w:type="dxa"/>
            <w:tcBorders>
              <w:top w:val="single" w:sz="4" w:space="0" w:color="000000"/>
            </w:tcBorders>
            <w:shd w:val="clear" w:color="auto" w:fill="auto"/>
            <w:noWrap/>
            <w:vAlign w:val="center"/>
            <w:hideMark/>
          </w:tcPr>
          <w:p w14:paraId="76954742"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23</w:t>
            </w:r>
          </w:p>
        </w:tc>
        <w:tc>
          <w:tcPr>
            <w:tcW w:w="810" w:type="dxa"/>
            <w:tcBorders>
              <w:top w:val="single" w:sz="4" w:space="0" w:color="000000"/>
            </w:tcBorders>
            <w:shd w:val="clear" w:color="auto" w:fill="auto"/>
            <w:noWrap/>
            <w:vAlign w:val="center"/>
            <w:hideMark/>
          </w:tcPr>
          <w:p w14:paraId="57DBAAAF"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39</w:t>
            </w:r>
          </w:p>
        </w:tc>
        <w:tc>
          <w:tcPr>
            <w:tcW w:w="810" w:type="dxa"/>
            <w:tcBorders>
              <w:top w:val="single" w:sz="4" w:space="0" w:color="000000"/>
            </w:tcBorders>
            <w:shd w:val="clear" w:color="auto" w:fill="auto"/>
            <w:noWrap/>
            <w:vAlign w:val="center"/>
            <w:hideMark/>
          </w:tcPr>
          <w:p w14:paraId="212FD138"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34</w:t>
            </w:r>
          </w:p>
        </w:tc>
        <w:tc>
          <w:tcPr>
            <w:tcW w:w="900" w:type="dxa"/>
            <w:tcBorders>
              <w:top w:val="single" w:sz="4" w:space="0" w:color="000000"/>
            </w:tcBorders>
            <w:shd w:val="clear" w:color="auto" w:fill="auto"/>
            <w:noWrap/>
            <w:vAlign w:val="center"/>
            <w:hideMark/>
          </w:tcPr>
          <w:p w14:paraId="427A1C6C"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57.6</w:t>
            </w:r>
          </w:p>
        </w:tc>
        <w:tc>
          <w:tcPr>
            <w:tcW w:w="810" w:type="dxa"/>
            <w:tcBorders>
              <w:top w:val="single" w:sz="4" w:space="0" w:color="000000"/>
            </w:tcBorders>
            <w:shd w:val="clear" w:color="auto" w:fill="auto"/>
            <w:noWrap/>
            <w:vAlign w:val="center"/>
            <w:hideMark/>
          </w:tcPr>
          <w:p w14:paraId="61A13539"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28</w:t>
            </w:r>
          </w:p>
        </w:tc>
        <w:tc>
          <w:tcPr>
            <w:tcW w:w="810" w:type="dxa"/>
            <w:tcBorders>
              <w:top w:val="single" w:sz="4" w:space="0" w:color="000000"/>
            </w:tcBorders>
            <w:shd w:val="clear" w:color="auto" w:fill="auto"/>
            <w:noWrap/>
            <w:vAlign w:val="center"/>
            <w:hideMark/>
          </w:tcPr>
          <w:p w14:paraId="0083AB52"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47.5</w:t>
            </w:r>
          </w:p>
        </w:tc>
      </w:tr>
      <w:tr w:rsidR="007F7656" w:rsidRPr="007F7656" w14:paraId="0EB633F8" w14:textId="77777777" w:rsidTr="00587783">
        <w:trPr>
          <w:trHeight w:val="290"/>
        </w:trPr>
        <w:tc>
          <w:tcPr>
            <w:tcW w:w="2250" w:type="dxa"/>
            <w:vMerge/>
            <w:shd w:val="clear" w:color="auto" w:fill="auto"/>
            <w:vAlign w:val="center"/>
            <w:hideMark/>
          </w:tcPr>
          <w:p w14:paraId="590BBD60" w14:textId="77777777" w:rsidR="00D20E66" w:rsidRPr="007F7656" w:rsidRDefault="00D20E66" w:rsidP="0021266E">
            <w:pPr>
              <w:spacing w:after="0" w:line="276" w:lineRule="auto"/>
              <w:jc w:val="both"/>
              <w:rPr>
                <w:rFonts w:asciiTheme="majorBidi" w:eastAsia="Times New Roman" w:hAnsiTheme="majorBidi" w:cstheme="majorBidi"/>
                <w:sz w:val="18"/>
                <w:szCs w:val="18"/>
              </w:rPr>
            </w:pPr>
          </w:p>
        </w:tc>
        <w:tc>
          <w:tcPr>
            <w:tcW w:w="1710" w:type="dxa"/>
            <w:shd w:val="clear" w:color="auto" w:fill="auto"/>
            <w:noWrap/>
            <w:vAlign w:val="center"/>
            <w:hideMark/>
          </w:tcPr>
          <w:p w14:paraId="326D026A"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No</w:t>
            </w:r>
          </w:p>
        </w:tc>
        <w:tc>
          <w:tcPr>
            <w:tcW w:w="810" w:type="dxa"/>
            <w:shd w:val="clear" w:color="auto" w:fill="auto"/>
            <w:noWrap/>
            <w:vAlign w:val="center"/>
            <w:hideMark/>
          </w:tcPr>
          <w:p w14:paraId="1B025DA0"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61</w:t>
            </w:r>
          </w:p>
        </w:tc>
        <w:tc>
          <w:tcPr>
            <w:tcW w:w="810" w:type="dxa"/>
            <w:shd w:val="clear" w:color="auto" w:fill="auto"/>
            <w:noWrap/>
            <w:vAlign w:val="center"/>
            <w:hideMark/>
          </w:tcPr>
          <w:p w14:paraId="44CE70AE"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40.4</w:t>
            </w:r>
          </w:p>
        </w:tc>
        <w:tc>
          <w:tcPr>
            <w:tcW w:w="810" w:type="dxa"/>
            <w:shd w:val="clear" w:color="auto" w:fill="auto"/>
            <w:noWrap/>
            <w:vAlign w:val="center"/>
            <w:hideMark/>
          </w:tcPr>
          <w:p w14:paraId="3EC5ADD6"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74</w:t>
            </w:r>
          </w:p>
        </w:tc>
        <w:tc>
          <w:tcPr>
            <w:tcW w:w="900" w:type="dxa"/>
            <w:shd w:val="clear" w:color="auto" w:fill="auto"/>
            <w:noWrap/>
            <w:vAlign w:val="center"/>
            <w:hideMark/>
          </w:tcPr>
          <w:p w14:paraId="40AAB06D"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49</w:t>
            </w:r>
          </w:p>
        </w:tc>
        <w:tc>
          <w:tcPr>
            <w:tcW w:w="810" w:type="dxa"/>
            <w:shd w:val="clear" w:color="auto" w:fill="auto"/>
            <w:noWrap/>
            <w:vAlign w:val="center"/>
            <w:hideMark/>
          </w:tcPr>
          <w:p w14:paraId="6F3F1C96"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79</w:t>
            </w:r>
          </w:p>
        </w:tc>
        <w:tc>
          <w:tcPr>
            <w:tcW w:w="810" w:type="dxa"/>
            <w:shd w:val="clear" w:color="auto" w:fill="auto"/>
            <w:noWrap/>
            <w:vAlign w:val="center"/>
            <w:hideMark/>
          </w:tcPr>
          <w:p w14:paraId="6338A246"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52.3</w:t>
            </w:r>
          </w:p>
        </w:tc>
      </w:tr>
      <w:tr w:rsidR="007F7656" w:rsidRPr="007F7656" w14:paraId="0E28B60C" w14:textId="77777777" w:rsidTr="00587783">
        <w:trPr>
          <w:trHeight w:val="290"/>
        </w:trPr>
        <w:tc>
          <w:tcPr>
            <w:tcW w:w="2250" w:type="dxa"/>
            <w:tcBorders>
              <w:bottom w:val="single" w:sz="4" w:space="0" w:color="000000"/>
            </w:tcBorders>
            <w:shd w:val="clear" w:color="auto" w:fill="auto"/>
            <w:noWrap/>
            <w:vAlign w:val="center"/>
            <w:hideMark/>
          </w:tcPr>
          <w:p w14:paraId="7EF47114" w14:textId="77777777" w:rsidR="00D20E66" w:rsidRPr="007F7656" w:rsidRDefault="00D20E66" w:rsidP="0021266E">
            <w:pPr>
              <w:spacing w:after="0" w:line="276" w:lineRule="auto"/>
              <w:jc w:val="both"/>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 </w:t>
            </w:r>
          </w:p>
        </w:tc>
        <w:tc>
          <w:tcPr>
            <w:tcW w:w="1710" w:type="dxa"/>
            <w:tcBorders>
              <w:bottom w:val="single" w:sz="4" w:space="0" w:color="000000"/>
            </w:tcBorders>
            <w:shd w:val="clear" w:color="auto" w:fill="auto"/>
            <w:vAlign w:val="center"/>
            <w:hideMark/>
          </w:tcPr>
          <w:p w14:paraId="02A3111E" w14:textId="77777777" w:rsidR="00D20E66" w:rsidRPr="007F7656" w:rsidRDefault="00D20E66" w:rsidP="0021266E">
            <w:pPr>
              <w:spacing w:after="0" w:line="276" w:lineRule="auto"/>
              <w:jc w:val="center"/>
              <w:rPr>
                <w:rFonts w:asciiTheme="majorBidi" w:eastAsia="Times New Roman" w:hAnsiTheme="majorBidi" w:cstheme="majorBidi"/>
                <w:i/>
                <w:iCs/>
                <w:sz w:val="18"/>
                <w:szCs w:val="18"/>
              </w:rPr>
            </w:pPr>
            <w:r w:rsidRPr="007F7656">
              <w:rPr>
                <w:rFonts w:asciiTheme="majorBidi" w:eastAsia="Times New Roman" w:hAnsiTheme="majorBidi" w:cstheme="majorBidi"/>
                <w:i/>
                <w:iCs/>
                <w:sz w:val="18"/>
                <w:szCs w:val="18"/>
              </w:rPr>
              <w:t>p-</w:t>
            </w:r>
            <w:r w:rsidRPr="007F7656">
              <w:rPr>
                <w:rFonts w:asciiTheme="majorBidi" w:eastAsia="Times New Roman" w:hAnsiTheme="majorBidi" w:cstheme="majorBidi"/>
                <w:sz w:val="18"/>
                <w:szCs w:val="18"/>
              </w:rPr>
              <w:t>Value</w:t>
            </w:r>
          </w:p>
        </w:tc>
        <w:tc>
          <w:tcPr>
            <w:tcW w:w="1620" w:type="dxa"/>
            <w:gridSpan w:val="2"/>
            <w:tcBorders>
              <w:bottom w:val="single" w:sz="4" w:space="0" w:color="000000"/>
            </w:tcBorders>
            <w:shd w:val="clear" w:color="auto" w:fill="auto"/>
            <w:noWrap/>
            <w:vAlign w:val="center"/>
            <w:hideMark/>
          </w:tcPr>
          <w:p w14:paraId="44D46153"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0.489</w:t>
            </w:r>
          </w:p>
        </w:tc>
        <w:tc>
          <w:tcPr>
            <w:tcW w:w="1710" w:type="dxa"/>
            <w:gridSpan w:val="2"/>
            <w:tcBorders>
              <w:bottom w:val="single" w:sz="4" w:space="0" w:color="000000"/>
            </w:tcBorders>
            <w:shd w:val="clear" w:color="auto" w:fill="auto"/>
            <w:noWrap/>
            <w:vAlign w:val="center"/>
            <w:hideMark/>
          </w:tcPr>
          <w:p w14:paraId="22A67430"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0.166</w:t>
            </w:r>
          </w:p>
        </w:tc>
        <w:tc>
          <w:tcPr>
            <w:tcW w:w="1620" w:type="dxa"/>
            <w:gridSpan w:val="2"/>
            <w:tcBorders>
              <w:bottom w:val="single" w:sz="4" w:space="0" w:color="000000"/>
            </w:tcBorders>
            <w:shd w:val="clear" w:color="auto" w:fill="auto"/>
            <w:noWrap/>
            <w:vAlign w:val="center"/>
            <w:hideMark/>
          </w:tcPr>
          <w:p w14:paraId="66C42768"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0.316</w:t>
            </w:r>
          </w:p>
        </w:tc>
      </w:tr>
      <w:tr w:rsidR="007F7656" w:rsidRPr="007F7656" w14:paraId="01B469B0" w14:textId="77777777" w:rsidTr="00587783">
        <w:trPr>
          <w:trHeight w:val="280"/>
        </w:trPr>
        <w:tc>
          <w:tcPr>
            <w:tcW w:w="2250" w:type="dxa"/>
            <w:vMerge w:val="restart"/>
            <w:tcBorders>
              <w:top w:val="single" w:sz="4" w:space="0" w:color="000000"/>
            </w:tcBorders>
            <w:shd w:val="clear" w:color="auto" w:fill="auto"/>
            <w:noWrap/>
            <w:vAlign w:val="center"/>
            <w:hideMark/>
          </w:tcPr>
          <w:p w14:paraId="4ADCA81A" w14:textId="77777777" w:rsidR="00D20E66" w:rsidRPr="007F7656" w:rsidRDefault="00D20E66" w:rsidP="0021266E">
            <w:pPr>
              <w:spacing w:after="0" w:line="276" w:lineRule="auto"/>
              <w:jc w:val="both"/>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General Health condition</w:t>
            </w:r>
          </w:p>
        </w:tc>
        <w:tc>
          <w:tcPr>
            <w:tcW w:w="1710" w:type="dxa"/>
            <w:tcBorders>
              <w:top w:val="single" w:sz="4" w:space="0" w:color="000000"/>
            </w:tcBorders>
            <w:shd w:val="clear" w:color="auto" w:fill="auto"/>
            <w:noWrap/>
            <w:vAlign w:val="center"/>
            <w:hideMark/>
          </w:tcPr>
          <w:p w14:paraId="0E29BAB3" w14:textId="5133529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good</w:t>
            </w:r>
          </w:p>
        </w:tc>
        <w:tc>
          <w:tcPr>
            <w:tcW w:w="810" w:type="dxa"/>
            <w:tcBorders>
              <w:top w:val="single" w:sz="4" w:space="0" w:color="000000"/>
            </w:tcBorders>
            <w:shd w:val="clear" w:color="auto" w:fill="auto"/>
            <w:noWrap/>
            <w:vAlign w:val="center"/>
            <w:hideMark/>
          </w:tcPr>
          <w:p w14:paraId="71EC22EA"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26</w:t>
            </w:r>
          </w:p>
        </w:tc>
        <w:tc>
          <w:tcPr>
            <w:tcW w:w="810" w:type="dxa"/>
            <w:tcBorders>
              <w:top w:val="single" w:sz="4" w:space="0" w:color="000000"/>
            </w:tcBorders>
            <w:shd w:val="clear" w:color="auto" w:fill="auto"/>
            <w:noWrap/>
            <w:vAlign w:val="center"/>
            <w:hideMark/>
          </w:tcPr>
          <w:p w14:paraId="0B046C90"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22.4</w:t>
            </w:r>
          </w:p>
        </w:tc>
        <w:tc>
          <w:tcPr>
            <w:tcW w:w="810" w:type="dxa"/>
            <w:tcBorders>
              <w:top w:val="single" w:sz="4" w:space="0" w:color="000000"/>
            </w:tcBorders>
            <w:shd w:val="clear" w:color="auto" w:fill="auto"/>
            <w:noWrap/>
            <w:vAlign w:val="center"/>
            <w:hideMark/>
          </w:tcPr>
          <w:p w14:paraId="43C58609"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41</w:t>
            </w:r>
          </w:p>
        </w:tc>
        <w:tc>
          <w:tcPr>
            <w:tcW w:w="900" w:type="dxa"/>
            <w:tcBorders>
              <w:top w:val="single" w:sz="4" w:space="0" w:color="000000"/>
            </w:tcBorders>
            <w:shd w:val="clear" w:color="auto" w:fill="auto"/>
            <w:noWrap/>
            <w:vAlign w:val="center"/>
            <w:hideMark/>
          </w:tcPr>
          <w:p w14:paraId="0BB3EA2E"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35.3</w:t>
            </w:r>
          </w:p>
        </w:tc>
        <w:tc>
          <w:tcPr>
            <w:tcW w:w="810" w:type="dxa"/>
            <w:tcBorders>
              <w:top w:val="single" w:sz="4" w:space="0" w:color="000000"/>
            </w:tcBorders>
            <w:shd w:val="clear" w:color="auto" w:fill="auto"/>
            <w:noWrap/>
            <w:vAlign w:val="center"/>
            <w:hideMark/>
          </w:tcPr>
          <w:p w14:paraId="102B9133"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47</w:t>
            </w:r>
          </w:p>
        </w:tc>
        <w:tc>
          <w:tcPr>
            <w:tcW w:w="810" w:type="dxa"/>
            <w:tcBorders>
              <w:top w:val="single" w:sz="4" w:space="0" w:color="000000"/>
            </w:tcBorders>
            <w:shd w:val="clear" w:color="auto" w:fill="auto"/>
            <w:noWrap/>
            <w:vAlign w:val="center"/>
            <w:hideMark/>
          </w:tcPr>
          <w:p w14:paraId="726E04A0"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40.5</w:t>
            </w:r>
          </w:p>
        </w:tc>
      </w:tr>
      <w:tr w:rsidR="007F7656" w:rsidRPr="007F7656" w14:paraId="34BA4AF2" w14:textId="77777777" w:rsidTr="00587783">
        <w:trPr>
          <w:trHeight w:val="280"/>
        </w:trPr>
        <w:tc>
          <w:tcPr>
            <w:tcW w:w="2250" w:type="dxa"/>
            <w:vMerge/>
            <w:shd w:val="clear" w:color="auto" w:fill="auto"/>
            <w:vAlign w:val="center"/>
            <w:hideMark/>
          </w:tcPr>
          <w:p w14:paraId="01472649" w14:textId="77777777" w:rsidR="00D20E66" w:rsidRPr="007F7656" w:rsidRDefault="00D20E66" w:rsidP="0021266E">
            <w:pPr>
              <w:spacing w:after="0" w:line="276" w:lineRule="auto"/>
              <w:jc w:val="both"/>
              <w:rPr>
                <w:rFonts w:asciiTheme="majorBidi" w:eastAsia="Times New Roman" w:hAnsiTheme="majorBidi" w:cstheme="majorBidi"/>
                <w:sz w:val="18"/>
                <w:szCs w:val="18"/>
              </w:rPr>
            </w:pPr>
          </w:p>
        </w:tc>
        <w:tc>
          <w:tcPr>
            <w:tcW w:w="1710" w:type="dxa"/>
            <w:shd w:val="clear" w:color="auto" w:fill="auto"/>
            <w:noWrap/>
            <w:vAlign w:val="center"/>
            <w:hideMark/>
          </w:tcPr>
          <w:p w14:paraId="21946B7B"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Fair</w:t>
            </w:r>
          </w:p>
        </w:tc>
        <w:tc>
          <w:tcPr>
            <w:tcW w:w="810" w:type="dxa"/>
            <w:shd w:val="clear" w:color="auto" w:fill="auto"/>
            <w:noWrap/>
            <w:vAlign w:val="center"/>
            <w:hideMark/>
          </w:tcPr>
          <w:p w14:paraId="55EC178E"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58</w:t>
            </w:r>
          </w:p>
        </w:tc>
        <w:tc>
          <w:tcPr>
            <w:tcW w:w="810" w:type="dxa"/>
            <w:shd w:val="clear" w:color="auto" w:fill="auto"/>
            <w:noWrap/>
            <w:vAlign w:val="center"/>
            <w:hideMark/>
          </w:tcPr>
          <w:p w14:paraId="5D509364"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61.7</w:t>
            </w:r>
          </w:p>
        </w:tc>
        <w:tc>
          <w:tcPr>
            <w:tcW w:w="810" w:type="dxa"/>
            <w:shd w:val="clear" w:color="auto" w:fill="auto"/>
            <w:noWrap/>
            <w:vAlign w:val="center"/>
            <w:hideMark/>
          </w:tcPr>
          <w:p w14:paraId="77333B97"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67</w:t>
            </w:r>
          </w:p>
        </w:tc>
        <w:tc>
          <w:tcPr>
            <w:tcW w:w="900" w:type="dxa"/>
            <w:shd w:val="clear" w:color="auto" w:fill="auto"/>
            <w:noWrap/>
            <w:vAlign w:val="center"/>
            <w:hideMark/>
          </w:tcPr>
          <w:p w14:paraId="03820F03"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71.3</w:t>
            </w:r>
          </w:p>
        </w:tc>
        <w:tc>
          <w:tcPr>
            <w:tcW w:w="810" w:type="dxa"/>
            <w:shd w:val="clear" w:color="auto" w:fill="auto"/>
            <w:noWrap/>
            <w:vAlign w:val="center"/>
            <w:hideMark/>
          </w:tcPr>
          <w:p w14:paraId="2F86A302"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60</w:t>
            </w:r>
          </w:p>
        </w:tc>
        <w:tc>
          <w:tcPr>
            <w:tcW w:w="810" w:type="dxa"/>
            <w:shd w:val="clear" w:color="auto" w:fill="auto"/>
            <w:noWrap/>
            <w:vAlign w:val="center"/>
            <w:hideMark/>
          </w:tcPr>
          <w:p w14:paraId="5B28510D"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63.8</w:t>
            </w:r>
          </w:p>
        </w:tc>
      </w:tr>
      <w:tr w:rsidR="007F7656" w:rsidRPr="007F7656" w14:paraId="5365CB24" w14:textId="77777777" w:rsidTr="00587783">
        <w:trPr>
          <w:trHeight w:val="288"/>
        </w:trPr>
        <w:tc>
          <w:tcPr>
            <w:tcW w:w="2250" w:type="dxa"/>
            <w:tcBorders>
              <w:bottom w:val="single" w:sz="4" w:space="0" w:color="000000"/>
            </w:tcBorders>
            <w:shd w:val="clear" w:color="auto" w:fill="auto"/>
            <w:noWrap/>
            <w:vAlign w:val="center"/>
            <w:hideMark/>
          </w:tcPr>
          <w:p w14:paraId="69D9FCFA" w14:textId="77777777" w:rsidR="00D20E66" w:rsidRPr="007F7656" w:rsidRDefault="00D20E66" w:rsidP="0021266E">
            <w:pPr>
              <w:spacing w:after="0" w:line="276" w:lineRule="auto"/>
              <w:jc w:val="both"/>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 </w:t>
            </w:r>
          </w:p>
        </w:tc>
        <w:tc>
          <w:tcPr>
            <w:tcW w:w="1710" w:type="dxa"/>
            <w:tcBorders>
              <w:bottom w:val="single" w:sz="4" w:space="0" w:color="000000"/>
            </w:tcBorders>
            <w:shd w:val="clear" w:color="auto" w:fill="auto"/>
            <w:vAlign w:val="center"/>
            <w:hideMark/>
          </w:tcPr>
          <w:p w14:paraId="6ACB0591" w14:textId="77777777" w:rsidR="00D20E66" w:rsidRPr="007F7656" w:rsidRDefault="00D20E66" w:rsidP="0021266E">
            <w:pPr>
              <w:spacing w:after="0" w:line="276" w:lineRule="auto"/>
              <w:jc w:val="center"/>
              <w:rPr>
                <w:rFonts w:asciiTheme="majorBidi" w:eastAsia="Times New Roman" w:hAnsiTheme="majorBidi" w:cstheme="majorBidi"/>
                <w:i/>
                <w:iCs/>
                <w:sz w:val="18"/>
                <w:szCs w:val="18"/>
              </w:rPr>
            </w:pPr>
            <w:r w:rsidRPr="007F7656">
              <w:rPr>
                <w:rFonts w:asciiTheme="majorBidi" w:eastAsia="Times New Roman" w:hAnsiTheme="majorBidi" w:cstheme="majorBidi"/>
                <w:i/>
                <w:iCs/>
                <w:sz w:val="18"/>
                <w:szCs w:val="18"/>
              </w:rPr>
              <w:t>p-</w:t>
            </w:r>
            <w:r w:rsidRPr="007F7656">
              <w:rPr>
                <w:rFonts w:asciiTheme="majorBidi" w:eastAsia="Times New Roman" w:hAnsiTheme="majorBidi" w:cstheme="majorBidi"/>
                <w:sz w:val="18"/>
                <w:szCs w:val="18"/>
              </w:rPr>
              <w:t>Value</w:t>
            </w:r>
          </w:p>
        </w:tc>
        <w:tc>
          <w:tcPr>
            <w:tcW w:w="1620" w:type="dxa"/>
            <w:gridSpan w:val="2"/>
            <w:tcBorders>
              <w:bottom w:val="single" w:sz="4" w:space="0" w:color="000000"/>
            </w:tcBorders>
            <w:shd w:val="clear" w:color="auto" w:fill="auto"/>
            <w:noWrap/>
            <w:vAlign w:val="center"/>
            <w:hideMark/>
          </w:tcPr>
          <w:p w14:paraId="09A18A75" w14:textId="77777777" w:rsidR="00D20E66" w:rsidRPr="007F7656" w:rsidRDefault="00D20E66" w:rsidP="0021266E">
            <w:pPr>
              <w:spacing w:after="0" w:line="276" w:lineRule="auto"/>
              <w:jc w:val="center"/>
              <w:rPr>
                <w:rFonts w:asciiTheme="majorBidi" w:eastAsia="Times New Roman" w:hAnsiTheme="majorBidi" w:cstheme="majorBidi"/>
                <w:b/>
                <w:bCs/>
                <w:sz w:val="18"/>
                <w:szCs w:val="18"/>
              </w:rPr>
            </w:pPr>
            <w:r w:rsidRPr="007F7656">
              <w:rPr>
                <w:rFonts w:asciiTheme="majorBidi" w:eastAsia="Times New Roman" w:hAnsiTheme="majorBidi" w:cstheme="majorBidi"/>
                <w:b/>
                <w:bCs/>
                <w:sz w:val="18"/>
                <w:szCs w:val="18"/>
              </w:rPr>
              <w:t>&lt;0.001</w:t>
            </w:r>
          </w:p>
        </w:tc>
        <w:tc>
          <w:tcPr>
            <w:tcW w:w="1710" w:type="dxa"/>
            <w:gridSpan w:val="2"/>
            <w:tcBorders>
              <w:bottom w:val="single" w:sz="4" w:space="0" w:color="000000"/>
            </w:tcBorders>
            <w:shd w:val="clear" w:color="auto" w:fill="auto"/>
            <w:noWrap/>
            <w:vAlign w:val="center"/>
            <w:hideMark/>
          </w:tcPr>
          <w:p w14:paraId="15496ADF" w14:textId="77777777" w:rsidR="00D20E66" w:rsidRPr="007F7656" w:rsidRDefault="00D20E66" w:rsidP="0021266E">
            <w:pPr>
              <w:spacing w:after="0" w:line="276" w:lineRule="auto"/>
              <w:jc w:val="center"/>
              <w:rPr>
                <w:rFonts w:asciiTheme="majorBidi" w:eastAsia="Times New Roman" w:hAnsiTheme="majorBidi" w:cstheme="majorBidi"/>
                <w:b/>
                <w:bCs/>
                <w:sz w:val="18"/>
                <w:szCs w:val="18"/>
              </w:rPr>
            </w:pPr>
            <w:r w:rsidRPr="007F7656">
              <w:rPr>
                <w:rFonts w:asciiTheme="majorBidi" w:eastAsia="Times New Roman" w:hAnsiTheme="majorBidi" w:cstheme="majorBidi"/>
                <w:b/>
                <w:bCs/>
                <w:sz w:val="18"/>
                <w:szCs w:val="18"/>
              </w:rPr>
              <w:t>&lt;0.001</w:t>
            </w:r>
          </w:p>
        </w:tc>
        <w:tc>
          <w:tcPr>
            <w:tcW w:w="1620" w:type="dxa"/>
            <w:gridSpan w:val="2"/>
            <w:tcBorders>
              <w:bottom w:val="single" w:sz="4" w:space="0" w:color="000000"/>
            </w:tcBorders>
            <w:shd w:val="clear" w:color="auto" w:fill="auto"/>
            <w:noWrap/>
            <w:vAlign w:val="center"/>
            <w:hideMark/>
          </w:tcPr>
          <w:p w14:paraId="3C95A19D" w14:textId="77777777" w:rsidR="00D20E66" w:rsidRPr="007F7656" w:rsidRDefault="00D20E66" w:rsidP="0021266E">
            <w:pPr>
              <w:spacing w:after="0" w:line="276" w:lineRule="auto"/>
              <w:jc w:val="center"/>
              <w:rPr>
                <w:rFonts w:asciiTheme="majorBidi" w:eastAsia="Times New Roman" w:hAnsiTheme="majorBidi" w:cstheme="majorBidi"/>
                <w:b/>
                <w:bCs/>
                <w:sz w:val="18"/>
                <w:szCs w:val="18"/>
              </w:rPr>
            </w:pPr>
            <w:r w:rsidRPr="007F7656">
              <w:rPr>
                <w:rFonts w:asciiTheme="majorBidi" w:eastAsia="Times New Roman" w:hAnsiTheme="majorBidi" w:cstheme="majorBidi"/>
                <w:b/>
                <w:bCs/>
                <w:sz w:val="18"/>
                <w:szCs w:val="18"/>
              </w:rPr>
              <w:t>&lt;0.001</w:t>
            </w:r>
          </w:p>
        </w:tc>
      </w:tr>
      <w:tr w:rsidR="007F7656" w:rsidRPr="007F7656" w14:paraId="0135387B" w14:textId="77777777" w:rsidTr="00587783">
        <w:trPr>
          <w:trHeight w:val="288"/>
        </w:trPr>
        <w:tc>
          <w:tcPr>
            <w:tcW w:w="2250" w:type="dxa"/>
            <w:vMerge w:val="restart"/>
            <w:tcBorders>
              <w:top w:val="single" w:sz="4" w:space="0" w:color="000000"/>
            </w:tcBorders>
            <w:shd w:val="clear" w:color="auto" w:fill="auto"/>
            <w:noWrap/>
            <w:vAlign w:val="center"/>
            <w:hideMark/>
          </w:tcPr>
          <w:p w14:paraId="032F0C62" w14:textId="77777777" w:rsidR="00D20E66" w:rsidRPr="007F7656" w:rsidRDefault="00D20E66" w:rsidP="0021266E">
            <w:pPr>
              <w:spacing w:after="0" w:line="276" w:lineRule="auto"/>
              <w:jc w:val="both"/>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Concern about food shortage</w:t>
            </w:r>
          </w:p>
        </w:tc>
        <w:tc>
          <w:tcPr>
            <w:tcW w:w="1710" w:type="dxa"/>
            <w:tcBorders>
              <w:top w:val="single" w:sz="4" w:space="0" w:color="000000"/>
            </w:tcBorders>
            <w:shd w:val="clear" w:color="auto" w:fill="auto"/>
            <w:noWrap/>
            <w:vAlign w:val="center"/>
            <w:hideMark/>
          </w:tcPr>
          <w:p w14:paraId="3EFAB915"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Yes</w:t>
            </w:r>
          </w:p>
        </w:tc>
        <w:tc>
          <w:tcPr>
            <w:tcW w:w="810" w:type="dxa"/>
            <w:tcBorders>
              <w:top w:val="single" w:sz="4" w:space="0" w:color="000000"/>
            </w:tcBorders>
            <w:shd w:val="clear" w:color="auto" w:fill="auto"/>
            <w:noWrap/>
            <w:vAlign w:val="center"/>
            <w:hideMark/>
          </w:tcPr>
          <w:p w14:paraId="339B3E49"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73</w:t>
            </w:r>
          </w:p>
        </w:tc>
        <w:tc>
          <w:tcPr>
            <w:tcW w:w="810" w:type="dxa"/>
            <w:tcBorders>
              <w:top w:val="single" w:sz="4" w:space="0" w:color="000000"/>
            </w:tcBorders>
            <w:shd w:val="clear" w:color="auto" w:fill="auto"/>
            <w:noWrap/>
            <w:vAlign w:val="center"/>
            <w:hideMark/>
          </w:tcPr>
          <w:p w14:paraId="65B15753"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43.2</w:t>
            </w:r>
          </w:p>
        </w:tc>
        <w:tc>
          <w:tcPr>
            <w:tcW w:w="810" w:type="dxa"/>
            <w:tcBorders>
              <w:top w:val="single" w:sz="4" w:space="0" w:color="000000"/>
            </w:tcBorders>
            <w:shd w:val="clear" w:color="auto" w:fill="auto"/>
            <w:noWrap/>
            <w:vAlign w:val="center"/>
            <w:hideMark/>
          </w:tcPr>
          <w:p w14:paraId="5F6FFF11"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94</w:t>
            </w:r>
          </w:p>
        </w:tc>
        <w:tc>
          <w:tcPr>
            <w:tcW w:w="900" w:type="dxa"/>
            <w:tcBorders>
              <w:top w:val="single" w:sz="4" w:space="0" w:color="000000"/>
            </w:tcBorders>
            <w:shd w:val="clear" w:color="auto" w:fill="auto"/>
            <w:noWrap/>
            <w:vAlign w:val="center"/>
            <w:hideMark/>
          </w:tcPr>
          <w:p w14:paraId="669908F0"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55.6</w:t>
            </w:r>
          </w:p>
        </w:tc>
        <w:tc>
          <w:tcPr>
            <w:tcW w:w="810" w:type="dxa"/>
            <w:tcBorders>
              <w:top w:val="single" w:sz="4" w:space="0" w:color="000000"/>
            </w:tcBorders>
            <w:shd w:val="clear" w:color="auto" w:fill="auto"/>
            <w:noWrap/>
            <w:vAlign w:val="center"/>
            <w:hideMark/>
          </w:tcPr>
          <w:p w14:paraId="17F8D042"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94</w:t>
            </w:r>
          </w:p>
        </w:tc>
        <w:tc>
          <w:tcPr>
            <w:tcW w:w="810" w:type="dxa"/>
            <w:tcBorders>
              <w:top w:val="single" w:sz="4" w:space="0" w:color="000000"/>
            </w:tcBorders>
            <w:shd w:val="clear" w:color="auto" w:fill="auto"/>
            <w:noWrap/>
            <w:vAlign w:val="center"/>
            <w:hideMark/>
          </w:tcPr>
          <w:p w14:paraId="3F5A2B20"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55.6</w:t>
            </w:r>
          </w:p>
        </w:tc>
      </w:tr>
      <w:tr w:rsidR="007F7656" w:rsidRPr="007F7656" w14:paraId="5896A565" w14:textId="77777777" w:rsidTr="00587783">
        <w:trPr>
          <w:trHeight w:val="290"/>
        </w:trPr>
        <w:tc>
          <w:tcPr>
            <w:tcW w:w="2250" w:type="dxa"/>
            <w:vMerge/>
            <w:shd w:val="clear" w:color="auto" w:fill="auto"/>
            <w:vAlign w:val="center"/>
            <w:hideMark/>
          </w:tcPr>
          <w:p w14:paraId="71C46F97" w14:textId="77777777" w:rsidR="00D20E66" w:rsidRPr="007F7656" w:rsidRDefault="00D20E66" w:rsidP="0021266E">
            <w:pPr>
              <w:spacing w:after="0" w:line="276" w:lineRule="auto"/>
              <w:jc w:val="both"/>
              <w:rPr>
                <w:rFonts w:asciiTheme="majorBidi" w:eastAsia="Times New Roman" w:hAnsiTheme="majorBidi" w:cstheme="majorBidi"/>
                <w:sz w:val="18"/>
                <w:szCs w:val="18"/>
              </w:rPr>
            </w:pPr>
          </w:p>
        </w:tc>
        <w:tc>
          <w:tcPr>
            <w:tcW w:w="1710" w:type="dxa"/>
            <w:shd w:val="clear" w:color="auto" w:fill="auto"/>
            <w:noWrap/>
            <w:vAlign w:val="center"/>
            <w:hideMark/>
          </w:tcPr>
          <w:p w14:paraId="17F9FACE"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No</w:t>
            </w:r>
          </w:p>
        </w:tc>
        <w:tc>
          <w:tcPr>
            <w:tcW w:w="810" w:type="dxa"/>
            <w:shd w:val="clear" w:color="auto" w:fill="auto"/>
            <w:noWrap/>
            <w:vAlign w:val="center"/>
            <w:hideMark/>
          </w:tcPr>
          <w:p w14:paraId="6C177518"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11</w:t>
            </w:r>
          </w:p>
        </w:tc>
        <w:tc>
          <w:tcPr>
            <w:tcW w:w="810" w:type="dxa"/>
            <w:shd w:val="clear" w:color="auto" w:fill="auto"/>
            <w:noWrap/>
            <w:vAlign w:val="center"/>
            <w:hideMark/>
          </w:tcPr>
          <w:p w14:paraId="5AF405C4"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26.8</w:t>
            </w:r>
          </w:p>
        </w:tc>
        <w:tc>
          <w:tcPr>
            <w:tcW w:w="810" w:type="dxa"/>
            <w:shd w:val="clear" w:color="auto" w:fill="auto"/>
            <w:noWrap/>
            <w:vAlign w:val="center"/>
            <w:hideMark/>
          </w:tcPr>
          <w:p w14:paraId="5E8E0758"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14</w:t>
            </w:r>
          </w:p>
        </w:tc>
        <w:tc>
          <w:tcPr>
            <w:tcW w:w="900" w:type="dxa"/>
            <w:shd w:val="clear" w:color="auto" w:fill="auto"/>
            <w:noWrap/>
            <w:vAlign w:val="center"/>
            <w:hideMark/>
          </w:tcPr>
          <w:p w14:paraId="09BC9E54"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34.1</w:t>
            </w:r>
          </w:p>
        </w:tc>
        <w:tc>
          <w:tcPr>
            <w:tcW w:w="810" w:type="dxa"/>
            <w:shd w:val="clear" w:color="auto" w:fill="auto"/>
            <w:noWrap/>
            <w:vAlign w:val="center"/>
            <w:hideMark/>
          </w:tcPr>
          <w:p w14:paraId="2412AA73"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13</w:t>
            </w:r>
          </w:p>
        </w:tc>
        <w:tc>
          <w:tcPr>
            <w:tcW w:w="810" w:type="dxa"/>
            <w:shd w:val="clear" w:color="auto" w:fill="auto"/>
            <w:noWrap/>
            <w:vAlign w:val="center"/>
            <w:hideMark/>
          </w:tcPr>
          <w:p w14:paraId="7B21BE83"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31.7</w:t>
            </w:r>
          </w:p>
        </w:tc>
      </w:tr>
      <w:tr w:rsidR="007F7656" w:rsidRPr="007F7656" w14:paraId="7F6A02EC" w14:textId="77777777" w:rsidTr="00587783">
        <w:trPr>
          <w:trHeight w:val="290"/>
        </w:trPr>
        <w:tc>
          <w:tcPr>
            <w:tcW w:w="2250" w:type="dxa"/>
            <w:tcBorders>
              <w:bottom w:val="single" w:sz="4" w:space="0" w:color="000000"/>
            </w:tcBorders>
            <w:shd w:val="clear" w:color="auto" w:fill="auto"/>
            <w:noWrap/>
            <w:vAlign w:val="center"/>
            <w:hideMark/>
          </w:tcPr>
          <w:p w14:paraId="2653ECA2" w14:textId="77777777" w:rsidR="00D20E66" w:rsidRPr="007F7656" w:rsidRDefault="00D20E66" w:rsidP="0021266E">
            <w:pPr>
              <w:spacing w:after="0" w:line="276" w:lineRule="auto"/>
              <w:jc w:val="both"/>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 </w:t>
            </w:r>
          </w:p>
        </w:tc>
        <w:tc>
          <w:tcPr>
            <w:tcW w:w="1710" w:type="dxa"/>
            <w:tcBorders>
              <w:bottom w:val="single" w:sz="4" w:space="0" w:color="000000"/>
            </w:tcBorders>
            <w:shd w:val="clear" w:color="auto" w:fill="auto"/>
            <w:vAlign w:val="center"/>
            <w:hideMark/>
          </w:tcPr>
          <w:p w14:paraId="7CA9CDA0" w14:textId="77777777" w:rsidR="00D20E66" w:rsidRPr="007F7656" w:rsidRDefault="00D20E66" w:rsidP="0021266E">
            <w:pPr>
              <w:spacing w:after="0" w:line="276" w:lineRule="auto"/>
              <w:jc w:val="center"/>
              <w:rPr>
                <w:rFonts w:asciiTheme="majorBidi" w:eastAsia="Times New Roman" w:hAnsiTheme="majorBidi" w:cstheme="majorBidi"/>
                <w:i/>
                <w:iCs/>
                <w:sz w:val="18"/>
                <w:szCs w:val="18"/>
              </w:rPr>
            </w:pPr>
            <w:r w:rsidRPr="007F7656">
              <w:rPr>
                <w:rFonts w:asciiTheme="majorBidi" w:eastAsia="Times New Roman" w:hAnsiTheme="majorBidi" w:cstheme="majorBidi"/>
                <w:i/>
                <w:iCs/>
                <w:sz w:val="18"/>
                <w:szCs w:val="18"/>
              </w:rPr>
              <w:t>p-</w:t>
            </w:r>
            <w:r w:rsidRPr="007F7656">
              <w:rPr>
                <w:rFonts w:asciiTheme="majorBidi" w:eastAsia="Times New Roman" w:hAnsiTheme="majorBidi" w:cstheme="majorBidi"/>
                <w:sz w:val="18"/>
                <w:szCs w:val="18"/>
              </w:rPr>
              <w:t>Value</w:t>
            </w:r>
          </w:p>
        </w:tc>
        <w:tc>
          <w:tcPr>
            <w:tcW w:w="1620" w:type="dxa"/>
            <w:gridSpan w:val="2"/>
            <w:tcBorders>
              <w:bottom w:val="single" w:sz="4" w:space="0" w:color="000000"/>
            </w:tcBorders>
            <w:shd w:val="clear" w:color="auto" w:fill="auto"/>
            <w:noWrap/>
            <w:vAlign w:val="center"/>
            <w:hideMark/>
          </w:tcPr>
          <w:p w14:paraId="19427DF8" w14:textId="77777777" w:rsidR="00D20E66" w:rsidRPr="007F7656" w:rsidRDefault="00D20E66" w:rsidP="0021266E">
            <w:pPr>
              <w:spacing w:after="0" w:line="276" w:lineRule="auto"/>
              <w:jc w:val="center"/>
              <w:rPr>
                <w:rFonts w:asciiTheme="majorBidi" w:eastAsia="Times New Roman" w:hAnsiTheme="majorBidi" w:cstheme="majorBidi"/>
                <w:b/>
                <w:bCs/>
                <w:sz w:val="18"/>
                <w:szCs w:val="18"/>
              </w:rPr>
            </w:pPr>
            <w:r w:rsidRPr="007F7656">
              <w:rPr>
                <w:rFonts w:asciiTheme="majorBidi" w:eastAsia="Times New Roman" w:hAnsiTheme="majorBidi" w:cstheme="majorBidi"/>
                <w:b/>
                <w:bCs/>
                <w:sz w:val="18"/>
                <w:szCs w:val="18"/>
              </w:rPr>
              <w:t>0.039</w:t>
            </w:r>
          </w:p>
        </w:tc>
        <w:tc>
          <w:tcPr>
            <w:tcW w:w="1710" w:type="dxa"/>
            <w:gridSpan w:val="2"/>
            <w:tcBorders>
              <w:bottom w:val="single" w:sz="4" w:space="0" w:color="000000"/>
            </w:tcBorders>
            <w:shd w:val="clear" w:color="auto" w:fill="auto"/>
            <w:noWrap/>
            <w:vAlign w:val="center"/>
            <w:hideMark/>
          </w:tcPr>
          <w:p w14:paraId="26E75CE6" w14:textId="77777777" w:rsidR="00D20E66" w:rsidRPr="007F7656" w:rsidRDefault="00D20E66" w:rsidP="0021266E">
            <w:pPr>
              <w:spacing w:after="0" w:line="276" w:lineRule="auto"/>
              <w:jc w:val="center"/>
              <w:rPr>
                <w:rFonts w:asciiTheme="majorBidi" w:eastAsia="Times New Roman" w:hAnsiTheme="majorBidi" w:cstheme="majorBidi"/>
                <w:b/>
                <w:bCs/>
                <w:sz w:val="18"/>
                <w:szCs w:val="18"/>
              </w:rPr>
            </w:pPr>
            <w:r w:rsidRPr="007F7656">
              <w:rPr>
                <w:rFonts w:asciiTheme="majorBidi" w:eastAsia="Times New Roman" w:hAnsiTheme="majorBidi" w:cstheme="majorBidi"/>
                <w:b/>
                <w:bCs/>
                <w:sz w:val="18"/>
                <w:szCs w:val="18"/>
              </w:rPr>
              <w:t>0.011</w:t>
            </w:r>
          </w:p>
        </w:tc>
        <w:tc>
          <w:tcPr>
            <w:tcW w:w="1620" w:type="dxa"/>
            <w:gridSpan w:val="2"/>
            <w:tcBorders>
              <w:bottom w:val="single" w:sz="4" w:space="0" w:color="000000"/>
            </w:tcBorders>
            <w:shd w:val="clear" w:color="auto" w:fill="auto"/>
            <w:noWrap/>
            <w:vAlign w:val="center"/>
            <w:hideMark/>
          </w:tcPr>
          <w:p w14:paraId="14E3BA2D" w14:textId="77777777" w:rsidR="00D20E66" w:rsidRPr="007F7656" w:rsidRDefault="00D20E66" w:rsidP="0021266E">
            <w:pPr>
              <w:spacing w:after="0" w:line="276" w:lineRule="auto"/>
              <w:jc w:val="center"/>
              <w:rPr>
                <w:rFonts w:asciiTheme="majorBidi" w:eastAsia="Times New Roman" w:hAnsiTheme="majorBidi" w:cstheme="majorBidi"/>
                <w:b/>
                <w:bCs/>
                <w:sz w:val="18"/>
                <w:szCs w:val="18"/>
              </w:rPr>
            </w:pPr>
            <w:r w:rsidRPr="007F7656">
              <w:rPr>
                <w:rFonts w:asciiTheme="majorBidi" w:eastAsia="Times New Roman" w:hAnsiTheme="majorBidi" w:cstheme="majorBidi"/>
                <w:b/>
                <w:bCs/>
                <w:sz w:val="18"/>
                <w:szCs w:val="18"/>
              </w:rPr>
              <w:t>0.005</w:t>
            </w:r>
          </w:p>
        </w:tc>
      </w:tr>
      <w:tr w:rsidR="007F7656" w:rsidRPr="007F7656" w14:paraId="415D2E8C" w14:textId="77777777" w:rsidTr="00587783">
        <w:trPr>
          <w:trHeight w:val="290"/>
        </w:trPr>
        <w:tc>
          <w:tcPr>
            <w:tcW w:w="2250" w:type="dxa"/>
            <w:vMerge w:val="restart"/>
            <w:tcBorders>
              <w:top w:val="single" w:sz="4" w:space="0" w:color="000000"/>
            </w:tcBorders>
            <w:shd w:val="clear" w:color="auto" w:fill="auto"/>
            <w:noWrap/>
            <w:vAlign w:val="center"/>
            <w:hideMark/>
          </w:tcPr>
          <w:p w14:paraId="20FF08E1" w14:textId="77777777" w:rsidR="00D20E66" w:rsidRPr="007F7656" w:rsidRDefault="00D20E66" w:rsidP="0021266E">
            <w:pPr>
              <w:spacing w:after="0" w:line="276" w:lineRule="auto"/>
              <w:jc w:val="both"/>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Concern about losing house</w:t>
            </w:r>
          </w:p>
        </w:tc>
        <w:tc>
          <w:tcPr>
            <w:tcW w:w="1710" w:type="dxa"/>
            <w:tcBorders>
              <w:top w:val="single" w:sz="4" w:space="0" w:color="000000"/>
            </w:tcBorders>
            <w:shd w:val="clear" w:color="auto" w:fill="auto"/>
            <w:noWrap/>
            <w:vAlign w:val="center"/>
            <w:hideMark/>
          </w:tcPr>
          <w:p w14:paraId="73045E00"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Yes</w:t>
            </w:r>
          </w:p>
        </w:tc>
        <w:tc>
          <w:tcPr>
            <w:tcW w:w="810" w:type="dxa"/>
            <w:tcBorders>
              <w:top w:val="single" w:sz="4" w:space="0" w:color="000000"/>
            </w:tcBorders>
            <w:shd w:val="clear" w:color="auto" w:fill="auto"/>
            <w:noWrap/>
            <w:vAlign w:val="center"/>
            <w:hideMark/>
          </w:tcPr>
          <w:p w14:paraId="09972408"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53</w:t>
            </w:r>
          </w:p>
        </w:tc>
        <w:tc>
          <w:tcPr>
            <w:tcW w:w="810" w:type="dxa"/>
            <w:tcBorders>
              <w:top w:val="single" w:sz="4" w:space="0" w:color="000000"/>
            </w:tcBorders>
            <w:shd w:val="clear" w:color="auto" w:fill="auto"/>
            <w:noWrap/>
            <w:vAlign w:val="center"/>
            <w:hideMark/>
          </w:tcPr>
          <w:p w14:paraId="064E0E77"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53.5</w:t>
            </w:r>
          </w:p>
        </w:tc>
        <w:tc>
          <w:tcPr>
            <w:tcW w:w="810" w:type="dxa"/>
            <w:tcBorders>
              <w:top w:val="single" w:sz="4" w:space="0" w:color="000000"/>
            </w:tcBorders>
            <w:shd w:val="clear" w:color="auto" w:fill="auto"/>
            <w:noWrap/>
            <w:vAlign w:val="center"/>
            <w:hideMark/>
          </w:tcPr>
          <w:p w14:paraId="7B8DB09C"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63</w:t>
            </w:r>
          </w:p>
        </w:tc>
        <w:tc>
          <w:tcPr>
            <w:tcW w:w="900" w:type="dxa"/>
            <w:tcBorders>
              <w:top w:val="single" w:sz="4" w:space="0" w:color="000000"/>
            </w:tcBorders>
            <w:shd w:val="clear" w:color="auto" w:fill="auto"/>
            <w:noWrap/>
            <w:vAlign w:val="center"/>
            <w:hideMark/>
          </w:tcPr>
          <w:p w14:paraId="05BD5885"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63.6</w:t>
            </w:r>
          </w:p>
        </w:tc>
        <w:tc>
          <w:tcPr>
            <w:tcW w:w="810" w:type="dxa"/>
            <w:tcBorders>
              <w:top w:val="single" w:sz="4" w:space="0" w:color="000000"/>
            </w:tcBorders>
            <w:shd w:val="clear" w:color="auto" w:fill="auto"/>
            <w:noWrap/>
            <w:vAlign w:val="center"/>
            <w:hideMark/>
          </w:tcPr>
          <w:p w14:paraId="4BF9A5EE"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64</w:t>
            </w:r>
          </w:p>
        </w:tc>
        <w:tc>
          <w:tcPr>
            <w:tcW w:w="810" w:type="dxa"/>
            <w:tcBorders>
              <w:top w:val="single" w:sz="4" w:space="0" w:color="000000"/>
            </w:tcBorders>
            <w:shd w:val="clear" w:color="auto" w:fill="auto"/>
            <w:noWrap/>
            <w:vAlign w:val="center"/>
            <w:hideMark/>
          </w:tcPr>
          <w:p w14:paraId="435F7D78"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64.6</w:t>
            </w:r>
          </w:p>
        </w:tc>
      </w:tr>
      <w:tr w:rsidR="007F7656" w:rsidRPr="007F7656" w14:paraId="0350047F" w14:textId="77777777" w:rsidTr="00587783">
        <w:trPr>
          <w:trHeight w:val="290"/>
        </w:trPr>
        <w:tc>
          <w:tcPr>
            <w:tcW w:w="2250" w:type="dxa"/>
            <w:vMerge/>
            <w:shd w:val="clear" w:color="auto" w:fill="auto"/>
            <w:vAlign w:val="center"/>
            <w:hideMark/>
          </w:tcPr>
          <w:p w14:paraId="2ECF956A" w14:textId="77777777" w:rsidR="00D20E66" w:rsidRPr="007F7656" w:rsidRDefault="00D20E66" w:rsidP="0021266E">
            <w:pPr>
              <w:spacing w:after="0" w:line="276" w:lineRule="auto"/>
              <w:jc w:val="both"/>
              <w:rPr>
                <w:rFonts w:asciiTheme="majorBidi" w:eastAsia="Times New Roman" w:hAnsiTheme="majorBidi" w:cstheme="majorBidi"/>
                <w:sz w:val="18"/>
                <w:szCs w:val="18"/>
              </w:rPr>
            </w:pPr>
          </w:p>
        </w:tc>
        <w:tc>
          <w:tcPr>
            <w:tcW w:w="1710" w:type="dxa"/>
            <w:shd w:val="clear" w:color="auto" w:fill="auto"/>
            <w:noWrap/>
            <w:vAlign w:val="center"/>
            <w:hideMark/>
          </w:tcPr>
          <w:p w14:paraId="6CA3D434"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No</w:t>
            </w:r>
          </w:p>
        </w:tc>
        <w:tc>
          <w:tcPr>
            <w:tcW w:w="810" w:type="dxa"/>
            <w:shd w:val="clear" w:color="auto" w:fill="auto"/>
            <w:noWrap/>
            <w:vAlign w:val="center"/>
            <w:hideMark/>
          </w:tcPr>
          <w:p w14:paraId="6410C0C8"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31</w:t>
            </w:r>
          </w:p>
        </w:tc>
        <w:tc>
          <w:tcPr>
            <w:tcW w:w="810" w:type="dxa"/>
            <w:shd w:val="clear" w:color="auto" w:fill="auto"/>
            <w:noWrap/>
            <w:vAlign w:val="center"/>
            <w:hideMark/>
          </w:tcPr>
          <w:p w14:paraId="71C09617"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27.9</w:t>
            </w:r>
          </w:p>
        </w:tc>
        <w:tc>
          <w:tcPr>
            <w:tcW w:w="810" w:type="dxa"/>
            <w:shd w:val="clear" w:color="auto" w:fill="auto"/>
            <w:noWrap/>
            <w:vAlign w:val="center"/>
            <w:hideMark/>
          </w:tcPr>
          <w:p w14:paraId="044ADD9B"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45</w:t>
            </w:r>
          </w:p>
        </w:tc>
        <w:tc>
          <w:tcPr>
            <w:tcW w:w="900" w:type="dxa"/>
            <w:shd w:val="clear" w:color="auto" w:fill="auto"/>
            <w:noWrap/>
            <w:vAlign w:val="center"/>
            <w:hideMark/>
          </w:tcPr>
          <w:p w14:paraId="4724307E"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40.5</w:t>
            </w:r>
          </w:p>
        </w:tc>
        <w:tc>
          <w:tcPr>
            <w:tcW w:w="810" w:type="dxa"/>
            <w:shd w:val="clear" w:color="auto" w:fill="auto"/>
            <w:noWrap/>
            <w:vAlign w:val="center"/>
            <w:hideMark/>
          </w:tcPr>
          <w:p w14:paraId="5265198E"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43</w:t>
            </w:r>
          </w:p>
        </w:tc>
        <w:tc>
          <w:tcPr>
            <w:tcW w:w="810" w:type="dxa"/>
            <w:shd w:val="clear" w:color="auto" w:fill="auto"/>
            <w:noWrap/>
            <w:vAlign w:val="center"/>
            <w:hideMark/>
          </w:tcPr>
          <w:p w14:paraId="0B9236E1"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38.7</w:t>
            </w:r>
          </w:p>
        </w:tc>
      </w:tr>
      <w:tr w:rsidR="007F7656" w:rsidRPr="007F7656" w14:paraId="4E1C8322" w14:textId="77777777" w:rsidTr="00587783">
        <w:trPr>
          <w:trHeight w:val="290"/>
        </w:trPr>
        <w:tc>
          <w:tcPr>
            <w:tcW w:w="2250" w:type="dxa"/>
            <w:tcBorders>
              <w:bottom w:val="single" w:sz="4" w:space="0" w:color="000000"/>
            </w:tcBorders>
            <w:shd w:val="clear" w:color="auto" w:fill="auto"/>
            <w:vAlign w:val="center"/>
            <w:hideMark/>
          </w:tcPr>
          <w:p w14:paraId="2FC93CCD" w14:textId="77777777" w:rsidR="00D20E66" w:rsidRPr="007F7656" w:rsidRDefault="00D20E66" w:rsidP="0021266E">
            <w:pPr>
              <w:spacing w:after="0" w:line="276" w:lineRule="auto"/>
              <w:jc w:val="both"/>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 </w:t>
            </w:r>
          </w:p>
        </w:tc>
        <w:tc>
          <w:tcPr>
            <w:tcW w:w="1710" w:type="dxa"/>
            <w:tcBorders>
              <w:bottom w:val="single" w:sz="4" w:space="0" w:color="000000"/>
            </w:tcBorders>
            <w:shd w:val="clear" w:color="auto" w:fill="auto"/>
            <w:vAlign w:val="center"/>
            <w:hideMark/>
          </w:tcPr>
          <w:p w14:paraId="562E54F2" w14:textId="77777777" w:rsidR="00D20E66" w:rsidRPr="007F7656" w:rsidRDefault="00D20E66" w:rsidP="0021266E">
            <w:pPr>
              <w:spacing w:after="0" w:line="276" w:lineRule="auto"/>
              <w:jc w:val="center"/>
              <w:rPr>
                <w:rFonts w:asciiTheme="majorBidi" w:eastAsia="Times New Roman" w:hAnsiTheme="majorBidi" w:cstheme="majorBidi"/>
                <w:i/>
                <w:iCs/>
                <w:sz w:val="18"/>
                <w:szCs w:val="18"/>
              </w:rPr>
            </w:pPr>
            <w:r w:rsidRPr="007F7656">
              <w:rPr>
                <w:rFonts w:asciiTheme="majorBidi" w:eastAsia="Times New Roman" w:hAnsiTheme="majorBidi" w:cstheme="majorBidi"/>
                <w:i/>
                <w:iCs/>
                <w:sz w:val="18"/>
                <w:szCs w:val="18"/>
              </w:rPr>
              <w:t>p-</w:t>
            </w:r>
            <w:r w:rsidRPr="007F7656">
              <w:rPr>
                <w:rFonts w:asciiTheme="majorBidi" w:eastAsia="Times New Roman" w:hAnsiTheme="majorBidi" w:cstheme="majorBidi"/>
                <w:sz w:val="18"/>
                <w:szCs w:val="18"/>
              </w:rPr>
              <w:t>Value</w:t>
            </w:r>
          </w:p>
        </w:tc>
        <w:tc>
          <w:tcPr>
            <w:tcW w:w="1620" w:type="dxa"/>
            <w:gridSpan w:val="2"/>
            <w:tcBorders>
              <w:bottom w:val="single" w:sz="4" w:space="0" w:color="000000"/>
            </w:tcBorders>
            <w:shd w:val="clear" w:color="auto" w:fill="auto"/>
            <w:noWrap/>
            <w:vAlign w:val="center"/>
            <w:hideMark/>
          </w:tcPr>
          <w:p w14:paraId="4A7DBBE7"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b/>
                <w:bCs/>
                <w:sz w:val="18"/>
                <w:szCs w:val="18"/>
              </w:rPr>
              <w:t>&lt;0.001</w:t>
            </w:r>
          </w:p>
        </w:tc>
        <w:tc>
          <w:tcPr>
            <w:tcW w:w="1710" w:type="dxa"/>
            <w:gridSpan w:val="2"/>
            <w:tcBorders>
              <w:bottom w:val="single" w:sz="4" w:space="0" w:color="000000"/>
            </w:tcBorders>
            <w:shd w:val="clear" w:color="auto" w:fill="auto"/>
            <w:noWrap/>
            <w:vAlign w:val="center"/>
            <w:hideMark/>
          </w:tcPr>
          <w:p w14:paraId="549E6DA6"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b/>
                <w:bCs/>
                <w:sz w:val="18"/>
                <w:szCs w:val="18"/>
              </w:rPr>
              <w:t>&lt;0.001</w:t>
            </w:r>
          </w:p>
        </w:tc>
        <w:tc>
          <w:tcPr>
            <w:tcW w:w="1620" w:type="dxa"/>
            <w:gridSpan w:val="2"/>
            <w:tcBorders>
              <w:bottom w:val="single" w:sz="4" w:space="0" w:color="000000"/>
            </w:tcBorders>
            <w:shd w:val="clear" w:color="auto" w:fill="auto"/>
            <w:noWrap/>
            <w:vAlign w:val="center"/>
            <w:hideMark/>
          </w:tcPr>
          <w:p w14:paraId="5CE16640" w14:textId="77777777" w:rsidR="00D20E66" w:rsidRPr="007F7656" w:rsidRDefault="00D20E66" w:rsidP="0021266E">
            <w:pPr>
              <w:spacing w:after="0" w:line="276" w:lineRule="auto"/>
              <w:jc w:val="center"/>
              <w:rPr>
                <w:rFonts w:asciiTheme="majorBidi" w:eastAsia="Times New Roman" w:hAnsiTheme="majorBidi" w:cstheme="majorBidi"/>
                <w:b/>
                <w:bCs/>
                <w:sz w:val="18"/>
                <w:szCs w:val="18"/>
              </w:rPr>
            </w:pPr>
            <w:r w:rsidRPr="007F7656">
              <w:rPr>
                <w:rFonts w:asciiTheme="majorBidi" w:eastAsia="Times New Roman" w:hAnsiTheme="majorBidi" w:cstheme="majorBidi"/>
                <w:b/>
                <w:bCs/>
                <w:sz w:val="18"/>
                <w:szCs w:val="18"/>
              </w:rPr>
              <w:t>&lt;0.001</w:t>
            </w:r>
          </w:p>
        </w:tc>
      </w:tr>
      <w:tr w:rsidR="007F7656" w:rsidRPr="007F7656" w14:paraId="34182C94" w14:textId="77777777" w:rsidTr="00587783">
        <w:trPr>
          <w:trHeight w:val="290"/>
        </w:trPr>
        <w:tc>
          <w:tcPr>
            <w:tcW w:w="2250" w:type="dxa"/>
            <w:vMerge w:val="restart"/>
            <w:tcBorders>
              <w:top w:val="single" w:sz="4" w:space="0" w:color="000000"/>
            </w:tcBorders>
            <w:shd w:val="clear" w:color="auto" w:fill="auto"/>
            <w:noWrap/>
            <w:vAlign w:val="center"/>
            <w:hideMark/>
          </w:tcPr>
          <w:p w14:paraId="36DFA00B" w14:textId="77777777" w:rsidR="00D20E66" w:rsidRPr="007F7656" w:rsidRDefault="00D20E66" w:rsidP="0021266E">
            <w:pPr>
              <w:spacing w:after="0" w:line="276" w:lineRule="auto"/>
              <w:jc w:val="both"/>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Concern about losing job</w:t>
            </w:r>
          </w:p>
        </w:tc>
        <w:tc>
          <w:tcPr>
            <w:tcW w:w="1710" w:type="dxa"/>
            <w:tcBorders>
              <w:top w:val="single" w:sz="4" w:space="0" w:color="000000"/>
            </w:tcBorders>
            <w:shd w:val="clear" w:color="auto" w:fill="auto"/>
            <w:noWrap/>
            <w:vAlign w:val="center"/>
            <w:hideMark/>
          </w:tcPr>
          <w:p w14:paraId="3C0BA707"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Yes</w:t>
            </w:r>
          </w:p>
        </w:tc>
        <w:tc>
          <w:tcPr>
            <w:tcW w:w="810" w:type="dxa"/>
            <w:tcBorders>
              <w:top w:val="single" w:sz="4" w:space="0" w:color="000000"/>
            </w:tcBorders>
            <w:shd w:val="clear" w:color="auto" w:fill="auto"/>
            <w:noWrap/>
            <w:vAlign w:val="center"/>
            <w:hideMark/>
          </w:tcPr>
          <w:p w14:paraId="26139A00"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63</w:t>
            </w:r>
          </w:p>
        </w:tc>
        <w:tc>
          <w:tcPr>
            <w:tcW w:w="810" w:type="dxa"/>
            <w:tcBorders>
              <w:top w:val="single" w:sz="4" w:space="0" w:color="000000"/>
            </w:tcBorders>
            <w:shd w:val="clear" w:color="auto" w:fill="auto"/>
            <w:noWrap/>
            <w:vAlign w:val="center"/>
            <w:hideMark/>
          </w:tcPr>
          <w:p w14:paraId="5907BF66"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45.3</w:t>
            </w:r>
          </w:p>
        </w:tc>
        <w:tc>
          <w:tcPr>
            <w:tcW w:w="810" w:type="dxa"/>
            <w:tcBorders>
              <w:top w:val="single" w:sz="4" w:space="0" w:color="000000"/>
            </w:tcBorders>
            <w:shd w:val="clear" w:color="auto" w:fill="auto"/>
            <w:noWrap/>
            <w:vAlign w:val="center"/>
            <w:hideMark/>
          </w:tcPr>
          <w:p w14:paraId="19469E40"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81</w:t>
            </w:r>
          </w:p>
        </w:tc>
        <w:tc>
          <w:tcPr>
            <w:tcW w:w="900" w:type="dxa"/>
            <w:tcBorders>
              <w:top w:val="single" w:sz="4" w:space="0" w:color="000000"/>
            </w:tcBorders>
            <w:shd w:val="clear" w:color="auto" w:fill="auto"/>
            <w:noWrap/>
            <w:vAlign w:val="center"/>
            <w:hideMark/>
          </w:tcPr>
          <w:p w14:paraId="4531A9D5"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58.3</w:t>
            </w:r>
          </w:p>
        </w:tc>
        <w:tc>
          <w:tcPr>
            <w:tcW w:w="810" w:type="dxa"/>
            <w:tcBorders>
              <w:top w:val="single" w:sz="4" w:space="0" w:color="000000"/>
            </w:tcBorders>
            <w:shd w:val="clear" w:color="auto" w:fill="auto"/>
            <w:noWrap/>
            <w:vAlign w:val="center"/>
            <w:hideMark/>
          </w:tcPr>
          <w:p w14:paraId="1D4D2D24"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78</w:t>
            </w:r>
          </w:p>
        </w:tc>
        <w:tc>
          <w:tcPr>
            <w:tcW w:w="810" w:type="dxa"/>
            <w:tcBorders>
              <w:top w:val="single" w:sz="4" w:space="0" w:color="000000"/>
            </w:tcBorders>
            <w:shd w:val="clear" w:color="auto" w:fill="auto"/>
            <w:noWrap/>
            <w:vAlign w:val="center"/>
            <w:hideMark/>
          </w:tcPr>
          <w:p w14:paraId="34C992F9"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56.1</w:t>
            </w:r>
          </w:p>
        </w:tc>
      </w:tr>
      <w:tr w:rsidR="007F7656" w:rsidRPr="007F7656" w14:paraId="73D1B8D1" w14:textId="77777777" w:rsidTr="00587783">
        <w:trPr>
          <w:trHeight w:val="290"/>
        </w:trPr>
        <w:tc>
          <w:tcPr>
            <w:tcW w:w="2250" w:type="dxa"/>
            <w:vMerge/>
            <w:shd w:val="clear" w:color="auto" w:fill="auto"/>
            <w:vAlign w:val="center"/>
            <w:hideMark/>
          </w:tcPr>
          <w:p w14:paraId="1E73069B" w14:textId="77777777" w:rsidR="00D20E66" w:rsidRPr="007F7656" w:rsidRDefault="00D20E66" w:rsidP="0021266E">
            <w:pPr>
              <w:spacing w:after="0" w:line="276" w:lineRule="auto"/>
              <w:jc w:val="both"/>
              <w:rPr>
                <w:rFonts w:asciiTheme="majorBidi" w:eastAsia="Times New Roman" w:hAnsiTheme="majorBidi" w:cstheme="majorBidi"/>
                <w:sz w:val="18"/>
                <w:szCs w:val="18"/>
              </w:rPr>
            </w:pPr>
          </w:p>
        </w:tc>
        <w:tc>
          <w:tcPr>
            <w:tcW w:w="1710" w:type="dxa"/>
            <w:shd w:val="clear" w:color="auto" w:fill="auto"/>
            <w:noWrap/>
            <w:vAlign w:val="center"/>
            <w:hideMark/>
          </w:tcPr>
          <w:p w14:paraId="3DD11DCF"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No</w:t>
            </w:r>
          </w:p>
        </w:tc>
        <w:tc>
          <w:tcPr>
            <w:tcW w:w="810" w:type="dxa"/>
            <w:shd w:val="clear" w:color="auto" w:fill="auto"/>
            <w:noWrap/>
            <w:vAlign w:val="center"/>
            <w:hideMark/>
          </w:tcPr>
          <w:p w14:paraId="1A715C34"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21</w:t>
            </w:r>
          </w:p>
        </w:tc>
        <w:tc>
          <w:tcPr>
            <w:tcW w:w="810" w:type="dxa"/>
            <w:shd w:val="clear" w:color="auto" w:fill="auto"/>
            <w:noWrap/>
            <w:vAlign w:val="center"/>
            <w:hideMark/>
          </w:tcPr>
          <w:p w14:paraId="09EAEDBE"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29.6</w:t>
            </w:r>
          </w:p>
        </w:tc>
        <w:tc>
          <w:tcPr>
            <w:tcW w:w="810" w:type="dxa"/>
            <w:shd w:val="clear" w:color="auto" w:fill="auto"/>
            <w:noWrap/>
            <w:vAlign w:val="center"/>
            <w:hideMark/>
          </w:tcPr>
          <w:p w14:paraId="14AF4401"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27</w:t>
            </w:r>
          </w:p>
        </w:tc>
        <w:tc>
          <w:tcPr>
            <w:tcW w:w="900" w:type="dxa"/>
            <w:shd w:val="clear" w:color="auto" w:fill="auto"/>
            <w:noWrap/>
            <w:vAlign w:val="center"/>
            <w:hideMark/>
          </w:tcPr>
          <w:p w14:paraId="22D093C3"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38.00</w:t>
            </w:r>
          </w:p>
        </w:tc>
        <w:tc>
          <w:tcPr>
            <w:tcW w:w="810" w:type="dxa"/>
            <w:shd w:val="clear" w:color="auto" w:fill="auto"/>
            <w:noWrap/>
            <w:vAlign w:val="center"/>
            <w:hideMark/>
          </w:tcPr>
          <w:p w14:paraId="36C15890"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29</w:t>
            </w:r>
          </w:p>
        </w:tc>
        <w:tc>
          <w:tcPr>
            <w:tcW w:w="810" w:type="dxa"/>
            <w:shd w:val="clear" w:color="auto" w:fill="auto"/>
            <w:noWrap/>
            <w:vAlign w:val="center"/>
            <w:hideMark/>
          </w:tcPr>
          <w:p w14:paraId="326F530C" w14:textId="77777777" w:rsidR="00D20E66" w:rsidRPr="007F7656" w:rsidRDefault="00D20E66" w:rsidP="0021266E">
            <w:pPr>
              <w:spacing w:after="0" w:line="276" w:lineRule="auto"/>
              <w:jc w:val="center"/>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40.80</w:t>
            </w:r>
          </w:p>
        </w:tc>
      </w:tr>
      <w:tr w:rsidR="007F7656" w:rsidRPr="007F7656" w14:paraId="78BE06F3" w14:textId="77777777" w:rsidTr="00587783">
        <w:trPr>
          <w:trHeight w:val="80"/>
        </w:trPr>
        <w:tc>
          <w:tcPr>
            <w:tcW w:w="2250" w:type="dxa"/>
            <w:tcBorders>
              <w:bottom w:val="single" w:sz="4" w:space="0" w:color="000000"/>
            </w:tcBorders>
            <w:shd w:val="clear" w:color="auto" w:fill="auto"/>
            <w:noWrap/>
            <w:vAlign w:val="center"/>
            <w:hideMark/>
          </w:tcPr>
          <w:p w14:paraId="4FAC1260" w14:textId="77777777" w:rsidR="00D20E66" w:rsidRPr="007F7656" w:rsidRDefault="00D20E66" w:rsidP="0021266E">
            <w:pPr>
              <w:spacing w:after="0" w:line="276" w:lineRule="auto"/>
              <w:jc w:val="both"/>
              <w:rPr>
                <w:rFonts w:asciiTheme="majorBidi" w:eastAsia="Times New Roman" w:hAnsiTheme="majorBidi" w:cstheme="majorBidi"/>
                <w:sz w:val="18"/>
                <w:szCs w:val="18"/>
              </w:rPr>
            </w:pPr>
            <w:r w:rsidRPr="007F7656">
              <w:rPr>
                <w:rFonts w:asciiTheme="majorBidi" w:eastAsia="Times New Roman" w:hAnsiTheme="majorBidi" w:cstheme="majorBidi"/>
                <w:sz w:val="18"/>
                <w:szCs w:val="18"/>
              </w:rPr>
              <w:t> </w:t>
            </w:r>
          </w:p>
        </w:tc>
        <w:tc>
          <w:tcPr>
            <w:tcW w:w="1710" w:type="dxa"/>
            <w:tcBorders>
              <w:bottom w:val="single" w:sz="4" w:space="0" w:color="000000"/>
            </w:tcBorders>
            <w:shd w:val="clear" w:color="auto" w:fill="auto"/>
            <w:vAlign w:val="center"/>
            <w:hideMark/>
          </w:tcPr>
          <w:p w14:paraId="1749CECF" w14:textId="77777777" w:rsidR="00D20E66" w:rsidRPr="007F7656" w:rsidRDefault="00D20E66" w:rsidP="0021266E">
            <w:pPr>
              <w:spacing w:after="0" w:line="276" w:lineRule="auto"/>
              <w:jc w:val="center"/>
              <w:rPr>
                <w:rFonts w:asciiTheme="majorBidi" w:eastAsia="Times New Roman" w:hAnsiTheme="majorBidi" w:cstheme="majorBidi"/>
                <w:i/>
                <w:iCs/>
                <w:sz w:val="18"/>
                <w:szCs w:val="18"/>
              </w:rPr>
            </w:pPr>
            <w:r w:rsidRPr="007F7656">
              <w:rPr>
                <w:rFonts w:asciiTheme="majorBidi" w:eastAsia="Times New Roman" w:hAnsiTheme="majorBidi" w:cstheme="majorBidi"/>
                <w:i/>
                <w:iCs/>
                <w:sz w:val="18"/>
                <w:szCs w:val="18"/>
              </w:rPr>
              <w:t>p-</w:t>
            </w:r>
            <w:r w:rsidRPr="007F7656">
              <w:rPr>
                <w:rFonts w:asciiTheme="majorBidi" w:eastAsia="Times New Roman" w:hAnsiTheme="majorBidi" w:cstheme="majorBidi"/>
                <w:sz w:val="18"/>
                <w:szCs w:val="18"/>
              </w:rPr>
              <w:t>Value</w:t>
            </w:r>
          </w:p>
        </w:tc>
        <w:tc>
          <w:tcPr>
            <w:tcW w:w="1620" w:type="dxa"/>
            <w:gridSpan w:val="2"/>
            <w:tcBorders>
              <w:bottom w:val="single" w:sz="4" w:space="0" w:color="000000"/>
            </w:tcBorders>
            <w:shd w:val="clear" w:color="auto" w:fill="auto"/>
            <w:noWrap/>
            <w:vAlign w:val="center"/>
            <w:hideMark/>
          </w:tcPr>
          <w:p w14:paraId="058F9E30" w14:textId="77777777" w:rsidR="00D20E66" w:rsidRPr="007F7656" w:rsidRDefault="00D20E66" w:rsidP="0021266E">
            <w:pPr>
              <w:spacing w:after="0" w:line="276" w:lineRule="auto"/>
              <w:jc w:val="center"/>
              <w:rPr>
                <w:rFonts w:asciiTheme="majorBidi" w:eastAsia="Times New Roman" w:hAnsiTheme="majorBidi" w:cstheme="majorBidi"/>
                <w:b/>
                <w:bCs/>
                <w:sz w:val="18"/>
                <w:szCs w:val="18"/>
              </w:rPr>
            </w:pPr>
            <w:r w:rsidRPr="007F7656">
              <w:rPr>
                <w:rFonts w:asciiTheme="majorBidi" w:eastAsia="Times New Roman" w:hAnsiTheme="majorBidi" w:cstheme="majorBidi"/>
                <w:b/>
                <w:bCs/>
                <w:sz w:val="18"/>
                <w:szCs w:val="18"/>
              </w:rPr>
              <w:t>0.019</w:t>
            </w:r>
          </w:p>
        </w:tc>
        <w:tc>
          <w:tcPr>
            <w:tcW w:w="1710" w:type="dxa"/>
            <w:gridSpan w:val="2"/>
            <w:tcBorders>
              <w:bottom w:val="single" w:sz="4" w:space="0" w:color="000000"/>
            </w:tcBorders>
            <w:shd w:val="clear" w:color="auto" w:fill="auto"/>
            <w:noWrap/>
            <w:vAlign w:val="center"/>
            <w:hideMark/>
          </w:tcPr>
          <w:p w14:paraId="71B459BF" w14:textId="77777777" w:rsidR="00D20E66" w:rsidRPr="007F7656" w:rsidRDefault="00D20E66" w:rsidP="0021266E">
            <w:pPr>
              <w:spacing w:after="0" w:line="276" w:lineRule="auto"/>
              <w:jc w:val="center"/>
              <w:rPr>
                <w:rFonts w:asciiTheme="majorBidi" w:eastAsia="Times New Roman" w:hAnsiTheme="majorBidi" w:cstheme="majorBidi"/>
                <w:b/>
                <w:bCs/>
                <w:sz w:val="18"/>
                <w:szCs w:val="18"/>
              </w:rPr>
            </w:pPr>
            <w:r w:rsidRPr="007F7656">
              <w:rPr>
                <w:rFonts w:asciiTheme="majorBidi" w:eastAsia="Times New Roman" w:hAnsiTheme="majorBidi" w:cstheme="majorBidi"/>
                <w:b/>
                <w:bCs/>
                <w:sz w:val="18"/>
                <w:szCs w:val="18"/>
              </w:rPr>
              <w:t>0.004</w:t>
            </w:r>
          </w:p>
        </w:tc>
        <w:tc>
          <w:tcPr>
            <w:tcW w:w="1620" w:type="dxa"/>
            <w:gridSpan w:val="2"/>
            <w:tcBorders>
              <w:bottom w:val="single" w:sz="4" w:space="0" w:color="000000"/>
            </w:tcBorders>
            <w:shd w:val="clear" w:color="auto" w:fill="auto"/>
            <w:noWrap/>
            <w:vAlign w:val="center"/>
            <w:hideMark/>
          </w:tcPr>
          <w:p w14:paraId="2EE3EB13" w14:textId="77777777" w:rsidR="00D20E66" w:rsidRPr="007F7656" w:rsidRDefault="00D20E66" w:rsidP="0021266E">
            <w:pPr>
              <w:spacing w:after="0" w:line="276" w:lineRule="auto"/>
              <w:jc w:val="center"/>
              <w:rPr>
                <w:rFonts w:asciiTheme="majorBidi" w:eastAsia="Times New Roman" w:hAnsiTheme="majorBidi" w:cstheme="majorBidi"/>
                <w:b/>
                <w:bCs/>
                <w:sz w:val="18"/>
                <w:szCs w:val="18"/>
              </w:rPr>
            </w:pPr>
            <w:r w:rsidRPr="007F7656">
              <w:rPr>
                <w:rFonts w:asciiTheme="majorBidi" w:eastAsia="Times New Roman" w:hAnsiTheme="majorBidi" w:cstheme="majorBidi"/>
                <w:b/>
                <w:bCs/>
                <w:sz w:val="18"/>
                <w:szCs w:val="18"/>
              </w:rPr>
              <w:t>0.026</w:t>
            </w:r>
          </w:p>
        </w:tc>
      </w:tr>
    </w:tbl>
    <w:p w14:paraId="12D8896E" w14:textId="1FBA40C6" w:rsidR="005A175F" w:rsidRPr="004637F0" w:rsidRDefault="005A175F" w:rsidP="00FE0405">
      <w:pPr>
        <w:bidi/>
        <w:spacing w:line="276" w:lineRule="auto"/>
        <w:jc w:val="right"/>
        <w:rPr>
          <w:rFonts w:asciiTheme="majorBidi" w:hAnsiTheme="majorBidi" w:cstheme="majorBidi"/>
          <w:sz w:val="21"/>
          <w:szCs w:val="21"/>
        </w:rPr>
      </w:pPr>
      <w:r w:rsidRPr="004637F0">
        <w:rPr>
          <w:rFonts w:asciiTheme="majorBidi" w:hAnsiTheme="majorBidi" w:cstheme="majorBidi"/>
          <w:sz w:val="21"/>
          <w:szCs w:val="21"/>
        </w:rPr>
        <w:t xml:space="preserve">* Total </w:t>
      </w:r>
      <w:r w:rsidR="00FE0405" w:rsidRPr="004637F0">
        <w:rPr>
          <w:rFonts w:asciiTheme="majorBidi" w:hAnsiTheme="majorBidi" w:cstheme="majorBidi"/>
          <w:sz w:val="21"/>
          <w:szCs w:val="21"/>
        </w:rPr>
        <w:t>number of moderate, severe and extremely severe cases</w:t>
      </w:r>
    </w:p>
    <w:p w14:paraId="200E6828" w14:textId="633F6A29" w:rsidR="00B54C43" w:rsidRPr="00105DBB" w:rsidRDefault="00B54C43" w:rsidP="0021266E">
      <w:pPr>
        <w:spacing w:before="240" w:after="0" w:line="276" w:lineRule="auto"/>
        <w:jc w:val="both"/>
        <w:rPr>
          <w:rFonts w:asciiTheme="majorBidi" w:hAnsiTheme="majorBidi" w:cstheme="majorBidi"/>
          <w:b/>
          <w:bCs/>
          <w:sz w:val="24"/>
          <w:szCs w:val="24"/>
        </w:rPr>
      </w:pPr>
      <w:r w:rsidRPr="00105DBB">
        <w:rPr>
          <w:rFonts w:asciiTheme="majorBidi" w:hAnsiTheme="majorBidi" w:cstheme="majorBidi"/>
          <w:b/>
          <w:bCs/>
          <w:sz w:val="24"/>
          <w:szCs w:val="24"/>
        </w:rPr>
        <w:t>DISCUSSION</w:t>
      </w:r>
    </w:p>
    <w:p w14:paraId="6D7F3311" w14:textId="77777777" w:rsidR="0076677E" w:rsidRPr="00105DBB" w:rsidRDefault="005A6309" w:rsidP="004637F0">
      <w:pPr>
        <w:spacing w:line="276" w:lineRule="auto"/>
        <w:ind w:firstLine="360"/>
        <w:jc w:val="both"/>
        <w:rPr>
          <w:rFonts w:asciiTheme="majorBidi" w:hAnsiTheme="majorBidi" w:cstheme="majorBidi"/>
          <w:sz w:val="24"/>
          <w:szCs w:val="24"/>
        </w:rPr>
      </w:pPr>
      <w:r w:rsidRPr="00105DBB">
        <w:rPr>
          <w:rFonts w:asciiTheme="majorBidi" w:hAnsiTheme="majorBidi" w:cstheme="majorBidi"/>
          <w:sz w:val="24"/>
          <w:szCs w:val="24"/>
        </w:rPr>
        <w:t xml:space="preserve">Recent </w:t>
      </w:r>
      <w:r w:rsidR="00C529FE" w:rsidRPr="00105DBB">
        <w:rPr>
          <w:rFonts w:asciiTheme="majorBidi" w:hAnsiTheme="majorBidi" w:cstheme="majorBidi"/>
          <w:sz w:val="24"/>
          <w:szCs w:val="24"/>
        </w:rPr>
        <w:t xml:space="preserve">economic and social insecurity </w:t>
      </w:r>
      <w:r w:rsidRPr="00105DBB">
        <w:rPr>
          <w:rFonts w:asciiTheme="majorBidi" w:hAnsiTheme="majorBidi" w:cstheme="majorBidi"/>
          <w:sz w:val="24"/>
          <w:szCs w:val="24"/>
        </w:rPr>
        <w:t xml:space="preserve">in the country have caused socioeconomic distress among ordinary Afghan population, which in turn may have led to higher levels of anxiety and depression in the community. </w:t>
      </w:r>
      <w:r w:rsidR="009A3847" w:rsidRPr="00105DBB">
        <w:rPr>
          <w:rFonts w:asciiTheme="majorBidi" w:hAnsiTheme="majorBidi" w:cstheme="majorBidi"/>
          <w:sz w:val="24"/>
          <w:szCs w:val="24"/>
        </w:rPr>
        <w:t>This</w:t>
      </w:r>
      <w:r w:rsidR="00731425" w:rsidRPr="00105DBB">
        <w:rPr>
          <w:rFonts w:asciiTheme="majorBidi" w:hAnsiTheme="majorBidi" w:cstheme="majorBidi"/>
          <w:sz w:val="24"/>
          <w:szCs w:val="24"/>
        </w:rPr>
        <w:t xml:space="preserve"> study assessed</w:t>
      </w:r>
      <w:r w:rsidR="009A3847" w:rsidRPr="00105DBB">
        <w:rPr>
          <w:rFonts w:asciiTheme="majorBidi" w:hAnsiTheme="majorBidi" w:cstheme="majorBidi"/>
          <w:sz w:val="24"/>
          <w:szCs w:val="24"/>
        </w:rPr>
        <w:t xml:space="preserve"> the prevalence of anxiety and depression</w:t>
      </w:r>
      <w:r w:rsidR="006962B0" w:rsidRPr="00105DBB">
        <w:rPr>
          <w:rFonts w:asciiTheme="majorBidi" w:hAnsiTheme="majorBidi" w:cstheme="majorBidi"/>
          <w:sz w:val="24"/>
          <w:szCs w:val="24"/>
        </w:rPr>
        <w:t>,</w:t>
      </w:r>
      <w:r w:rsidR="009A3847" w:rsidRPr="00105DBB">
        <w:rPr>
          <w:rFonts w:asciiTheme="majorBidi" w:hAnsiTheme="majorBidi" w:cstheme="majorBidi"/>
          <w:sz w:val="24"/>
          <w:szCs w:val="24"/>
        </w:rPr>
        <w:t xml:space="preserve"> and their association with resilience among staff of Herat University, after recent </w:t>
      </w:r>
      <w:r w:rsidR="00C529FE" w:rsidRPr="00105DBB">
        <w:rPr>
          <w:rFonts w:asciiTheme="majorBidi" w:hAnsiTheme="majorBidi" w:cstheme="majorBidi"/>
          <w:sz w:val="24"/>
          <w:szCs w:val="24"/>
        </w:rPr>
        <w:t xml:space="preserve">developments </w:t>
      </w:r>
      <w:r w:rsidR="007F3326" w:rsidRPr="00105DBB">
        <w:rPr>
          <w:rFonts w:asciiTheme="majorBidi" w:hAnsiTheme="majorBidi" w:cstheme="majorBidi"/>
          <w:sz w:val="24"/>
          <w:szCs w:val="24"/>
        </w:rPr>
        <w:t xml:space="preserve">in Afghanistan. </w:t>
      </w:r>
    </w:p>
    <w:p w14:paraId="1D54D15E" w14:textId="749CC13F" w:rsidR="0076677E" w:rsidRPr="00105DBB" w:rsidRDefault="00CC6B55" w:rsidP="004637F0">
      <w:pPr>
        <w:spacing w:line="276" w:lineRule="auto"/>
        <w:ind w:firstLine="360"/>
        <w:jc w:val="both"/>
        <w:rPr>
          <w:rFonts w:asciiTheme="majorBidi" w:hAnsiTheme="majorBidi" w:cstheme="majorBidi"/>
          <w:sz w:val="24"/>
          <w:szCs w:val="24"/>
        </w:rPr>
      </w:pPr>
      <w:r w:rsidRPr="00105DBB">
        <w:rPr>
          <w:rFonts w:asciiTheme="majorBidi" w:hAnsiTheme="majorBidi" w:cstheme="majorBidi"/>
          <w:sz w:val="24"/>
          <w:szCs w:val="24"/>
        </w:rPr>
        <w:t xml:space="preserve">The prevalence of </w:t>
      </w:r>
      <w:r w:rsidR="00D539A4" w:rsidRPr="00105DBB">
        <w:rPr>
          <w:rFonts w:asciiTheme="majorBidi" w:hAnsiTheme="majorBidi" w:cstheme="majorBidi"/>
          <w:sz w:val="24"/>
          <w:szCs w:val="24"/>
        </w:rPr>
        <w:t>anxiety</w:t>
      </w:r>
      <w:r w:rsidRPr="00105DBB">
        <w:rPr>
          <w:rFonts w:asciiTheme="majorBidi" w:hAnsiTheme="majorBidi" w:cstheme="majorBidi"/>
          <w:sz w:val="24"/>
          <w:szCs w:val="24"/>
        </w:rPr>
        <w:t xml:space="preserve"> among staff of Herat University in this study </w:t>
      </w:r>
      <w:r w:rsidR="00D539A4" w:rsidRPr="00105DBB">
        <w:rPr>
          <w:rFonts w:asciiTheme="majorBidi" w:hAnsiTheme="majorBidi" w:cstheme="majorBidi"/>
          <w:sz w:val="24"/>
          <w:szCs w:val="24"/>
        </w:rPr>
        <w:t xml:space="preserve">was 85.6%. </w:t>
      </w:r>
      <w:r w:rsidR="00272E41" w:rsidRPr="00105DBB">
        <w:rPr>
          <w:rFonts w:asciiTheme="majorBidi" w:hAnsiTheme="majorBidi" w:cstheme="majorBidi"/>
          <w:sz w:val="24"/>
          <w:szCs w:val="24"/>
        </w:rPr>
        <w:t xml:space="preserve">This </w:t>
      </w:r>
      <w:r w:rsidR="009E2945" w:rsidRPr="00105DBB">
        <w:rPr>
          <w:rFonts w:asciiTheme="majorBidi" w:hAnsiTheme="majorBidi" w:cstheme="majorBidi"/>
          <w:sz w:val="24"/>
          <w:szCs w:val="24"/>
        </w:rPr>
        <w:t>indicate</w:t>
      </w:r>
      <w:r w:rsidR="00671C46" w:rsidRPr="00105DBB">
        <w:rPr>
          <w:rFonts w:asciiTheme="majorBidi" w:hAnsiTheme="majorBidi" w:cstheme="majorBidi"/>
          <w:sz w:val="24"/>
          <w:szCs w:val="24"/>
        </w:rPr>
        <w:t>s</w:t>
      </w:r>
      <w:r w:rsidR="00201906" w:rsidRPr="00105DBB">
        <w:rPr>
          <w:rFonts w:asciiTheme="majorBidi" w:hAnsiTheme="majorBidi" w:cstheme="majorBidi"/>
          <w:sz w:val="24"/>
          <w:szCs w:val="24"/>
        </w:rPr>
        <w:t xml:space="preserve"> a considerably significant surge in the level of anxiety </w:t>
      </w:r>
      <w:r w:rsidR="00F12079" w:rsidRPr="00105DBB">
        <w:rPr>
          <w:rFonts w:asciiTheme="majorBidi" w:hAnsiTheme="majorBidi" w:cstheme="majorBidi"/>
          <w:sz w:val="24"/>
          <w:szCs w:val="24"/>
        </w:rPr>
        <w:t xml:space="preserve">in the community since 2017. </w:t>
      </w:r>
      <w:r w:rsidR="009E2945" w:rsidRPr="00105DBB">
        <w:rPr>
          <w:rFonts w:asciiTheme="majorBidi" w:hAnsiTheme="majorBidi" w:cstheme="majorBidi"/>
          <w:sz w:val="24"/>
          <w:szCs w:val="24"/>
        </w:rPr>
        <w:t>In</w:t>
      </w:r>
      <w:r w:rsidR="00F12079" w:rsidRPr="00105DBB">
        <w:rPr>
          <w:rFonts w:asciiTheme="majorBidi" w:hAnsiTheme="majorBidi" w:cstheme="majorBidi"/>
          <w:sz w:val="24"/>
          <w:szCs w:val="24"/>
        </w:rPr>
        <w:t xml:space="preserve"> 2017</w:t>
      </w:r>
      <w:r w:rsidR="009E2945" w:rsidRPr="00105DBB">
        <w:rPr>
          <w:rFonts w:asciiTheme="majorBidi" w:hAnsiTheme="majorBidi" w:cstheme="majorBidi"/>
          <w:sz w:val="24"/>
          <w:szCs w:val="24"/>
        </w:rPr>
        <w:t>,</w:t>
      </w:r>
      <w:r w:rsidR="00F12079" w:rsidRPr="00105DBB">
        <w:rPr>
          <w:rFonts w:asciiTheme="majorBidi" w:hAnsiTheme="majorBidi" w:cstheme="majorBidi"/>
          <w:sz w:val="24"/>
          <w:szCs w:val="24"/>
        </w:rPr>
        <w:t xml:space="preserve"> </w:t>
      </w:r>
      <w:r w:rsidR="009E2945" w:rsidRPr="00105DBB">
        <w:rPr>
          <w:rFonts w:asciiTheme="majorBidi" w:hAnsiTheme="majorBidi" w:cstheme="majorBidi"/>
          <w:sz w:val="24"/>
          <w:szCs w:val="24"/>
        </w:rPr>
        <w:t>WHO reported a 4.0% prevalence</w:t>
      </w:r>
      <w:r w:rsidR="002515BE" w:rsidRPr="00105DBB">
        <w:rPr>
          <w:rFonts w:asciiTheme="majorBidi" w:hAnsiTheme="majorBidi" w:cstheme="majorBidi"/>
          <w:sz w:val="24"/>
          <w:szCs w:val="24"/>
        </w:rPr>
        <w:t xml:space="preserve"> and the National Mental Health Survey and Assessment of Mental Healt</w:t>
      </w:r>
      <w:r w:rsidR="007D7887" w:rsidRPr="00105DBB">
        <w:rPr>
          <w:rFonts w:asciiTheme="majorBidi" w:hAnsiTheme="majorBidi" w:cstheme="majorBidi"/>
          <w:sz w:val="24"/>
          <w:szCs w:val="24"/>
        </w:rPr>
        <w:t>h Services in Afghanistan</w:t>
      </w:r>
      <w:r w:rsidR="002515BE" w:rsidRPr="00105DBB">
        <w:rPr>
          <w:rFonts w:asciiTheme="majorBidi" w:hAnsiTheme="majorBidi" w:cstheme="majorBidi"/>
          <w:sz w:val="24"/>
          <w:szCs w:val="24"/>
        </w:rPr>
        <w:t xml:space="preserve"> reported a 2.78% prevalence </w:t>
      </w:r>
      <w:r w:rsidR="009E2945" w:rsidRPr="00105DBB">
        <w:rPr>
          <w:rFonts w:asciiTheme="majorBidi" w:hAnsiTheme="majorBidi" w:cstheme="majorBidi"/>
          <w:sz w:val="24"/>
          <w:szCs w:val="24"/>
        </w:rPr>
        <w:t>of anxiety in Afghan population</w:t>
      </w:r>
      <w:r w:rsidR="007D7887" w:rsidRPr="00105DBB">
        <w:rPr>
          <w:rFonts w:asciiTheme="majorBidi" w:hAnsiTheme="majorBidi" w:cstheme="majorBidi"/>
          <w:sz w:val="24"/>
          <w:szCs w:val="24"/>
        </w:rPr>
        <w:t xml:space="preserve"> (</w:t>
      </w:r>
      <w:proofErr w:type="spellStart"/>
      <w:r w:rsidR="007D7887" w:rsidRPr="00105DBB">
        <w:rPr>
          <w:rFonts w:asciiTheme="majorBidi" w:hAnsiTheme="majorBidi" w:cstheme="majorBidi"/>
          <w:sz w:val="24"/>
          <w:szCs w:val="24"/>
        </w:rPr>
        <w:t>Kovess-Masfety</w:t>
      </w:r>
      <w:proofErr w:type="spellEnd"/>
      <w:r w:rsidR="007D7887" w:rsidRPr="00105DBB">
        <w:rPr>
          <w:rFonts w:asciiTheme="majorBidi" w:hAnsiTheme="majorBidi" w:cstheme="majorBidi"/>
          <w:sz w:val="24"/>
          <w:szCs w:val="24"/>
        </w:rPr>
        <w:t xml:space="preserve"> &amp;</w:t>
      </w:r>
      <w:r w:rsidR="00676D3D" w:rsidRPr="00105DBB">
        <w:rPr>
          <w:rFonts w:asciiTheme="majorBidi" w:hAnsiTheme="majorBidi" w:cstheme="majorBidi"/>
          <w:sz w:val="24"/>
          <w:szCs w:val="24"/>
        </w:rPr>
        <w:t xml:space="preserve"> </w:t>
      </w:r>
      <w:proofErr w:type="spellStart"/>
      <w:r w:rsidR="00676D3D" w:rsidRPr="00105DBB">
        <w:rPr>
          <w:rFonts w:asciiTheme="majorBidi" w:hAnsiTheme="majorBidi" w:cstheme="majorBidi"/>
          <w:sz w:val="24"/>
          <w:szCs w:val="24"/>
        </w:rPr>
        <w:t>Sabawoon</w:t>
      </w:r>
      <w:proofErr w:type="spellEnd"/>
      <w:r w:rsidR="00676D3D" w:rsidRPr="00105DBB">
        <w:rPr>
          <w:rFonts w:asciiTheme="majorBidi" w:hAnsiTheme="majorBidi" w:cstheme="majorBidi"/>
          <w:sz w:val="24"/>
          <w:szCs w:val="24"/>
        </w:rPr>
        <w:t>,</w:t>
      </w:r>
      <w:r w:rsidR="007D7887" w:rsidRPr="00105DBB">
        <w:rPr>
          <w:rFonts w:asciiTheme="majorBidi" w:hAnsiTheme="majorBidi" w:cstheme="majorBidi"/>
          <w:sz w:val="24"/>
          <w:szCs w:val="24"/>
        </w:rPr>
        <w:t xml:space="preserve"> 2018)</w:t>
      </w:r>
      <w:r w:rsidR="009E2945" w:rsidRPr="00105DBB">
        <w:rPr>
          <w:rFonts w:asciiTheme="majorBidi" w:hAnsiTheme="majorBidi" w:cstheme="majorBidi"/>
          <w:sz w:val="24"/>
          <w:szCs w:val="24"/>
        </w:rPr>
        <w:t xml:space="preserve"> This reveals a</w:t>
      </w:r>
      <w:r w:rsidR="00671C46" w:rsidRPr="00105DBB">
        <w:rPr>
          <w:rFonts w:asciiTheme="majorBidi" w:hAnsiTheme="majorBidi" w:cstheme="majorBidi"/>
          <w:sz w:val="24"/>
          <w:szCs w:val="24"/>
        </w:rPr>
        <w:t xml:space="preserve"> &gt;20-fold increase in the level of anxiety among sampled-population. Another study by Niazi (2018) re</w:t>
      </w:r>
      <w:r w:rsidR="00A77BA1" w:rsidRPr="00105DBB">
        <w:rPr>
          <w:rFonts w:asciiTheme="majorBidi" w:hAnsiTheme="majorBidi" w:cstheme="majorBidi"/>
          <w:sz w:val="24"/>
          <w:szCs w:val="24"/>
        </w:rPr>
        <w:t xml:space="preserve">vealed a 67.9% anxiety prevalence among pregnant women in Herat city of Afghanistan, which is lower than the result obtained in this study. The findings of this study is considerably higher </w:t>
      </w:r>
      <w:r w:rsidR="00730D93" w:rsidRPr="00105DBB">
        <w:rPr>
          <w:rFonts w:asciiTheme="majorBidi" w:hAnsiTheme="majorBidi" w:cstheme="majorBidi"/>
          <w:sz w:val="24"/>
          <w:szCs w:val="24"/>
        </w:rPr>
        <w:t xml:space="preserve">than results reported </w:t>
      </w:r>
      <w:r w:rsidR="009E7948" w:rsidRPr="00105DBB">
        <w:rPr>
          <w:rFonts w:asciiTheme="majorBidi" w:hAnsiTheme="majorBidi" w:cstheme="majorBidi"/>
          <w:sz w:val="24"/>
          <w:szCs w:val="24"/>
        </w:rPr>
        <w:t xml:space="preserve">from Canadian farmers (50.7%), </w:t>
      </w:r>
      <w:r w:rsidR="000A62D6" w:rsidRPr="00105DBB">
        <w:rPr>
          <w:rFonts w:asciiTheme="majorBidi" w:hAnsiTheme="majorBidi" w:cstheme="majorBidi"/>
          <w:sz w:val="24"/>
          <w:szCs w:val="24"/>
        </w:rPr>
        <w:t>Malaysia</w:t>
      </w:r>
      <w:r w:rsidR="009E7948" w:rsidRPr="00105DBB">
        <w:rPr>
          <w:rFonts w:asciiTheme="majorBidi" w:hAnsiTheme="majorBidi" w:cstheme="majorBidi"/>
          <w:sz w:val="24"/>
          <w:szCs w:val="24"/>
        </w:rPr>
        <w:t>n university workers</w:t>
      </w:r>
      <w:r w:rsidR="000A62D6" w:rsidRPr="00105DBB">
        <w:rPr>
          <w:rFonts w:asciiTheme="majorBidi" w:hAnsiTheme="majorBidi" w:cstheme="majorBidi"/>
          <w:sz w:val="24"/>
          <w:szCs w:val="24"/>
        </w:rPr>
        <w:t xml:space="preserve"> (50.1%)</w:t>
      </w:r>
      <w:r w:rsidR="009E7948" w:rsidRPr="00105DBB">
        <w:rPr>
          <w:rFonts w:asciiTheme="majorBidi" w:hAnsiTheme="majorBidi" w:cstheme="majorBidi"/>
          <w:sz w:val="24"/>
          <w:szCs w:val="24"/>
        </w:rPr>
        <w:t xml:space="preserve">, Afghan hypertensive outpatients (47.3%), </w:t>
      </w:r>
      <w:r w:rsidR="007E0F65" w:rsidRPr="00105DBB">
        <w:rPr>
          <w:rFonts w:asciiTheme="majorBidi" w:hAnsiTheme="majorBidi" w:cstheme="majorBidi"/>
          <w:sz w:val="24"/>
          <w:szCs w:val="24"/>
        </w:rPr>
        <w:t>and Japanese healthcare workers (10%) (</w:t>
      </w:r>
      <w:proofErr w:type="spellStart"/>
      <w:r w:rsidR="007E0F65" w:rsidRPr="00105DBB">
        <w:rPr>
          <w:rFonts w:asciiTheme="majorBidi" w:hAnsiTheme="majorBidi" w:cstheme="majorBidi"/>
          <w:sz w:val="24"/>
          <w:szCs w:val="24"/>
        </w:rPr>
        <w:t>Manaf</w:t>
      </w:r>
      <w:proofErr w:type="spellEnd"/>
      <w:r w:rsidR="007E0F65" w:rsidRPr="00105DBB">
        <w:rPr>
          <w:rFonts w:asciiTheme="majorBidi" w:hAnsiTheme="majorBidi" w:cstheme="majorBidi"/>
          <w:sz w:val="24"/>
          <w:szCs w:val="24"/>
        </w:rPr>
        <w:t xml:space="preserve"> et a., 2021; </w:t>
      </w:r>
      <w:proofErr w:type="spellStart"/>
      <w:r w:rsidR="00224A2D" w:rsidRPr="00105DBB">
        <w:rPr>
          <w:rFonts w:asciiTheme="majorBidi" w:hAnsiTheme="majorBidi" w:cstheme="majorBidi"/>
          <w:sz w:val="24"/>
          <w:szCs w:val="24"/>
        </w:rPr>
        <w:t>Awano</w:t>
      </w:r>
      <w:proofErr w:type="spellEnd"/>
      <w:r w:rsidR="00224A2D" w:rsidRPr="00105DBB">
        <w:rPr>
          <w:rFonts w:asciiTheme="majorBidi" w:hAnsiTheme="majorBidi" w:cstheme="majorBidi"/>
          <w:sz w:val="24"/>
          <w:szCs w:val="24"/>
        </w:rPr>
        <w:t xml:space="preserve"> et al., 2020; </w:t>
      </w:r>
      <w:proofErr w:type="spellStart"/>
      <w:r w:rsidR="00224A2D" w:rsidRPr="00105DBB">
        <w:rPr>
          <w:rFonts w:asciiTheme="majorBidi" w:hAnsiTheme="majorBidi" w:cstheme="majorBidi"/>
          <w:sz w:val="24"/>
          <w:szCs w:val="24"/>
        </w:rPr>
        <w:t>Hamrah</w:t>
      </w:r>
      <w:proofErr w:type="spellEnd"/>
      <w:r w:rsidR="00224A2D" w:rsidRPr="00105DBB">
        <w:rPr>
          <w:rFonts w:asciiTheme="majorBidi" w:hAnsiTheme="majorBidi" w:cstheme="majorBidi"/>
          <w:sz w:val="24"/>
          <w:szCs w:val="24"/>
        </w:rPr>
        <w:t xml:space="preserve"> et al., 2018; </w:t>
      </w:r>
      <w:r w:rsidR="00BD4133" w:rsidRPr="00105DBB">
        <w:rPr>
          <w:rFonts w:asciiTheme="majorBidi" w:hAnsiTheme="majorBidi" w:cstheme="majorBidi"/>
          <w:sz w:val="24"/>
          <w:szCs w:val="24"/>
        </w:rPr>
        <w:t>Jones-</w:t>
      </w:r>
      <w:proofErr w:type="spellStart"/>
      <w:r w:rsidR="00BD4133" w:rsidRPr="00105DBB">
        <w:rPr>
          <w:rFonts w:asciiTheme="majorBidi" w:hAnsiTheme="majorBidi" w:cstheme="majorBidi"/>
          <w:sz w:val="24"/>
          <w:szCs w:val="24"/>
        </w:rPr>
        <w:t>Bitton</w:t>
      </w:r>
      <w:proofErr w:type="spellEnd"/>
      <w:r w:rsidR="00BD4133" w:rsidRPr="00105DBB">
        <w:rPr>
          <w:rFonts w:asciiTheme="majorBidi" w:hAnsiTheme="majorBidi" w:cstheme="majorBidi"/>
          <w:sz w:val="24"/>
          <w:szCs w:val="24"/>
        </w:rPr>
        <w:t xml:space="preserve"> et al., 2020)</w:t>
      </w:r>
      <w:r w:rsidR="007E0F65" w:rsidRPr="00105DBB">
        <w:rPr>
          <w:rFonts w:asciiTheme="majorBidi" w:hAnsiTheme="majorBidi" w:cstheme="majorBidi"/>
          <w:sz w:val="24"/>
          <w:szCs w:val="24"/>
        </w:rPr>
        <w:t>.</w:t>
      </w:r>
      <w:r w:rsidR="00BD4133" w:rsidRPr="00105DBB">
        <w:rPr>
          <w:rFonts w:asciiTheme="majorBidi" w:hAnsiTheme="majorBidi" w:cstheme="majorBidi"/>
          <w:sz w:val="24"/>
          <w:szCs w:val="24"/>
        </w:rPr>
        <w:t xml:space="preserve"> </w:t>
      </w:r>
      <w:r w:rsidR="000123EE" w:rsidRPr="00105DBB">
        <w:rPr>
          <w:rFonts w:asciiTheme="majorBidi" w:hAnsiTheme="majorBidi" w:cstheme="majorBidi"/>
          <w:sz w:val="24"/>
          <w:szCs w:val="24"/>
        </w:rPr>
        <w:t xml:space="preserve">A systematic review and meta-analysis conducted by Silva et al. (2021) reported an overall </w:t>
      </w:r>
      <w:r w:rsidR="00865928" w:rsidRPr="00105DBB">
        <w:rPr>
          <w:rFonts w:asciiTheme="majorBidi" w:hAnsiTheme="majorBidi" w:cstheme="majorBidi"/>
          <w:sz w:val="24"/>
          <w:szCs w:val="24"/>
        </w:rPr>
        <w:t xml:space="preserve">prevalence of 49.4% anxiety among teachers during the COVID-19 outbreak, while another systematic </w:t>
      </w:r>
      <w:r w:rsidR="00865928" w:rsidRPr="00105DBB">
        <w:rPr>
          <w:rFonts w:asciiTheme="majorBidi" w:hAnsiTheme="majorBidi" w:cstheme="majorBidi"/>
          <w:sz w:val="24"/>
          <w:szCs w:val="24"/>
        </w:rPr>
        <w:lastRenderedPageBreak/>
        <w:t xml:space="preserve">review by </w:t>
      </w:r>
      <w:proofErr w:type="spellStart"/>
      <w:r w:rsidR="00865928" w:rsidRPr="00105DBB">
        <w:rPr>
          <w:rFonts w:asciiTheme="majorBidi" w:hAnsiTheme="majorBidi" w:cstheme="majorBidi"/>
          <w:sz w:val="24"/>
          <w:szCs w:val="24"/>
        </w:rPr>
        <w:t>Ozamiz-Etxebarria</w:t>
      </w:r>
      <w:proofErr w:type="spellEnd"/>
      <w:r w:rsidR="00865928" w:rsidRPr="00105DBB">
        <w:rPr>
          <w:rFonts w:asciiTheme="majorBidi" w:hAnsiTheme="majorBidi" w:cstheme="majorBidi"/>
          <w:sz w:val="24"/>
          <w:szCs w:val="24"/>
        </w:rPr>
        <w:t xml:space="preserve"> (</w:t>
      </w:r>
      <w:r w:rsidR="00423B88" w:rsidRPr="00105DBB">
        <w:rPr>
          <w:rFonts w:asciiTheme="majorBidi" w:hAnsiTheme="majorBidi" w:cstheme="majorBidi"/>
          <w:sz w:val="24"/>
          <w:szCs w:val="24"/>
        </w:rPr>
        <w:t xml:space="preserve">2021) reported a 17% prevalence of anxiety among teachers during COVID-19 outbreak. The difference between the results of this study and those reported herein may be attributed to recent socioeconomic constraint in Afghanistan. </w:t>
      </w:r>
      <w:r w:rsidR="007E0F65" w:rsidRPr="00105DBB">
        <w:rPr>
          <w:rFonts w:asciiTheme="majorBidi" w:hAnsiTheme="majorBidi" w:cstheme="majorBidi"/>
          <w:sz w:val="24"/>
          <w:szCs w:val="24"/>
        </w:rPr>
        <w:t xml:space="preserve"> </w:t>
      </w:r>
    </w:p>
    <w:p w14:paraId="574DDF5D" w14:textId="6735CD13" w:rsidR="0076677E" w:rsidRPr="00105DBB" w:rsidRDefault="003910ED" w:rsidP="0070239F">
      <w:pPr>
        <w:spacing w:line="276" w:lineRule="auto"/>
        <w:ind w:firstLine="360"/>
        <w:jc w:val="both"/>
        <w:rPr>
          <w:rFonts w:asciiTheme="majorBidi" w:hAnsiTheme="majorBidi" w:cstheme="majorBidi"/>
          <w:sz w:val="24"/>
          <w:szCs w:val="24"/>
        </w:rPr>
      </w:pPr>
      <w:r w:rsidRPr="00105DBB">
        <w:rPr>
          <w:rFonts w:asciiTheme="majorBidi" w:hAnsiTheme="majorBidi" w:cstheme="majorBidi"/>
          <w:sz w:val="24"/>
          <w:szCs w:val="24"/>
        </w:rPr>
        <w:t xml:space="preserve">Our results indicate </w:t>
      </w:r>
      <w:r w:rsidR="00D54EE8" w:rsidRPr="00105DBB">
        <w:rPr>
          <w:rFonts w:asciiTheme="majorBidi" w:hAnsiTheme="majorBidi" w:cstheme="majorBidi"/>
          <w:sz w:val="24"/>
          <w:szCs w:val="24"/>
        </w:rPr>
        <w:t>that the prevalence of depression among sampled population was 5</w:t>
      </w:r>
      <w:r w:rsidR="00F56655" w:rsidRPr="00105DBB">
        <w:rPr>
          <w:rFonts w:asciiTheme="majorBidi" w:hAnsiTheme="majorBidi" w:cstheme="majorBidi"/>
          <w:sz w:val="24"/>
          <w:szCs w:val="24"/>
        </w:rPr>
        <w:t>4</w:t>
      </w:r>
      <w:r w:rsidR="00D54EE8" w:rsidRPr="00105DBB">
        <w:rPr>
          <w:rFonts w:asciiTheme="majorBidi" w:hAnsiTheme="majorBidi" w:cstheme="majorBidi"/>
          <w:sz w:val="24"/>
          <w:szCs w:val="24"/>
        </w:rPr>
        <w:t xml:space="preserve">.8%. </w:t>
      </w:r>
      <w:r w:rsidR="00F56655" w:rsidRPr="00105DBB">
        <w:rPr>
          <w:rFonts w:asciiTheme="majorBidi" w:hAnsiTheme="majorBidi" w:cstheme="majorBidi"/>
          <w:sz w:val="24"/>
          <w:szCs w:val="24"/>
        </w:rPr>
        <w:t>A 2017 report of WHO revealed the prevalence of depression in general Afghan population was 3.3%</w:t>
      </w:r>
      <w:r w:rsidR="006F2A67" w:rsidRPr="00105DBB">
        <w:rPr>
          <w:rFonts w:asciiTheme="majorBidi" w:hAnsiTheme="majorBidi" w:cstheme="majorBidi"/>
          <w:sz w:val="24"/>
          <w:szCs w:val="24"/>
        </w:rPr>
        <w:t>, and the National Mental Health Survey and Assessment of Mental Healt</w:t>
      </w:r>
      <w:r w:rsidR="00AF0C10" w:rsidRPr="00105DBB">
        <w:rPr>
          <w:rFonts w:asciiTheme="majorBidi" w:hAnsiTheme="majorBidi" w:cstheme="majorBidi"/>
          <w:sz w:val="24"/>
          <w:szCs w:val="24"/>
        </w:rPr>
        <w:t>h Services in Afghanistan</w:t>
      </w:r>
      <w:r w:rsidR="006F2A67" w:rsidRPr="00105DBB">
        <w:rPr>
          <w:rFonts w:asciiTheme="majorBidi" w:hAnsiTheme="majorBidi" w:cstheme="majorBidi"/>
          <w:sz w:val="24"/>
          <w:szCs w:val="24"/>
        </w:rPr>
        <w:t xml:space="preserve"> reported </w:t>
      </w:r>
      <w:r w:rsidR="0009772A" w:rsidRPr="00105DBB">
        <w:rPr>
          <w:rFonts w:asciiTheme="majorBidi" w:hAnsiTheme="majorBidi" w:cstheme="majorBidi"/>
          <w:sz w:val="24"/>
          <w:szCs w:val="24"/>
        </w:rPr>
        <w:t>the prevalence of depression 4.9%</w:t>
      </w:r>
      <w:r w:rsidR="00AF0C10" w:rsidRPr="00105DBB">
        <w:rPr>
          <w:rFonts w:asciiTheme="majorBidi" w:hAnsiTheme="majorBidi" w:cstheme="majorBidi"/>
          <w:sz w:val="24"/>
          <w:szCs w:val="24"/>
        </w:rPr>
        <w:t xml:space="preserve"> (</w:t>
      </w:r>
      <w:proofErr w:type="spellStart"/>
      <w:r w:rsidR="00AF0C10" w:rsidRPr="00105DBB">
        <w:rPr>
          <w:rFonts w:asciiTheme="majorBidi" w:hAnsiTheme="majorBidi" w:cstheme="majorBidi"/>
          <w:sz w:val="24"/>
          <w:szCs w:val="24"/>
        </w:rPr>
        <w:t>Kovess-Masfety</w:t>
      </w:r>
      <w:proofErr w:type="spellEnd"/>
      <w:r w:rsidR="00AF0C10" w:rsidRPr="00105DBB">
        <w:rPr>
          <w:rFonts w:asciiTheme="majorBidi" w:hAnsiTheme="majorBidi" w:cstheme="majorBidi"/>
          <w:sz w:val="24"/>
          <w:szCs w:val="24"/>
        </w:rPr>
        <w:t xml:space="preserve"> &amp; </w:t>
      </w:r>
      <w:proofErr w:type="spellStart"/>
      <w:r w:rsidR="00AF0C10" w:rsidRPr="00105DBB">
        <w:rPr>
          <w:rFonts w:asciiTheme="majorBidi" w:hAnsiTheme="majorBidi" w:cstheme="majorBidi"/>
          <w:sz w:val="24"/>
          <w:szCs w:val="24"/>
        </w:rPr>
        <w:t>Sabawoon</w:t>
      </w:r>
      <w:proofErr w:type="spellEnd"/>
      <w:r w:rsidR="00AF0C10" w:rsidRPr="00105DBB">
        <w:rPr>
          <w:rFonts w:asciiTheme="majorBidi" w:hAnsiTheme="majorBidi" w:cstheme="majorBidi"/>
          <w:sz w:val="24"/>
          <w:szCs w:val="24"/>
        </w:rPr>
        <w:t>, 2018)</w:t>
      </w:r>
      <w:r w:rsidR="0009772A" w:rsidRPr="00105DBB">
        <w:rPr>
          <w:rFonts w:asciiTheme="majorBidi" w:hAnsiTheme="majorBidi" w:cstheme="majorBidi"/>
          <w:sz w:val="24"/>
          <w:szCs w:val="24"/>
        </w:rPr>
        <w:t xml:space="preserve"> This indicates an approximately 15-fold increase in the</w:t>
      </w:r>
      <w:r w:rsidR="00A31F9B" w:rsidRPr="00105DBB">
        <w:rPr>
          <w:rFonts w:asciiTheme="majorBidi" w:hAnsiTheme="majorBidi" w:cstheme="majorBidi"/>
          <w:sz w:val="24"/>
          <w:szCs w:val="24"/>
        </w:rPr>
        <w:t xml:space="preserve"> prevalence of depression since 2017 among the sampled population. </w:t>
      </w:r>
      <w:r w:rsidR="00B43C59" w:rsidRPr="00105DBB">
        <w:rPr>
          <w:rFonts w:asciiTheme="majorBidi" w:hAnsiTheme="majorBidi" w:cstheme="majorBidi"/>
          <w:sz w:val="24"/>
          <w:szCs w:val="24"/>
        </w:rPr>
        <w:t xml:space="preserve">This is consistent with the finding of </w:t>
      </w:r>
      <w:proofErr w:type="spellStart"/>
      <w:r w:rsidR="00B43C59" w:rsidRPr="00105DBB">
        <w:rPr>
          <w:rFonts w:asciiTheme="majorBidi" w:hAnsiTheme="majorBidi" w:cstheme="majorBidi"/>
          <w:sz w:val="24"/>
          <w:szCs w:val="24"/>
        </w:rPr>
        <w:t>Hamrah</w:t>
      </w:r>
      <w:proofErr w:type="spellEnd"/>
      <w:r w:rsidR="00B43C59" w:rsidRPr="00105DBB">
        <w:rPr>
          <w:rFonts w:asciiTheme="majorBidi" w:hAnsiTheme="majorBidi" w:cstheme="majorBidi"/>
          <w:sz w:val="24"/>
          <w:szCs w:val="24"/>
        </w:rPr>
        <w:t xml:space="preserve"> et al (2018) among Afghan hypertensive outpatients (</w:t>
      </w:r>
      <w:r w:rsidR="00774AFF" w:rsidRPr="00105DBB">
        <w:rPr>
          <w:rFonts w:asciiTheme="majorBidi" w:hAnsiTheme="majorBidi" w:cstheme="majorBidi"/>
          <w:sz w:val="24"/>
          <w:szCs w:val="24"/>
        </w:rPr>
        <w:t>58.1%) and another stud</w:t>
      </w:r>
      <w:r w:rsidR="00A31F9B" w:rsidRPr="00105DBB">
        <w:rPr>
          <w:rFonts w:asciiTheme="majorBidi" w:hAnsiTheme="majorBidi" w:cstheme="majorBidi"/>
          <w:sz w:val="24"/>
          <w:szCs w:val="24"/>
        </w:rPr>
        <w:t>y by Niazi (2018) revealed a 46.2% prevalence of depression among pregnant</w:t>
      </w:r>
      <w:r w:rsidR="00B43C59" w:rsidRPr="00105DBB">
        <w:rPr>
          <w:rFonts w:asciiTheme="majorBidi" w:hAnsiTheme="majorBidi" w:cstheme="majorBidi"/>
          <w:sz w:val="24"/>
          <w:szCs w:val="24"/>
        </w:rPr>
        <w:t xml:space="preserve"> women in Herat, Afghanistan</w:t>
      </w:r>
      <w:r w:rsidR="00774AFF" w:rsidRPr="00105DBB">
        <w:rPr>
          <w:rFonts w:asciiTheme="majorBidi" w:hAnsiTheme="majorBidi" w:cstheme="majorBidi"/>
          <w:sz w:val="24"/>
          <w:szCs w:val="24"/>
        </w:rPr>
        <w:t xml:space="preserve">. This shows that the level of depression in our otherwise healthy participants </w:t>
      </w:r>
      <w:r w:rsidR="009229C2" w:rsidRPr="00105DBB">
        <w:rPr>
          <w:rFonts w:asciiTheme="majorBidi" w:hAnsiTheme="majorBidi" w:cstheme="majorBidi"/>
          <w:sz w:val="24"/>
          <w:szCs w:val="24"/>
        </w:rPr>
        <w:t>is comparable</w:t>
      </w:r>
      <w:r w:rsidR="005816FC" w:rsidRPr="00105DBB">
        <w:rPr>
          <w:rFonts w:asciiTheme="majorBidi" w:hAnsiTheme="majorBidi" w:cstheme="majorBidi"/>
          <w:sz w:val="24"/>
          <w:szCs w:val="24"/>
        </w:rPr>
        <w:t xml:space="preserve"> to that of hypertensive and pregnant women, in Afghanistan. </w:t>
      </w:r>
      <w:r w:rsidR="007B3DDA" w:rsidRPr="00105DBB">
        <w:rPr>
          <w:rFonts w:asciiTheme="majorBidi" w:hAnsiTheme="majorBidi" w:cstheme="majorBidi"/>
          <w:sz w:val="24"/>
          <w:szCs w:val="24"/>
        </w:rPr>
        <w:t>The prevalence of depression in this study is significantly higher that findings of studies from Canadian farmers (34.0%),</w:t>
      </w:r>
      <w:r w:rsidR="00C65F51" w:rsidRPr="00105DBB">
        <w:rPr>
          <w:rFonts w:asciiTheme="majorBidi" w:hAnsiTheme="majorBidi" w:cstheme="majorBidi"/>
          <w:sz w:val="24"/>
          <w:szCs w:val="24"/>
        </w:rPr>
        <w:t xml:space="preserve"> Malaysian</w:t>
      </w:r>
      <w:r w:rsidR="007B3DDA" w:rsidRPr="00105DBB">
        <w:rPr>
          <w:rFonts w:asciiTheme="majorBidi" w:hAnsiTheme="majorBidi" w:cstheme="majorBidi"/>
          <w:sz w:val="24"/>
          <w:szCs w:val="24"/>
        </w:rPr>
        <w:t xml:space="preserve"> </w:t>
      </w:r>
      <w:r w:rsidR="00C65F51" w:rsidRPr="00105DBB">
        <w:rPr>
          <w:rFonts w:asciiTheme="majorBidi" w:hAnsiTheme="majorBidi" w:cstheme="majorBidi"/>
          <w:sz w:val="24"/>
          <w:szCs w:val="24"/>
        </w:rPr>
        <w:t xml:space="preserve">public university workers (28.7%), </w:t>
      </w:r>
      <w:r w:rsidR="005D779D" w:rsidRPr="00105DBB">
        <w:rPr>
          <w:rFonts w:asciiTheme="majorBidi" w:hAnsiTheme="majorBidi" w:cstheme="majorBidi"/>
          <w:sz w:val="24"/>
          <w:szCs w:val="24"/>
        </w:rPr>
        <w:t>Japanese healthcare workers during COVID-19 (27.0%)</w:t>
      </w:r>
      <w:r w:rsidR="006D7BC9" w:rsidRPr="00105DBB">
        <w:rPr>
          <w:rFonts w:asciiTheme="majorBidi" w:hAnsiTheme="majorBidi" w:cstheme="majorBidi"/>
          <w:sz w:val="24"/>
          <w:szCs w:val="24"/>
        </w:rPr>
        <w:t xml:space="preserve"> (</w:t>
      </w:r>
      <w:proofErr w:type="spellStart"/>
      <w:r w:rsidR="00680995" w:rsidRPr="00105DBB">
        <w:rPr>
          <w:rFonts w:asciiTheme="majorBidi" w:hAnsiTheme="majorBidi" w:cstheme="majorBidi"/>
          <w:sz w:val="24"/>
          <w:szCs w:val="24"/>
        </w:rPr>
        <w:t>Manaf</w:t>
      </w:r>
      <w:proofErr w:type="spellEnd"/>
      <w:r w:rsidR="00680995" w:rsidRPr="00105DBB">
        <w:rPr>
          <w:rFonts w:asciiTheme="majorBidi" w:hAnsiTheme="majorBidi" w:cstheme="majorBidi"/>
          <w:sz w:val="24"/>
          <w:szCs w:val="24"/>
        </w:rPr>
        <w:t xml:space="preserve"> et a., 2021; </w:t>
      </w:r>
      <w:proofErr w:type="spellStart"/>
      <w:r w:rsidR="00680995" w:rsidRPr="00105DBB">
        <w:rPr>
          <w:rFonts w:asciiTheme="majorBidi" w:hAnsiTheme="majorBidi" w:cstheme="majorBidi"/>
          <w:sz w:val="24"/>
          <w:szCs w:val="24"/>
        </w:rPr>
        <w:t>Awano</w:t>
      </w:r>
      <w:proofErr w:type="spellEnd"/>
      <w:r w:rsidR="00680995" w:rsidRPr="00105DBB">
        <w:rPr>
          <w:rFonts w:asciiTheme="majorBidi" w:hAnsiTheme="majorBidi" w:cstheme="majorBidi"/>
          <w:sz w:val="24"/>
          <w:szCs w:val="24"/>
        </w:rPr>
        <w:t xml:space="preserve"> et al., 2020; </w:t>
      </w:r>
      <w:proofErr w:type="spellStart"/>
      <w:r w:rsidR="00680995" w:rsidRPr="00105DBB">
        <w:rPr>
          <w:rFonts w:asciiTheme="majorBidi" w:hAnsiTheme="majorBidi" w:cstheme="majorBidi"/>
          <w:sz w:val="24"/>
          <w:szCs w:val="24"/>
        </w:rPr>
        <w:t>Hamrah</w:t>
      </w:r>
      <w:proofErr w:type="spellEnd"/>
      <w:r w:rsidR="00680995" w:rsidRPr="00105DBB">
        <w:rPr>
          <w:rFonts w:asciiTheme="majorBidi" w:hAnsiTheme="majorBidi" w:cstheme="majorBidi"/>
          <w:sz w:val="24"/>
          <w:szCs w:val="24"/>
        </w:rPr>
        <w:t xml:space="preserve"> et al., 2018; Jones-</w:t>
      </w:r>
      <w:proofErr w:type="spellStart"/>
      <w:r w:rsidR="00680995" w:rsidRPr="00105DBB">
        <w:rPr>
          <w:rFonts w:asciiTheme="majorBidi" w:hAnsiTheme="majorBidi" w:cstheme="majorBidi"/>
          <w:sz w:val="24"/>
          <w:szCs w:val="24"/>
        </w:rPr>
        <w:t>Bitton</w:t>
      </w:r>
      <w:proofErr w:type="spellEnd"/>
      <w:r w:rsidR="00680995" w:rsidRPr="00105DBB">
        <w:rPr>
          <w:rFonts w:asciiTheme="majorBidi" w:hAnsiTheme="majorBidi" w:cstheme="majorBidi"/>
          <w:sz w:val="24"/>
          <w:szCs w:val="24"/>
        </w:rPr>
        <w:t xml:space="preserve"> et al., 2020</w:t>
      </w:r>
      <w:r w:rsidR="006D7BC9" w:rsidRPr="00105DBB">
        <w:rPr>
          <w:rFonts w:asciiTheme="majorBidi" w:hAnsiTheme="majorBidi" w:cstheme="majorBidi"/>
          <w:sz w:val="24"/>
          <w:szCs w:val="24"/>
        </w:rPr>
        <w:t>)</w:t>
      </w:r>
      <w:r w:rsidR="005D779D" w:rsidRPr="00105DBB">
        <w:rPr>
          <w:rFonts w:asciiTheme="majorBidi" w:hAnsiTheme="majorBidi" w:cstheme="majorBidi"/>
          <w:sz w:val="24"/>
          <w:szCs w:val="24"/>
        </w:rPr>
        <w:t xml:space="preserve">. </w:t>
      </w:r>
      <w:r w:rsidR="003C4127" w:rsidRPr="00105DBB">
        <w:rPr>
          <w:rFonts w:asciiTheme="majorBidi" w:hAnsiTheme="majorBidi" w:cstheme="majorBidi"/>
          <w:sz w:val="24"/>
          <w:szCs w:val="24"/>
        </w:rPr>
        <w:t>Two systematic reviews among teachers during COVID-19 pandemic revealed a 28.9% and 19.0% prevalence of depression (</w:t>
      </w:r>
      <w:proofErr w:type="spellStart"/>
      <w:r w:rsidR="00A77314" w:rsidRPr="00105DBB">
        <w:rPr>
          <w:rFonts w:asciiTheme="majorBidi" w:hAnsiTheme="majorBidi" w:cstheme="majorBidi"/>
          <w:sz w:val="24"/>
          <w:szCs w:val="24"/>
        </w:rPr>
        <w:t>Ozamiz-Etxebarria</w:t>
      </w:r>
      <w:proofErr w:type="spellEnd"/>
      <w:r w:rsidR="00A77314" w:rsidRPr="00105DBB">
        <w:rPr>
          <w:rFonts w:asciiTheme="majorBidi" w:hAnsiTheme="majorBidi" w:cstheme="majorBidi"/>
          <w:sz w:val="24"/>
          <w:szCs w:val="24"/>
        </w:rPr>
        <w:t xml:space="preserve"> et al., 2021; Silva et al., 2021). The considerably higher rate of depression among our participants and research conducted elsewhere may be related to recent economic and social insecurity among sampled population.</w:t>
      </w:r>
      <w:r w:rsidR="00116A5B" w:rsidRPr="00105DBB">
        <w:rPr>
          <w:rFonts w:asciiTheme="majorBidi" w:hAnsiTheme="majorBidi" w:cstheme="majorBidi"/>
          <w:sz w:val="24"/>
          <w:szCs w:val="24"/>
        </w:rPr>
        <w:t xml:space="preserve"> In fact, our study found that a significant association exists between depression, anxiety and resilience with economic status, concern about food shortage, losing house, and losing job. While no significant association was found between depression, anxiety and resilience with gender, marital status, and los</w:t>
      </w:r>
      <w:r w:rsidR="0076677E" w:rsidRPr="00105DBB">
        <w:rPr>
          <w:rFonts w:asciiTheme="majorBidi" w:hAnsiTheme="majorBidi" w:cstheme="majorBidi"/>
          <w:sz w:val="24"/>
          <w:szCs w:val="24"/>
        </w:rPr>
        <w:t>ing family member in childhood.</w:t>
      </w:r>
    </w:p>
    <w:p w14:paraId="37317991" w14:textId="259B7114" w:rsidR="00A059F0" w:rsidRPr="00105DBB" w:rsidRDefault="00E47CDE" w:rsidP="0070239F">
      <w:pPr>
        <w:spacing w:line="276" w:lineRule="auto"/>
        <w:ind w:firstLine="360"/>
        <w:jc w:val="both"/>
        <w:rPr>
          <w:rFonts w:asciiTheme="majorBidi" w:hAnsiTheme="majorBidi" w:cstheme="majorBidi"/>
          <w:sz w:val="24"/>
          <w:szCs w:val="24"/>
        </w:rPr>
      </w:pPr>
      <w:r w:rsidRPr="00105DBB">
        <w:rPr>
          <w:rFonts w:asciiTheme="majorBidi" w:hAnsiTheme="majorBidi" w:cstheme="majorBidi"/>
          <w:sz w:val="24"/>
          <w:szCs w:val="24"/>
        </w:rPr>
        <w:t xml:space="preserve">Our results also found a significant association between depression and anxiety with the level of resilience among study participants. </w:t>
      </w:r>
      <w:r w:rsidR="00504522" w:rsidRPr="00105DBB">
        <w:rPr>
          <w:rFonts w:asciiTheme="majorBidi" w:hAnsiTheme="majorBidi" w:cstheme="majorBidi"/>
          <w:sz w:val="24"/>
          <w:szCs w:val="24"/>
        </w:rPr>
        <w:t xml:space="preserve">This is in align with the findings of other similar studies </w:t>
      </w:r>
      <w:r w:rsidR="00A059F0" w:rsidRPr="00105DBB">
        <w:rPr>
          <w:rFonts w:asciiTheme="majorBidi" w:hAnsiTheme="majorBidi" w:cstheme="majorBidi"/>
          <w:sz w:val="24"/>
          <w:szCs w:val="24"/>
        </w:rPr>
        <w:t xml:space="preserve">from </w:t>
      </w:r>
      <w:r w:rsidR="00F94242" w:rsidRPr="00105DBB">
        <w:rPr>
          <w:rFonts w:asciiTheme="majorBidi" w:hAnsiTheme="majorBidi" w:cstheme="majorBidi"/>
          <w:sz w:val="24"/>
          <w:szCs w:val="24"/>
        </w:rPr>
        <w:t xml:space="preserve">the United Kingdom, Pakistan, </w:t>
      </w:r>
      <w:r w:rsidR="00FB68ED" w:rsidRPr="00105DBB">
        <w:rPr>
          <w:rFonts w:asciiTheme="majorBidi" w:hAnsiTheme="majorBidi" w:cstheme="majorBidi"/>
          <w:sz w:val="24"/>
          <w:szCs w:val="24"/>
        </w:rPr>
        <w:t>Norway,</w:t>
      </w:r>
      <w:r w:rsidR="001A18BA" w:rsidRPr="00105DBB">
        <w:rPr>
          <w:rFonts w:asciiTheme="majorBidi" w:hAnsiTheme="majorBidi" w:cstheme="majorBidi"/>
          <w:sz w:val="24"/>
          <w:szCs w:val="24"/>
        </w:rPr>
        <w:t xml:space="preserve"> </w:t>
      </w:r>
      <w:r w:rsidR="00EE7541" w:rsidRPr="00105DBB">
        <w:rPr>
          <w:rFonts w:asciiTheme="majorBidi" w:hAnsiTheme="majorBidi" w:cstheme="majorBidi"/>
          <w:sz w:val="24"/>
          <w:szCs w:val="24"/>
        </w:rPr>
        <w:t xml:space="preserve">China, </w:t>
      </w:r>
      <w:r w:rsidR="00B56D91" w:rsidRPr="00105DBB">
        <w:rPr>
          <w:rFonts w:asciiTheme="majorBidi" w:hAnsiTheme="majorBidi" w:cstheme="majorBidi"/>
          <w:sz w:val="24"/>
          <w:szCs w:val="24"/>
        </w:rPr>
        <w:t xml:space="preserve">and the USA </w:t>
      </w:r>
      <w:r w:rsidR="005301D0" w:rsidRPr="00105DBB">
        <w:rPr>
          <w:rFonts w:asciiTheme="majorBidi" w:hAnsiTheme="majorBidi" w:cstheme="majorBidi"/>
          <w:sz w:val="24"/>
          <w:szCs w:val="24"/>
        </w:rPr>
        <w:t xml:space="preserve">that revealed an association between mental illnesses and resilience </w:t>
      </w:r>
      <w:r w:rsidR="00B56D91" w:rsidRPr="00105DBB">
        <w:rPr>
          <w:rFonts w:asciiTheme="majorBidi" w:hAnsiTheme="majorBidi" w:cstheme="majorBidi"/>
          <w:sz w:val="24"/>
          <w:szCs w:val="24"/>
        </w:rPr>
        <w:t>(</w:t>
      </w:r>
      <w:proofErr w:type="spellStart"/>
      <w:r w:rsidR="00680995" w:rsidRPr="00105DBB">
        <w:rPr>
          <w:rFonts w:asciiTheme="majorBidi" w:hAnsiTheme="majorBidi" w:cstheme="majorBidi"/>
          <w:sz w:val="24"/>
          <w:szCs w:val="24"/>
        </w:rPr>
        <w:t>Bitskika</w:t>
      </w:r>
      <w:proofErr w:type="spellEnd"/>
      <w:r w:rsidR="00680995" w:rsidRPr="00105DBB">
        <w:rPr>
          <w:rFonts w:asciiTheme="majorBidi" w:hAnsiTheme="majorBidi" w:cstheme="majorBidi"/>
          <w:sz w:val="24"/>
          <w:szCs w:val="24"/>
        </w:rPr>
        <w:t xml:space="preserve"> et al., 2013; </w:t>
      </w:r>
      <w:proofErr w:type="spellStart"/>
      <w:r w:rsidR="00B56D91" w:rsidRPr="00105DBB">
        <w:rPr>
          <w:rFonts w:asciiTheme="majorBidi" w:hAnsiTheme="majorBidi" w:cstheme="majorBidi"/>
          <w:sz w:val="24"/>
          <w:szCs w:val="24"/>
        </w:rPr>
        <w:t>Eggerman</w:t>
      </w:r>
      <w:proofErr w:type="spellEnd"/>
      <w:r w:rsidR="00B56D91" w:rsidRPr="00105DBB">
        <w:rPr>
          <w:rFonts w:asciiTheme="majorBidi" w:hAnsiTheme="majorBidi" w:cstheme="majorBidi"/>
          <w:sz w:val="24"/>
          <w:szCs w:val="24"/>
        </w:rPr>
        <w:t xml:space="preserve"> &amp; </w:t>
      </w:r>
      <w:proofErr w:type="spellStart"/>
      <w:r w:rsidR="001246E1" w:rsidRPr="00105DBB">
        <w:rPr>
          <w:rFonts w:asciiTheme="majorBidi" w:hAnsiTheme="majorBidi" w:cstheme="majorBidi"/>
          <w:sz w:val="24"/>
          <w:szCs w:val="24"/>
        </w:rPr>
        <w:t>Panter</w:t>
      </w:r>
      <w:proofErr w:type="spellEnd"/>
      <w:r w:rsidR="001246E1" w:rsidRPr="00105DBB">
        <w:rPr>
          <w:rFonts w:asciiTheme="majorBidi" w:hAnsiTheme="majorBidi" w:cstheme="majorBidi"/>
          <w:sz w:val="24"/>
          <w:szCs w:val="24"/>
        </w:rPr>
        <w:t xml:space="preserve">-Brick, 2010; </w:t>
      </w:r>
      <w:proofErr w:type="spellStart"/>
      <w:r w:rsidR="00680995" w:rsidRPr="00105DBB">
        <w:rPr>
          <w:rFonts w:asciiTheme="majorBidi" w:hAnsiTheme="majorBidi" w:cstheme="majorBidi"/>
          <w:sz w:val="24"/>
          <w:szCs w:val="24"/>
        </w:rPr>
        <w:t>Hjemdal</w:t>
      </w:r>
      <w:proofErr w:type="spellEnd"/>
      <w:r w:rsidR="00680995" w:rsidRPr="00105DBB">
        <w:rPr>
          <w:rFonts w:asciiTheme="majorBidi" w:hAnsiTheme="majorBidi" w:cstheme="majorBidi"/>
          <w:sz w:val="24"/>
          <w:szCs w:val="24"/>
        </w:rPr>
        <w:t xml:space="preserve"> et al., 2011; </w:t>
      </w:r>
      <w:proofErr w:type="spellStart"/>
      <w:r w:rsidR="00680995" w:rsidRPr="00105DBB">
        <w:rPr>
          <w:rFonts w:asciiTheme="majorBidi" w:hAnsiTheme="majorBidi" w:cstheme="majorBidi"/>
          <w:sz w:val="24"/>
          <w:szCs w:val="24"/>
        </w:rPr>
        <w:t>Mujeeb</w:t>
      </w:r>
      <w:proofErr w:type="spellEnd"/>
      <w:r w:rsidR="00680995" w:rsidRPr="00105DBB">
        <w:rPr>
          <w:rFonts w:asciiTheme="majorBidi" w:hAnsiTheme="majorBidi" w:cstheme="majorBidi"/>
          <w:sz w:val="24"/>
          <w:szCs w:val="24"/>
        </w:rPr>
        <w:t xml:space="preserve"> &amp; </w:t>
      </w:r>
      <w:proofErr w:type="spellStart"/>
      <w:r w:rsidR="00680995" w:rsidRPr="00105DBB">
        <w:rPr>
          <w:rFonts w:asciiTheme="majorBidi" w:hAnsiTheme="majorBidi" w:cstheme="majorBidi"/>
          <w:sz w:val="24"/>
          <w:szCs w:val="24"/>
        </w:rPr>
        <w:t>Zubair</w:t>
      </w:r>
      <w:proofErr w:type="spellEnd"/>
      <w:r w:rsidR="00680995" w:rsidRPr="00105DBB">
        <w:rPr>
          <w:rFonts w:asciiTheme="majorBidi" w:hAnsiTheme="majorBidi" w:cstheme="majorBidi"/>
          <w:sz w:val="24"/>
          <w:szCs w:val="24"/>
        </w:rPr>
        <w:t xml:space="preserve">, 2012; </w:t>
      </w:r>
      <w:r w:rsidR="00651153" w:rsidRPr="00105DBB">
        <w:rPr>
          <w:rFonts w:asciiTheme="majorBidi" w:hAnsiTheme="majorBidi" w:cstheme="majorBidi"/>
          <w:sz w:val="24"/>
          <w:szCs w:val="24"/>
        </w:rPr>
        <w:t>Song et al., 202</w:t>
      </w:r>
      <w:r w:rsidR="00D26EAE" w:rsidRPr="00105DBB">
        <w:rPr>
          <w:rFonts w:asciiTheme="majorBidi" w:hAnsiTheme="majorBidi" w:cstheme="majorBidi"/>
          <w:sz w:val="24"/>
          <w:szCs w:val="24"/>
        </w:rPr>
        <w:t>1</w:t>
      </w:r>
      <w:r w:rsidR="00651153" w:rsidRPr="00105DBB">
        <w:rPr>
          <w:rFonts w:asciiTheme="majorBidi" w:hAnsiTheme="majorBidi" w:cstheme="majorBidi"/>
          <w:sz w:val="24"/>
          <w:szCs w:val="24"/>
        </w:rPr>
        <w:t>)</w:t>
      </w:r>
      <w:r w:rsidR="00565472" w:rsidRPr="00105DBB">
        <w:rPr>
          <w:rFonts w:asciiTheme="majorBidi" w:hAnsiTheme="majorBidi" w:cstheme="majorBidi"/>
          <w:sz w:val="24"/>
          <w:szCs w:val="24"/>
        </w:rPr>
        <w:t>. This shows that the resilience of our study participants were considerably lower than other studies conducted elsewhere.</w:t>
      </w:r>
    </w:p>
    <w:p w14:paraId="0ADCF09C" w14:textId="6FA76009" w:rsidR="00EE2487" w:rsidRPr="00105DBB" w:rsidRDefault="00B00F6B" w:rsidP="0021266E">
      <w:pPr>
        <w:autoSpaceDE w:val="0"/>
        <w:autoSpaceDN w:val="0"/>
        <w:adjustRightInd w:val="0"/>
        <w:spacing w:after="0" w:line="276" w:lineRule="auto"/>
        <w:jc w:val="both"/>
        <w:rPr>
          <w:rFonts w:asciiTheme="majorBidi" w:hAnsiTheme="majorBidi" w:cstheme="majorBidi"/>
          <w:b/>
          <w:bCs/>
          <w:sz w:val="24"/>
          <w:szCs w:val="24"/>
        </w:rPr>
      </w:pPr>
      <w:r w:rsidRPr="00105DBB">
        <w:rPr>
          <w:rFonts w:asciiTheme="majorBidi" w:hAnsiTheme="majorBidi" w:cstheme="majorBidi"/>
          <w:b/>
          <w:bCs/>
          <w:sz w:val="24"/>
          <w:szCs w:val="24"/>
        </w:rPr>
        <w:t>CONCLUSION</w:t>
      </w:r>
    </w:p>
    <w:p w14:paraId="6BD835CB" w14:textId="33AB4DF8" w:rsidR="00AC5F68" w:rsidRPr="00105DBB" w:rsidRDefault="00AC5F68" w:rsidP="0021266E">
      <w:pPr>
        <w:autoSpaceDE w:val="0"/>
        <w:autoSpaceDN w:val="0"/>
        <w:adjustRightInd w:val="0"/>
        <w:spacing w:line="276" w:lineRule="auto"/>
        <w:jc w:val="both"/>
        <w:rPr>
          <w:rFonts w:asciiTheme="majorBidi" w:hAnsiTheme="majorBidi" w:cstheme="majorBidi"/>
          <w:sz w:val="24"/>
          <w:szCs w:val="24"/>
        </w:rPr>
      </w:pPr>
      <w:r w:rsidRPr="00105DBB">
        <w:rPr>
          <w:rFonts w:asciiTheme="majorBidi" w:hAnsiTheme="majorBidi" w:cstheme="majorBidi"/>
          <w:sz w:val="24"/>
          <w:szCs w:val="24"/>
        </w:rPr>
        <w:t>The prevalence of anxiety and depression among staff of Herat University is alarmingly high</w:t>
      </w:r>
      <w:r w:rsidR="003D2CF9" w:rsidRPr="00105DBB">
        <w:rPr>
          <w:rFonts w:asciiTheme="majorBidi" w:hAnsiTheme="majorBidi" w:cstheme="majorBidi"/>
          <w:sz w:val="24"/>
          <w:szCs w:val="24"/>
        </w:rPr>
        <w:t xml:space="preserve">; and </w:t>
      </w:r>
      <w:r w:rsidR="00B9624F" w:rsidRPr="00105DBB">
        <w:rPr>
          <w:rFonts w:asciiTheme="majorBidi" w:hAnsiTheme="majorBidi" w:cstheme="majorBidi"/>
          <w:sz w:val="24"/>
          <w:szCs w:val="24"/>
        </w:rPr>
        <w:t xml:space="preserve">a significant association existed between anxiety and depression with resilience. </w:t>
      </w:r>
      <w:r w:rsidR="00B8028A" w:rsidRPr="00105DBB">
        <w:rPr>
          <w:rFonts w:asciiTheme="majorBidi" w:hAnsiTheme="majorBidi" w:cstheme="majorBidi"/>
          <w:sz w:val="24"/>
          <w:szCs w:val="24"/>
        </w:rPr>
        <w:t xml:space="preserve">A prompt and timely intervention is mandatory to tackle this challenge. </w:t>
      </w:r>
    </w:p>
    <w:p w14:paraId="4DDAEA6D" w14:textId="41D43039" w:rsidR="00B8028A" w:rsidRPr="00105DBB" w:rsidRDefault="00B8028A" w:rsidP="0021266E">
      <w:pPr>
        <w:autoSpaceDE w:val="0"/>
        <w:autoSpaceDN w:val="0"/>
        <w:adjustRightInd w:val="0"/>
        <w:spacing w:after="0" w:line="276" w:lineRule="auto"/>
        <w:jc w:val="both"/>
        <w:rPr>
          <w:rFonts w:asciiTheme="majorBidi" w:hAnsiTheme="majorBidi" w:cstheme="majorBidi"/>
          <w:b/>
          <w:bCs/>
          <w:sz w:val="24"/>
          <w:szCs w:val="24"/>
        </w:rPr>
      </w:pPr>
      <w:r w:rsidRPr="00105DBB">
        <w:rPr>
          <w:rFonts w:asciiTheme="majorBidi" w:hAnsiTheme="majorBidi" w:cstheme="majorBidi"/>
          <w:b/>
          <w:bCs/>
          <w:sz w:val="24"/>
          <w:szCs w:val="24"/>
        </w:rPr>
        <w:t>Conflict of Interest</w:t>
      </w:r>
    </w:p>
    <w:p w14:paraId="044AC7D0" w14:textId="19A01181" w:rsidR="00B8028A" w:rsidRPr="00105DBB" w:rsidRDefault="00B8028A" w:rsidP="0021266E">
      <w:pPr>
        <w:autoSpaceDE w:val="0"/>
        <w:autoSpaceDN w:val="0"/>
        <w:adjustRightInd w:val="0"/>
        <w:spacing w:line="276" w:lineRule="auto"/>
        <w:jc w:val="both"/>
        <w:rPr>
          <w:rFonts w:asciiTheme="majorBidi" w:hAnsiTheme="majorBidi" w:cstheme="majorBidi"/>
          <w:sz w:val="24"/>
          <w:szCs w:val="24"/>
        </w:rPr>
      </w:pPr>
      <w:r w:rsidRPr="00105DBB">
        <w:rPr>
          <w:rFonts w:asciiTheme="majorBidi" w:hAnsiTheme="majorBidi" w:cstheme="majorBidi"/>
          <w:sz w:val="24"/>
          <w:szCs w:val="24"/>
        </w:rPr>
        <w:t xml:space="preserve">The authors declare </w:t>
      </w:r>
      <w:r w:rsidR="00B00F6B" w:rsidRPr="00105DBB">
        <w:rPr>
          <w:rFonts w:asciiTheme="majorBidi" w:hAnsiTheme="majorBidi" w:cstheme="majorBidi"/>
          <w:sz w:val="24"/>
          <w:szCs w:val="24"/>
        </w:rPr>
        <w:t xml:space="preserve">no conflict of interest. </w:t>
      </w:r>
    </w:p>
    <w:p w14:paraId="2CCC308C" w14:textId="3D5E409A" w:rsidR="008814B4" w:rsidRPr="00105DBB" w:rsidRDefault="008814B4" w:rsidP="0021266E">
      <w:pPr>
        <w:autoSpaceDE w:val="0"/>
        <w:autoSpaceDN w:val="0"/>
        <w:adjustRightInd w:val="0"/>
        <w:spacing w:after="0" w:line="276" w:lineRule="auto"/>
        <w:jc w:val="both"/>
        <w:rPr>
          <w:rFonts w:asciiTheme="majorBidi" w:hAnsiTheme="majorBidi" w:cstheme="majorBidi"/>
          <w:b/>
          <w:bCs/>
          <w:sz w:val="24"/>
          <w:szCs w:val="24"/>
        </w:rPr>
      </w:pPr>
      <w:r w:rsidRPr="00105DBB">
        <w:rPr>
          <w:rFonts w:asciiTheme="majorBidi" w:hAnsiTheme="majorBidi" w:cstheme="majorBidi"/>
          <w:b/>
          <w:bCs/>
          <w:sz w:val="24"/>
          <w:szCs w:val="24"/>
        </w:rPr>
        <w:lastRenderedPageBreak/>
        <w:t>Acknowledgement</w:t>
      </w:r>
    </w:p>
    <w:p w14:paraId="225937EE" w14:textId="70E462C2" w:rsidR="007B765F" w:rsidRPr="00105DBB" w:rsidRDefault="008814B4" w:rsidP="00B66DBE">
      <w:pPr>
        <w:autoSpaceDE w:val="0"/>
        <w:autoSpaceDN w:val="0"/>
        <w:adjustRightInd w:val="0"/>
        <w:spacing w:line="276" w:lineRule="auto"/>
        <w:jc w:val="both"/>
        <w:rPr>
          <w:rFonts w:asciiTheme="majorBidi" w:hAnsiTheme="majorBidi" w:cstheme="majorBidi"/>
          <w:sz w:val="24"/>
          <w:szCs w:val="24"/>
        </w:rPr>
      </w:pPr>
      <w:r w:rsidRPr="00105DBB">
        <w:rPr>
          <w:rFonts w:asciiTheme="majorBidi" w:hAnsiTheme="majorBidi" w:cstheme="majorBidi"/>
          <w:sz w:val="24"/>
          <w:szCs w:val="24"/>
        </w:rPr>
        <w:t xml:space="preserve">The authors would like to express their appreciation to Mr. </w:t>
      </w:r>
      <w:proofErr w:type="spellStart"/>
      <w:r w:rsidRPr="00105DBB">
        <w:rPr>
          <w:rFonts w:asciiTheme="majorBidi" w:hAnsiTheme="majorBidi" w:cstheme="majorBidi"/>
          <w:sz w:val="24"/>
          <w:szCs w:val="24"/>
        </w:rPr>
        <w:t>Hamidullah</w:t>
      </w:r>
      <w:proofErr w:type="spellEnd"/>
      <w:r w:rsidRPr="00105DBB">
        <w:rPr>
          <w:rFonts w:asciiTheme="majorBidi" w:hAnsiTheme="majorBidi" w:cstheme="majorBidi"/>
          <w:sz w:val="24"/>
          <w:szCs w:val="24"/>
        </w:rPr>
        <w:t xml:space="preserve"> </w:t>
      </w:r>
      <w:proofErr w:type="spellStart"/>
      <w:r w:rsidRPr="00105DBB">
        <w:rPr>
          <w:rFonts w:asciiTheme="majorBidi" w:hAnsiTheme="majorBidi" w:cstheme="majorBidi"/>
          <w:sz w:val="24"/>
          <w:szCs w:val="24"/>
        </w:rPr>
        <w:t>Faqiryan</w:t>
      </w:r>
      <w:proofErr w:type="spellEnd"/>
      <w:r w:rsidR="007B765F" w:rsidRPr="00105DBB">
        <w:rPr>
          <w:rFonts w:asciiTheme="majorBidi" w:hAnsiTheme="majorBidi" w:cstheme="majorBidi"/>
          <w:sz w:val="24"/>
          <w:szCs w:val="24"/>
        </w:rPr>
        <w:t xml:space="preserve">, </w:t>
      </w:r>
      <w:proofErr w:type="spellStart"/>
      <w:r w:rsidR="007B765F" w:rsidRPr="00105DBB">
        <w:rPr>
          <w:rFonts w:asciiTheme="majorBidi" w:hAnsiTheme="majorBidi" w:cstheme="majorBidi"/>
          <w:sz w:val="24"/>
          <w:szCs w:val="24"/>
        </w:rPr>
        <w:t>Nawroz</w:t>
      </w:r>
      <w:proofErr w:type="spellEnd"/>
      <w:r w:rsidR="007B765F" w:rsidRPr="00105DBB">
        <w:rPr>
          <w:rFonts w:asciiTheme="majorBidi" w:hAnsiTheme="majorBidi" w:cstheme="majorBidi"/>
          <w:sz w:val="24"/>
          <w:szCs w:val="24"/>
        </w:rPr>
        <w:t xml:space="preserve"> Ali </w:t>
      </w:r>
      <w:proofErr w:type="spellStart"/>
      <w:r w:rsidR="007B765F" w:rsidRPr="00105DBB">
        <w:rPr>
          <w:rFonts w:asciiTheme="majorBidi" w:hAnsiTheme="majorBidi" w:cstheme="majorBidi"/>
          <w:sz w:val="24"/>
          <w:szCs w:val="24"/>
        </w:rPr>
        <w:t>Yousofi</w:t>
      </w:r>
      <w:proofErr w:type="spellEnd"/>
      <w:r w:rsidR="007B765F" w:rsidRPr="00105DBB">
        <w:rPr>
          <w:rFonts w:asciiTheme="majorBidi" w:hAnsiTheme="majorBidi" w:cstheme="majorBidi"/>
          <w:sz w:val="24"/>
          <w:szCs w:val="24"/>
        </w:rPr>
        <w:t xml:space="preserve"> and </w:t>
      </w:r>
      <w:proofErr w:type="spellStart"/>
      <w:r w:rsidR="007B765F" w:rsidRPr="00105DBB">
        <w:rPr>
          <w:rFonts w:asciiTheme="majorBidi" w:hAnsiTheme="majorBidi" w:cstheme="majorBidi"/>
          <w:sz w:val="24"/>
          <w:szCs w:val="24"/>
        </w:rPr>
        <w:t>Hosain</w:t>
      </w:r>
      <w:proofErr w:type="spellEnd"/>
      <w:r w:rsidR="007B765F" w:rsidRPr="00105DBB">
        <w:rPr>
          <w:rFonts w:asciiTheme="majorBidi" w:hAnsiTheme="majorBidi" w:cstheme="majorBidi"/>
          <w:sz w:val="24"/>
          <w:szCs w:val="24"/>
        </w:rPr>
        <w:t xml:space="preserve"> </w:t>
      </w:r>
      <w:proofErr w:type="spellStart"/>
      <w:r w:rsidR="007B765F" w:rsidRPr="00105DBB">
        <w:rPr>
          <w:rFonts w:asciiTheme="majorBidi" w:hAnsiTheme="majorBidi" w:cstheme="majorBidi"/>
          <w:sz w:val="24"/>
          <w:szCs w:val="24"/>
        </w:rPr>
        <w:t>Adib</w:t>
      </w:r>
      <w:proofErr w:type="spellEnd"/>
      <w:r w:rsidR="007B765F" w:rsidRPr="00105DBB">
        <w:rPr>
          <w:rFonts w:asciiTheme="majorBidi" w:hAnsiTheme="majorBidi" w:cstheme="majorBidi"/>
          <w:sz w:val="24"/>
          <w:szCs w:val="24"/>
        </w:rPr>
        <w:t xml:space="preserve"> </w:t>
      </w:r>
      <w:proofErr w:type="spellStart"/>
      <w:r w:rsidR="007B765F" w:rsidRPr="00105DBB">
        <w:rPr>
          <w:rFonts w:asciiTheme="majorBidi" w:hAnsiTheme="majorBidi" w:cstheme="majorBidi"/>
          <w:sz w:val="24"/>
          <w:szCs w:val="24"/>
        </w:rPr>
        <w:t>Kazemi</w:t>
      </w:r>
      <w:proofErr w:type="spellEnd"/>
      <w:r w:rsidR="007B765F" w:rsidRPr="00105DBB">
        <w:rPr>
          <w:rFonts w:asciiTheme="majorBidi" w:hAnsiTheme="majorBidi" w:cstheme="majorBidi"/>
          <w:sz w:val="24"/>
          <w:szCs w:val="24"/>
        </w:rPr>
        <w:t xml:space="preserve"> for their assistance in data collection and data entry.</w:t>
      </w:r>
    </w:p>
    <w:p w14:paraId="011BBFCD" w14:textId="57EC4464" w:rsidR="005174B3" w:rsidRPr="00105DBB" w:rsidRDefault="005174B3" w:rsidP="007F7656">
      <w:pPr>
        <w:autoSpaceDE w:val="0"/>
        <w:autoSpaceDN w:val="0"/>
        <w:adjustRightInd w:val="0"/>
        <w:spacing w:after="0" w:line="276" w:lineRule="auto"/>
        <w:jc w:val="both"/>
        <w:rPr>
          <w:rFonts w:asciiTheme="majorBidi" w:hAnsiTheme="majorBidi" w:cstheme="majorBidi"/>
          <w:b/>
          <w:bCs/>
          <w:sz w:val="24"/>
          <w:szCs w:val="24"/>
        </w:rPr>
      </w:pPr>
      <w:r w:rsidRPr="00105DBB">
        <w:rPr>
          <w:rFonts w:asciiTheme="majorBidi" w:hAnsiTheme="majorBidi" w:cstheme="majorBidi"/>
          <w:b/>
          <w:bCs/>
          <w:sz w:val="24"/>
          <w:szCs w:val="24"/>
        </w:rPr>
        <w:t>REFERENCES</w:t>
      </w:r>
    </w:p>
    <w:p w14:paraId="4D8B90C8" w14:textId="77777777" w:rsidR="005174B3" w:rsidRPr="00105DBB" w:rsidRDefault="005174B3" w:rsidP="007F7656">
      <w:pPr>
        <w:autoSpaceDE w:val="0"/>
        <w:autoSpaceDN w:val="0"/>
        <w:adjustRightInd w:val="0"/>
        <w:spacing w:line="276" w:lineRule="auto"/>
        <w:ind w:left="360" w:hanging="360"/>
        <w:jc w:val="both"/>
        <w:rPr>
          <w:rFonts w:asciiTheme="majorBidi" w:hAnsiTheme="majorBidi" w:cstheme="majorBidi"/>
          <w:sz w:val="24"/>
          <w:szCs w:val="24"/>
        </w:rPr>
      </w:pPr>
      <w:proofErr w:type="spellStart"/>
      <w:r w:rsidRPr="00105DBB">
        <w:rPr>
          <w:rFonts w:asciiTheme="majorBidi" w:hAnsiTheme="majorBidi" w:cstheme="majorBidi"/>
          <w:sz w:val="24"/>
          <w:szCs w:val="24"/>
        </w:rPr>
        <w:t>Awano</w:t>
      </w:r>
      <w:proofErr w:type="spellEnd"/>
      <w:r w:rsidRPr="00105DBB">
        <w:rPr>
          <w:rFonts w:asciiTheme="majorBidi" w:hAnsiTheme="majorBidi" w:cstheme="majorBidi"/>
          <w:sz w:val="24"/>
          <w:szCs w:val="24"/>
        </w:rPr>
        <w:t xml:space="preserve">, N., </w:t>
      </w:r>
      <w:proofErr w:type="spellStart"/>
      <w:r w:rsidRPr="00105DBB">
        <w:rPr>
          <w:rFonts w:asciiTheme="majorBidi" w:hAnsiTheme="majorBidi" w:cstheme="majorBidi"/>
          <w:sz w:val="24"/>
          <w:szCs w:val="24"/>
        </w:rPr>
        <w:t>Oyama</w:t>
      </w:r>
      <w:proofErr w:type="spellEnd"/>
      <w:r w:rsidRPr="00105DBB">
        <w:rPr>
          <w:rFonts w:asciiTheme="majorBidi" w:hAnsiTheme="majorBidi" w:cstheme="majorBidi"/>
          <w:sz w:val="24"/>
          <w:szCs w:val="24"/>
        </w:rPr>
        <w:t xml:space="preserve">, N., Akiyama, K., Inomata, M., </w:t>
      </w:r>
      <w:proofErr w:type="spellStart"/>
      <w:r w:rsidRPr="00105DBB">
        <w:rPr>
          <w:rFonts w:asciiTheme="majorBidi" w:hAnsiTheme="majorBidi" w:cstheme="majorBidi"/>
          <w:sz w:val="24"/>
          <w:szCs w:val="24"/>
        </w:rPr>
        <w:t>Kuse</w:t>
      </w:r>
      <w:proofErr w:type="spellEnd"/>
      <w:r w:rsidRPr="00105DBB">
        <w:rPr>
          <w:rFonts w:asciiTheme="majorBidi" w:hAnsiTheme="majorBidi" w:cstheme="majorBidi"/>
          <w:sz w:val="24"/>
          <w:szCs w:val="24"/>
        </w:rPr>
        <w:t xml:space="preserve">, N., Tone, M., ... &amp; </w:t>
      </w:r>
      <w:proofErr w:type="spellStart"/>
      <w:r w:rsidRPr="00105DBB">
        <w:rPr>
          <w:rFonts w:asciiTheme="majorBidi" w:hAnsiTheme="majorBidi" w:cstheme="majorBidi"/>
          <w:sz w:val="24"/>
          <w:szCs w:val="24"/>
        </w:rPr>
        <w:t>Izumo</w:t>
      </w:r>
      <w:proofErr w:type="spellEnd"/>
      <w:r w:rsidRPr="00105DBB">
        <w:rPr>
          <w:rFonts w:asciiTheme="majorBidi" w:hAnsiTheme="majorBidi" w:cstheme="majorBidi"/>
          <w:sz w:val="24"/>
          <w:szCs w:val="24"/>
        </w:rPr>
        <w:t xml:space="preserve">, T. (2020). Anxiety, depression, and resilience of healthcare workers in Japan during the coronavirus disease 2019 outbreak. </w:t>
      </w:r>
      <w:r w:rsidRPr="00105DBB">
        <w:rPr>
          <w:rFonts w:asciiTheme="majorBidi" w:hAnsiTheme="majorBidi" w:cstheme="majorBidi"/>
          <w:i/>
          <w:iCs/>
          <w:sz w:val="24"/>
          <w:szCs w:val="24"/>
        </w:rPr>
        <w:t>Internal medicine</w:t>
      </w:r>
      <w:r w:rsidRPr="00105DBB">
        <w:rPr>
          <w:rFonts w:asciiTheme="majorBidi" w:hAnsiTheme="majorBidi" w:cstheme="majorBidi"/>
          <w:sz w:val="24"/>
          <w:szCs w:val="24"/>
        </w:rPr>
        <w:t>, 59(21), 2693-2699.</w:t>
      </w:r>
    </w:p>
    <w:p w14:paraId="7E3E27F6" w14:textId="77777777" w:rsidR="005174B3" w:rsidRPr="00105DBB" w:rsidRDefault="005174B3" w:rsidP="007F7656">
      <w:pPr>
        <w:autoSpaceDE w:val="0"/>
        <w:autoSpaceDN w:val="0"/>
        <w:adjustRightInd w:val="0"/>
        <w:spacing w:line="276" w:lineRule="auto"/>
        <w:ind w:left="360" w:hanging="360"/>
        <w:jc w:val="both"/>
        <w:rPr>
          <w:rFonts w:asciiTheme="majorBidi" w:hAnsiTheme="majorBidi" w:cstheme="majorBidi"/>
          <w:sz w:val="24"/>
          <w:szCs w:val="24"/>
        </w:rPr>
      </w:pPr>
      <w:proofErr w:type="spellStart"/>
      <w:r w:rsidRPr="00105DBB">
        <w:rPr>
          <w:rFonts w:asciiTheme="majorBidi" w:hAnsiTheme="majorBidi" w:cstheme="majorBidi"/>
          <w:sz w:val="24"/>
          <w:szCs w:val="24"/>
        </w:rPr>
        <w:t>Bitsika</w:t>
      </w:r>
      <w:proofErr w:type="spellEnd"/>
      <w:r w:rsidRPr="00105DBB">
        <w:rPr>
          <w:rFonts w:asciiTheme="majorBidi" w:hAnsiTheme="majorBidi" w:cstheme="majorBidi"/>
          <w:sz w:val="24"/>
          <w:szCs w:val="24"/>
        </w:rPr>
        <w:t xml:space="preserve">, V., </w:t>
      </w:r>
      <w:proofErr w:type="spellStart"/>
      <w:r w:rsidRPr="00105DBB">
        <w:rPr>
          <w:rFonts w:asciiTheme="majorBidi" w:hAnsiTheme="majorBidi" w:cstheme="majorBidi"/>
          <w:sz w:val="24"/>
          <w:szCs w:val="24"/>
        </w:rPr>
        <w:t>Sharpley</w:t>
      </w:r>
      <w:proofErr w:type="spellEnd"/>
      <w:r w:rsidRPr="00105DBB">
        <w:rPr>
          <w:rFonts w:asciiTheme="majorBidi" w:hAnsiTheme="majorBidi" w:cstheme="majorBidi"/>
          <w:sz w:val="24"/>
          <w:szCs w:val="24"/>
        </w:rPr>
        <w:t xml:space="preserve">, C. F., &amp; Bell, R. (2013). The buffering effect of resilience upon stress, anxiety and depression in parents of a child with an autism spectrum disorder. </w:t>
      </w:r>
      <w:r w:rsidRPr="00105DBB">
        <w:rPr>
          <w:rFonts w:asciiTheme="majorBidi" w:hAnsiTheme="majorBidi" w:cstheme="majorBidi"/>
          <w:i/>
          <w:iCs/>
          <w:sz w:val="24"/>
          <w:szCs w:val="24"/>
        </w:rPr>
        <w:t>Journal of Developmental and Physical Disabilities</w:t>
      </w:r>
      <w:r w:rsidRPr="00105DBB">
        <w:rPr>
          <w:rFonts w:asciiTheme="majorBidi" w:hAnsiTheme="majorBidi" w:cstheme="majorBidi"/>
          <w:sz w:val="24"/>
          <w:szCs w:val="24"/>
        </w:rPr>
        <w:t>, 25(5), 533-543.</w:t>
      </w:r>
    </w:p>
    <w:p w14:paraId="31900A5E" w14:textId="382A1486" w:rsidR="005174B3" w:rsidRPr="00105DBB" w:rsidRDefault="005174B3" w:rsidP="00984CFC">
      <w:pPr>
        <w:autoSpaceDE w:val="0"/>
        <w:autoSpaceDN w:val="0"/>
        <w:adjustRightInd w:val="0"/>
        <w:spacing w:line="276" w:lineRule="auto"/>
        <w:ind w:left="360" w:hanging="360"/>
        <w:jc w:val="both"/>
        <w:rPr>
          <w:rFonts w:asciiTheme="majorBidi" w:hAnsiTheme="majorBidi" w:cstheme="majorBidi"/>
          <w:sz w:val="24"/>
          <w:szCs w:val="24"/>
        </w:rPr>
      </w:pPr>
      <w:r w:rsidRPr="00105DBB">
        <w:rPr>
          <w:rFonts w:asciiTheme="majorBidi" w:hAnsiTheme="majorBidi" w:cstheme="majorBidi"/>
          <w:sz w:val="24"/>
          <w:szCs w:val="24"/>
        </w:rPr>
        <w:t xml:space="preserve">Connor, K. M., Davidson, J. R., (2003). Development of a new resilience scale: </w:t>
      </w:r>
      <w:r w:rsidR="00984CFC" w:rsidRPr="00105DBB">
        <w:rPr>
          <w:rFonts w:asciiTheme="majorBidi" w:hAnsiTheme="majorBidi" w:cstheme="majorBidi"/>
          <w:sz w:val="24"/>
          <w:szCs w:val="24"/>
        </w:rPr>
        <w:t>T</w:t>
      </w:r>
      <w:r w:rsidRPr="00105DBB">
        <w:rPr>
          <w:rFonts w:asciiTheme="majorBidi" w:hAnsiTheme="majorBidi" w:cstheme="majorBidi"/>
          <w:sz w:val="24"/>
          <w:szCs w:val="24"/>
        </w:rPr>
        <w:t xml:space="preserve">he Connor-Davidson Resilience Scale (CD-RISC). </w:t>
      </w:r>
      <w:r w:rsidRPr="00105DBB">
        <w:rPr>
          <w:rFonts w:asciiTheme="majorBidi" w:hAnsiTheme="majorBidi" w:cstheme="majorBidi"/>
          <w:i/>
          <w:iCs/>
          <w:sz w:val="24"/>
          <w:szCs w:val="24"/>
        </w:rPr>
        <w:t>Depress Anxiety</w:t>
      </w:r>
      <w:r w:rsidRPr="00105DBB">
        <w:rPr>
          <w:rFonts w:asciiTheme="majorBidi" w:hAnsiTheme="majorBidi" w:cstheme="majorBidi"/>
          <w:sz w:val="24"/>
          <w:szCs w:val="24"/>
        </w:rPr>
        <w:t xml:space="preserve"> 18: 76–82.</w:t>
      </w:r>
    </w:p>
    <w:p w14:paraId="7DEA97AE" w14:textId="77777777" w:rsidR="005174B3" w:rsidRPr="00105DBB" w:rsidRDefault="005174B3" w:rsidP="007F7656">
      <w:pPr>
        <w:autoSpaceDE w:val="0"/>
        <w:autoSpaceDN w:val="0"/>
        <w:adjustRightInd w:val="0"/>
        <w:spacing w:line="276" w:lineRule="auto"/>
        <w:ind w:left="360" w:hanging="360"/>
        <w:jc w:val="both"/>
        <w:rPr>
          <w:rFonts w:asciiTheme="majorBidi" w:hAnsiTheme="majorBidi" w:cstheme="majorBidi"/>
          <w:sz w:val="24"/>
          <w:szCs w:val="24"/>
        </w:rPr>
      </w:pPr>
      <w:proofErr w:type="spellStart"/>
      <w:r w:rsidRPr="00105DBB">
        <w:rPr>
          <w:rFonts w:asciiTheme="majorBidi" w:hAnsiTheme="majorBidi" w:cstheme="majorBidi"/>
          <w:sz w:val="24"/>
          <w:szCs w:val="24"/>
        </w:rPr>
        <w:t>Dattani</w:t>
      </w:r>
      <w:proofErr w:type="spellEnd"/>
      <w:r w:rsidRPr="00105DBB">
        <w:rPr>
          <w:rFonts w:asciiTheme="majorBidi" w:hAnsiTheme="majorBidi" w:cstheme="majorBidi"/>
          <w:sz w:val="24"/>
          <w:szCs w:val="24"/>
        </w:rPr>
        <w:t xml:space="preserve">, S., Ritchie, H., </w:t>
      </w:r>
      <w:proofErr w:type="spellStart"/>
      <w:r w:rsidRPr="00105DBB">
        <w:rPr>
          <w:rFonts w:asciiTheme="majorBidi" w:hAnsiTheme="majorBidi" w:cstheme="majorBidi"/>
          <w:sz w:val="24"/>
          <w:szCs w:val="24"/>
        </w:rPr>
        <w:t>Roser</w:t>
      </w:r>
      <w:proofErr w:type="spellEnd"/>
      <w:r w:rsidRPr="00105DBB">
        <w:rPr>
          <w:rFonts w:asciiTheme="majorBidi" w:hAnsiTheme="majorBidi" w:cstheme="majorBidi"/>
          <w:sz w:val="24"/>
          <w:szCs w:val="24"/>
        </w:rPr>
        <w:t xml:space="preserve">, M. (2021). Mental Health. Available at: </w:t>
      </w:r>
      <w:hyperlink r:id="rId4" w:history="1">
        <w:r w:rsidRPr="00105DBB">
          <w:rPr>
            <w:rStyle w:val="Hyperlink"/>
            <w:rFonts w:asciiTheme="majorBidi" w:hAnsiTheme="majorBidi" w:cstheme="majorBidi"/>
            <w:color w:val="auto"/>
            <w:sz w:val="24"/>
            <w:szCs w:val="24"/>
          </w:rPr>
          <w:t>https://ourworldindata.org/mental-health</w:t>
        </w:r>
      </w:hyperlink>
      <w:r w:rsidRPr="00105DBB">
        <w:rPr>
          <w:rFonts w:asciiTheme="majorBidi" w:hAnsiTheme="majorBidi" w:cstheme="majorBidi"/>
          <w:sz w:val="24"/>
          <w:szCs w:val="24"/>
        </w:rPr>
        <w:t xml:space="preserve">. (accessed December, 2021). </w:t>
      </w:r>
    </w:p>
    <w:p w14:paraId="2BC9DEC1" w14:textId="7229E1D4" w:rsidR="005174B3" w:rsidRPr="00105DBB" w:rsidRDefault="00AF65E9" w:rsidP="007F7656">
      <w:pPr>
        <w:autoSpaceDE w:val="0"/>
        <w:autoSpaceDN w:val="0"/>
        <w:adjustRightInd w:val="0"/>
        <w:spacing w:line="276" w:lineRule="auto"/>
        <w:ind w:left="360" w:hanging="360"/>
        <w:jc w:val="both"/>
        <w:rPr>
          <w:rFonts w:asciiTheme="majorBidi" w:hAnsiTheme="majorBidi" w:cstheme="majorBidi"/>
          <w:sz w:val="24"/>
          <w:szCs w:val="24"/>
        </w:rPr>
      </w:pPr>
      <w:proofErr w:type="spellStart"/>
      <w:r w:rsidRPr="00105DBB">
        <w:rPr>
          <w:rFonts w:asciiTheme="majorBidi" w:hAnsiTheme="majorBidi" w:cstheme="majorBidi"/>
          <w:sz w:val="24"/>
          <w:szCs w:val="24"/>
        </w:rPr>
        <w:t>Eggerman</w:t>
      </w:r>
      <w:proofErr w:type="spellEnd"/>
      <w:r w:rsidRPr="00105DBB">
        <w:rPr>
          <w:rFonts w:asciiTheme="majorBidi" w:hAnsiTheme="majorBidi" w:cstheme="majorBidi"/>
          <w:sz w:val="24"/>
          <w:szCs w:val="24"/>
        </w:rPr>
        <w:t xml:space="preserve">, M., </w:t>
      </w:r>
      <w:proofErr w:type="spellStart"/>
      <w:r w:rsidRPr="00105DBB">
        <w:rPr>
          <w:rFonts w:asciiTheme="majorBidi" w:hAnsiTheme="majorBidi" w:cstheme="majorBidi"/>
          <w:sz w:val="24"/>
          <w:szCs w:val="24"/>
        </w:rPr>
        <w:t>Panter</w:t>
      </w:r>
      <w:proofErr w:type="spellEnd"/>
      <w:r w:rsidRPr="00105DBB">
        <w:rPr>
          <w:rFonts w:asciiTheme="majorBidi" w:hAnsiTheme="majorBidi" w:cstheme="majorBidi"/>
          <w:sz w:val="24"/>
          <w:szCs w:val="24"/>
        </w:rPr>
        <w:t xml:space="preserve">-Brick, </w:t>
      </w:r>
      <w:r w:rsidR="005174B3" w:rsidRPr="00105DBB">
        <w:rPr>
          <w:rFonts w:asciiTheme="majorBidi" w:hAnsiTheme="majorBidi" w:cstheme="majorBidi"/>
          <w:sz w:val="24"/>
          <w:szCs w:val="24"/>
        </w:rPr>
        <w:t xml:space="preserve">C. (2010). Suffering, hope, and entrapment: Resilience and cultural values in Afghanistan. </w:t>
      </w:r>
      <w:r w:rsidR="005174B3" w:rsidRPr="00105DBB">
        <w:rPr>
          <w:rFonts w:asciiTheme="majorBidi" w:hAnsiTheme="majorBidi" w:cstheme="majorBidi"/>
          <w:i/>
          <w:iCs/>
          <w:sz w:val="24"/>
          <w:szCs w:val="24"/>
        </w:rPr>
        <w:t>Social Science &amp; Medicine.</w:t>
      </w:r>
      <w:r w:rsidR="005174B3" w:rsidRPr="00105DBB">
        <w:rPr>
          <w:rFonts w:asciiTheme="majorBidi" w:hAnsiTheme="majorBidi" w:cstheme="majorBidi"/>
          <w:sz w:val="24"/>
          <w:szCs w:val="24"/>
        </w:rPr>
        <w:t xml:space="preserve"> 71:71-83.</w:t>
      </w:r>
    </w:p>
    <w:p w14:paraId="7A73655B" w14:textId="77777777" w:rsidR="005174B3" w:rsidRPr="00105DBB" w:rsidRDefault="005174B3" w:rsidP="007F7656">
      <w:pPr>
        <w:autoSpaceDE w:val="0"/>
        <w:autoSpaceDN w:val="0"/>
        <w:adjustRightInd w:val="0"/>
        <w:spacing w:line="276" w:lineRule="auto"/>
        <w:ind w:left="360" w:hanging="360"/>
        <w:jc w:val="both"/>
        <w:rPr>
          <w:rFonts w:asciiTheme="majorBidi" w:hAnsiTheme="majorBidi" w:cstheme="majorBidi"/>
          <w:sz w:val="24"/>
          <w:szCs w:val="24"/>
        </w:rPr>
      </w:pPr>
      <w:proofErr w:type="spellStart"/>
      <w:r w:rsidRPr="00105DBB">
        <w:rPr>
          <w:rFonts w:asciiTheme="majorBidi" w:hAnsiTheme="majorBidi" w:cstheme="majorBidi"/>
          <w:sz w:val="24"/>
          <w:szCs w:val="24"/>
        </w:rPr>
        <w:t>Färber</w:t>
      </w:r>
      <w:proofErr w:type="spellEnd"/>
      <w:r w:rsidRPr="00105DBB">
        <w:rPr>
          <w:rFonts w:asciiTheme="majorBidi" w:hAnsiTheme="majorBidi" w:cstheme="majorBidi"/>
          <w:sz w:val="24"/>
          <w:szCs w:val="24"/>
        </w:rPr>
        <w:t xml:space="preserve">, F., &amp; </w:t>
      </w:r>
      <w:proofErr w:type="spellStart"/>
      <w:r w:rsidRPr="00105DBB">
        <w:rPr>
          <w:rFonts w:asciiTheme="majorBidi" w:hAnsiTheme="majorBidi" w:cstheme="majorBidi"/>
          <w:sz w:val="24"/>
          <w:szCs w:val="24"/>
        </w:rPr>
        <w:t>Rosendahl</w:t>
      </w:r>
      <w:proofErr w:type="spellEnd"/>
      <w:r w:rsidRPr="00105DBB">
        <w:rPr>
          <w:rFonts w:asciiTheme="majorBidi" w:hAnsiTheme="majorBidi" w:cstheme="majorBidi"/>
          <w:sz w:val="24"/>
          <w:szCs w:val="24"/>
        </w:rPr>
        <w:t xml:space="preserve">, J. (2018). The association between resilience and mental health in the somatically ill: a systematic review and meta-analysis. </w:t>
      </w:r>
      <w:proofErr w:type="spellStart"/>
      <w:r w:rsidRPr="00105DBB">
        <w:rPr>
          <w:rFonts w:asciiTheme="majorBidi" w:hAnsiTheme="majorBidi" w:cstheme="majorBidi"/>
          <w:i/>
          <w:iCs/>
          <w:sz w:val="24"/>
          <w:szCs w:val="24"/>
        </w:rPr>
        <w:t>Deutsches</w:t>
      </w:r>
      <w:proofErr w:type="spellEnd"/>
      <w:r w:rsidRPr="00105DBB">
        <w:rPr>
          <w:rFonts w:asciiTheme="majorBidi" w:hAnsiTheme="majorBidi" w:cstheme="majorBidi"/>
          <w:i/>
          <w:iCs/>
          <w:sz w:val="24"/>
          <w:szCs w:val="24"/>
        </w:rPr>
        <w:t xml:space="preserve"> </w:t>
      </w:r>
      <w:proofErr w:type="spellStart"/>
      <w:r w:rsidRPr="00105DBB">
        <w:rPr>
          <w:rFonts w:asciiTheme="majorBidi" w:hAnsiTheme="majorBidi" w:cstheme="majorBidi"/>
          <w:i/>
          <w:iCs/>
          <w:sz w:val="24"/>
          <w:szCs w:val="24"/>
        </w:rPr>
        <w:t>Ärzteblatt</w:t>
      </w:r>
      <w:proofErr w:type="spellEnd"/>
      <w:r w:rsidRPr="00105DBB">
        <w:rPr>
          <w:rFonts w:asciiTheme="majorBidi" w:hAnsiTheme="majorBidi" w:cstheme="majorBidi"/>
          <w:i/>
          <w:iCs/>
          <w:sz w:val="24"/>
          <w:szCs w:val="24"/>
        </w:rPr>
        <w:t xml:space="preserve"> International</w:t>
      </w:r>
      <w:r w:rsidRPr="00105DBB">
        <w:rPr>
          <w:rFonts w:asciiTheme="majorBidi" w:hAnsiTheme="majorBidi" w:cstheme="majorBidi"/>
          <w:sz w:val="24"/>
          <w:szCs w:val="24"/>
        </w:rPr>
        <w:t>, 115(38), 621.</w:t>
      </w:r>
    </w:p>
    <w:p w14:paraId="38044CB2" w14:textId="77777777" w:rsidR="005174B3" w:rsidRPr="00105DBB" w:rsidRDefault="005174B3" w:rsidP="007F7656">
      <w:pPr>
        <w:autoSpaceDE w:val="0"/>
        <w:autoSpaceDN w:val="0"/>
        <w:adjustRightInd w:val="0"/>
        <w:spacing w:line="276" w:lineRule="auto"/>
        <w:ind w:left="360" w:hanging="360"/>
        <w:jc w:val="both"/>
        <w:rPr>
          <w:rFonts w:asciiTheme="majorBidi" w:hAnsiTheme="majorBidi" w:cstheme="majorBidi"/>
          <w:sz w:val="24"/>
          <w:szCs w:val="24"/>
        </w:rPr>
      </w:pPr>
      <w:proofErr w:type="spellStart"/>
      <w:r w:rsidRPr="00105DBB">
        <w:rPr>
          <w:rFonts w:asciiTheme="majorBidi" w:hAnsiTheme="majorBidi" w:cstheme="majorBidi"/>
          <w:sz w:val="24"/>
          <w:szCs w:val="24"/>
        </w:rPr>
        <w:t>Göbel</w:t>
      </w:r>
      <w:proofErr w:type="spellEnd"/>
      <w:r w:rsidRPr="00105DBB">
        <w:rPr>
          <w:rFonts w:asciiTheme="majorBidi" w:hAnsiTheme="majorBidi" w:cstheme="majorBidi"/>
          <w:sz w:val="24"/>
          <w:szCs w:val="24"/>
        </w:rPr>
        <w:t xml:space="preserve">, K., &amp; </w:t>
      </w:r>
      <w:proofErr w:type="spellStart"/>
      <w:r w:rsidRPr="00105DBB">
        <w:rPr>
          <w:rFonts w:asciiTheme="majorBidi" w:hAnsiTheme="majorBidi" w:cstheme="majorBidi"/>
          <w:sz w:val="24"/>
          <w:szCs w:val="24"/>
        </w:rPr>
        <w:t>Cohrdes</w:t>
      </w:r>
      <w:proofErr w:type="spellEnd"/>
      <w:r w:rsidRPr="00105DBB">
        <w:rPr>
          <w:rFonts w:asciiTheme="majorBidi" w:hAnsiTheme="majorBidi" w:cstheme="majorBidi"/>
          <w:sz w:val="24"/>
          <w:szCs w:val="24"/>
        </w:rPr>
        <w:t xml:space="preserve">, C. (2021). The whole is greater than the sum of its parts: profiles of multiple mental health risk factors using Latent class analysis. </w:t>
      </w:r>
      <w:r w:rsidRPr="00105DBB">
        <w:rPr>
          <w:rFonts w:asciiTheme="majorBidi" w:hAnsiTheme="majorBidi" w:cstheme="majorBidi"/>
          <w:i/>
          <w:iCs/>
          <w:sz w:val="24"/>
          <w:szCs w:val="24"/>
        </w:rPr>
        <w:t>Child and Adolescent Psychiatry and Mental Health</w:t>
      </w:r>
      <w:r w:rsidRPr="00105DBB">
        <w:rPr>
          <w:rFonts w:asciiTheme="majorBidi" w:hAnsiTheme="majorBidi" w:cstheme="majorBidi"/>
          <w:sz w:val="24"/>
          <w:szCs w:val="24"/>
        </w:rPr>
        <w:t>, 15(1), 1-15.</w:t>
      </w:r>
    </w:p>
    <w:p w14:paraId="17FF0D3A" w14:textId="77777777" w:rsidR="005174B3" w:rsidRPr="00105DBB" w:rsidRDefault="005174B3" w:rsidP="007F7656">
      <w:pPr>
        <w:autoSpaceDE w:val="0"/>
        <w:autoSpaceDN w:val="0"/>
        <w:adjustRightInd w:val="0"/>
        <w:spacing w:line="276" w:lineRule="auto"/>
        <w:ind w:left="360" w:hanging="360"/>
        <w:jc w:val="both"/>
        <w:rPr>
          <w:rFonts w:asciiTheme="majorBidi" w:hAnsiTheme="majorBidi" w:cstheme="majorBidi"/>
          <w:sz w:val="24"/>
          <w:szCs w:val="24"/>
        </w:rPr>
      </w:pPr>
      <w:proofErr w:type="spellStart"/>
      <w:r w:rsidRPr="00105DBB">
        <w:rPr>
          <w:rFonts w:asciiTheme="majorBidi" w:hAnsiTheme="majorBidi" w:cstheme="majorBidi"/>
          <w:sz w:val="24"/>
          <w:szCs w:val="24"/>
        </w:rPr>
        <w:t>Hamrah</w:t>
      </w:r>
      <w:proofErr w:type="spellEnd"/>
      <w:r w:rsidRPr="00105DBB">
        <w:rPr>
          <w:rFonts w:asciiTheme="majorBidi" w:hAnsiTheme="majorBidi" w:cstheme="majorBidi"/>
          <w:sz w:val="24"/>
          <w:szCs w:val="24"/>
        </w:rPr>
        <w:t xml:space="preserve">, M. S., </w:t>
      </w:r>
      <w:proofErr w:type="spellStart"/>
      <w:r w:rsidRPr="00105DBB">
        <w:rPr>
          <w:rFonts w:asciiTheme="majorBidi" w:hAnsiTheme="majorBidi" w:cstheme="majorBidi"/>
          <w:sz w:val="24"/>
          <w:szCs w:val="24"/>
        </w:rPr>
        <w:t>Hamrah</w:t>
      </w:r>
      <w:proofErr w:type="spellEnd"/>
      <w:r w:rsidRPr="00105DBB">
        <w:rPr>
          <w:rFonts w:asciiTheme="majorBidi" w:hAnsiTheme="majorBidi" w:cstheme="majorBidi"/>
          <w:sz w:val="24"/>
          <w:szCs w:val="24"/>
        </w:rPr>
        <w:t xml:space="preserve">, M. H., Ishii, H., Suzuki, S., </w:t>
      </w:r>
      <w:proofErr w:type="spellStart"/>
      <w:r w:rsidRPr="00105DBB">
        <w:rPr>
          <w:rFonts w:asciiTheme="majorBidi" w:hAnsiTheme="majorBidi" w:cstheme="majorBidi"/>
          <w:sz w:val="24"/>
          <w:szCs w:val="24"/>
        </w:rPr>
        <w:t>Hamrah</w:t>
      </w:r>
      <w:proofErr w:type="spellEnd"/>
      <w:r w:rsidRPr="00105DBB">
        <w:rPr>
          <w:rFonts w:asciiTheme="majorBidi" w:hAnsiTheme="majorBidi" w:cstheme="majorBidi"/>
          <w:sz w:val="24"/>
          <w:szCs w:val="24"/>
        </w:rPr>
        <w:t xml:space="preserve">, M. H., </w:t>
      </w:r>
      <w:proofErr w:type="spellStart"/>
      <w:r w:rsidRPr="00105DBB">
        <w:rPr>
          <w:rFonts w:asciiTheme="majorBidi" w:hAnsiTheme="majorBidi" w:cstheme="majorBidi"/>
          <w:sz w:val="24"/>
          <w:szCs w:val="24"/>
        </w:rPr>
        <w:t>Hamrah</w:t>
      </w:r>
      <w:proofErr w:type="spellEnd"/>
      <w:r w:rsidRPr="00105DBB">
        <w:rPr>
          <w:rFonts w:asciiTheme="majorBidi" w:hAnsiTheme="majorBidi" w:cstheme="majorBidi"/>
          <w:sz w:val="24"/>
          <w:szCs w:val="24"/>
        </w:rPr>
        <w:t xml:space="preserve">, A. E., ... &amp; </w:t>
      </w:r>
      <w:proofErr w:type="spellStart"/>
      <w:r w:rsidRPr="00105DBB">
        <w:rPr>
          <w:rFonts w:asciiTheme="majorBidi" w:hAnsiTheme="majorBidi" w:cstheme="majorBidi"/>
          <w:sz w:val="24"/>
          <w:szCs w:val="24"/>
        </w:rPr>
        <w:t>Murohara</w:t>
      </w:r>
      <w:proofErr w:type="spellEnd"/>
      <w:r w:rsidRPr="00105DBB">
        <w:rPr>
          <w:rFonts w:asciiTheme="majorBidi" w:hAnsiTheme="majorBidi" w:cstheme="majorBidi"/>
          <w:sz w:val="24"/>
          <w:szCs w:val="24"/>
        </w:rPr>
        <w:t xml:space="preserve">, T. (2018). Anxiety and depression among hypertensive outpatients in Afghanistan: a cross-sectional study in </w:t>
      </w:r>
      <w:proofErr w:type="spellStart"/>
      <w:r w:rsidRPr="00105DBB">
        <w:rPr>
          <w:rFonts w:asciiTheme="majorBidi" w:hAnsiTheme="majorBidi" w:cstheme="majorBidi"/>
          <w:sz w:val="24"/>
          <w:szCs w:val="24"/>
        </w:rPr>
        <w:t>Andkhoy</w:t>
      </w:r>
      <w:proofErr w:type="spellEnd"/>
      <w:r w:rsidRPr="00105DBB">
        <w:rPr>
          <w:rFonts w:asciiTheme="majorBidi" w:hAnsiTheme="majorBidi" w:cstheme="majorBidi"/>
          <w:sz w:val="24"/>
          <w:szCs w:val="24"/>
        </w:rPr>
        <w:t xml:space="preserve"> City. </w:t>
      </w:r>
      <w:r w:rsidRPr="00105DBB">
        <w:rPr>
          <w:rFonts w:asciiTheme="majorBidi" w:hAnsiTheme="majorBidi" w:cstheme="majorBidi"/>
          <w:i/>
          <w:iCs/>
          <w:sz w:val="24"/>
          <w:szCs w:val="24"/>
        </w:rPr>
        <w:t>International journal of hypertension</w:t>
      </w:r>
      <w:r w:rsidRPr="00105DBB">
        <w:rPr>
          <w:rFonts w:asciiTheme="majorBidi" w:hAnsiTheme="majorBidi" w:cstheme="majorBidi"/>
          <w:sz w:val="24"/>
          <w:szCs w:val="24"/>
        </w:rPr>
        <w:t>, 2018.</w:t>
      </w:r>
    </w:p>
    <w:p w14:paraId="2EAB2544" w14:textId="77777777" w:rsidR="005174B3" w:rsidRPr="00105DBB" w:rsidRDefault="005174B3" w:rsidP="007F7656">
      <w:pPr>
        <w:autoSpaceDE w:val="0"/>
        <w:autoSpaceDN w:val="0"/>
        <w:adjustRightInd w:val="0"/>
        <w:spacing w:line="276" w:lineRule="auto"/>
        <w:ind w:left="360" w:hanging="360"/>
        <w:jc w:val="both"/>
        <w:rPr>
          <w:rFonts w:asciiTheme="majorBidi" w:hAnsiTheme="majorBidi" w:cstheme="majorBidi"/>
          <w:sz w:val="24"/>
          <w:szCs w:val="24"/>
        </w:rPr>
      </w:pPr>
      <w:proofErr w:type="spellStart"/>
      <w:r w:rsidRPr="00105DBB">
        <w:rPr>
          <w:rFonts w:asciiTheme="majorBidi" w:hAnsiTheme="majorBidi" w:cstheme="majorBidi"/>
          <w:sz w:val="24"/>
          <w:szCs w:val="24"/>
        </w:rPr>
        <w:t>Hjemdal</w:t>
      </w:r>
      <w:proofErr w:type="spellEnd"/>
      <w:r w:rsidRPr="00105DBB">
        <w:rPr>
          <w:rFonts w:asciiTheme="majorBidi" w:hAnsiTheme="majorBidi" w:cstheme="majorBidi"/>
          <w:sz w:val="24"/>
          <w:szCs w:val="24"/>
        </w:rPr>
        <w:t xml:space="preserve">, O., Vogel, P. A., </w:t>
      </w:r>
      <w:proofErr w:type="spellStart"/>
      <w:r w:rsidRPr="00105DBB">
        <w:rPr>
          <w:rFonts w:asciiTheme="majorBidi" w:hAnsiTheme="majorBidi" w:cstheme="majorBidi"/>
          <w:sz w:val="24"/>
          <w:szCs w:val="24"/>
        </w:rPr>
        <w:t>Solem</w:t>
      </w:r>
      <w:proofErr w:type="spellEnd"/>
      <w:r w:rsidRPr="00105DBB">
        <w:rPr>
          <w:rFonts w:asciiTheme="majorBidi" w:hAnsiTheme="majorBidi" w:cstheme="majorBidi"/>
          <w:sz w:val="24"/>
          <w:szCs w:val="24"/>
        </w:rPr>
        <w:t xml:space="preserve">, S., Hagen, K., &amp; Stiles, T. C. (2011). The relationship between resilience and levels of anxiety, depression, and obsessive–compulsive symptoms in adolescents. </w:t>
      </w:r>
      <w:r w:rsidRPr="00105DBB">
        <w:rPr>
          <w:rFonts w:asciiTheme="majorBidi" w:hAnsiTheme="majorBidi" w:cstheme="majorBidi"/>
          <w:i/>
          <w:iCs/>
          <w:sz w:val="24"/>
          <w:szCs w:val="24"/>
        </w:rPr>
        <w:t>Clinical psychology &amp; psychotherapy</w:t>
      </w:r>
      <w:r w:rsidRPr="00105DBB">
        <w:rPr>
          <w:rFonts w:asciiTheme="majorBidi" w:hAnsiTheme="majorBidi" w:cstheme="majorBidi"/>
          <w:sz w:val="24"/>
          <w:szCs w:val="24"/>
        </w:rPr>
        <w:t>, 18(4), 314-321.</w:t>
      </w:r>
    </w:p>
    <w:p w14:paraId="76C16835" w14:textId="77777777" w:rsidR="005174B3" w:rsidRPr="00105DBB" w:rsidRDefault="005174B3" w:rsidP="007F7656">
      <w:pPr>
        <w:autoSpaceDE w:val="0"/>
        <w:autoSpaceDN w:val="0"/>
        <w:adjustRightInd w:val="0"/>
        <w:spacing w:line="276" w:lineRule="auto"/>
        <w:ind w:left="360" w:hanging="360"/>
        <w:jc w:val="both"/>
        <w:rPr>
          <w:rFonts w:asciiTheme="majorBidi" w:hAnsiTheme="majorBidi" w:cstheme="majorBidi"/>
          <w:sz w:val="24"/>
          <w:szCs w:val="24"/>
        </w:rPr>
      </w:pPr>
      <w:r w:rsidRPr="00105DBB">
        <w:rPr>
          <w:rFonts w:asciiTheme="majorBidi" w:hAnsiTheme="majorBidi" w:cstheme="majorBidi"/>
          <w:sz w:val="24"/>
          <w:szCs w:val="24"/>
        </w:rPr>
        <w:t>Jones-</w:t>
      </w:r>
      <w:proofErr w:type="spellStart"/>
      <w:r w:rsidRPr="00105DBB">
        <w:rPr>
          <w:rFonts w:asciiTheme="majorBidi" w:hAnsiTheme="majorBidi" w:cstheme="majorBidi"/>
          <w:sz w:val="24"/>
          <w:szCs w:val="24"/>
        </w:rPr>
        <w:t>Bitton</w:t>
      </w:r>
      <w:proofErr w:type="spellEnd"/>
      <w:r w:rsidRPr="00105DBB">
        <w:rPr>
          <w:rFonts w:asciiTheme="majorBidi" w:hAnsiTheme="majorBidi" w:cstheme="majorBidi"/>
          <w:sz w:val="24"/>
          <w:szCs w:val="24"/>
        </w:rPr>
        <w:t xml:space="preserve">, A., Best, C., MacTavish, J., Fleming, S., &amp; Hoy, S. (2020). Stress, anxiety, depression, and resilience in Canadian farmers. </w:t>
      </w:r>
      <w:r w:rsidRPr="00105DBB">
        <w:rPr>
          <w:rFonts w:asciiTheme="majorBidi" w:hAnsiTheme="majorBidi" w:cstheme="majorBidi"/>
          <w:i/>
          <w:iCs/>
          <w:sz w:val="24"/>
          <w:szCs w:val="24"/>
        </w:rPr>
        <w:t>Social psychiatry and psychiatric epidemiology</w:t>
      </w:r>
      <w:r w:rsidRPr="00105DBB">
        <w:rPr>
          <w:rFonts w:asciiTheme="majorBidi" w:hAnsiTheme="majorBidi" w:cstheme="majorBidi"/>
          <w:sz w:val="24"/>
          <w:szCs w:val="24"/>
        </w:rPr>
        <w:t>, 55(2), 229-236.</w:t>
      </w:r>
    </w:p>
    <w:p w14:paraId="74C7B688" w14:textId="3504823E" w:rsidR="005174B3" w:rsidRPr="00105DBB" w:rsidRDefault="005174B3" w:rsidP="007F7656">
      <w:pPr>
        <w:autoSpaceDE w:val="0"/>
        <w:autoSpaceDN w:val="0"/>
        <w:adjustRightInd w:val="0"/>
        <w:spacing w:line="276" w:lineRule="auto"/>
        <w:ind w:left="360" w:hanging="360"/>
        <w:jc w:val="both"/>
        <w:rPr>
          <w:rFonts w:asciiTheme="majorBidi" w:hAnsiTheme="majorBidi" w:cstheme="majorBidi"/>
          <w:sz w:val="24"/>
          <w:szCs w:val="24"/>
        </w:rPr>
      </w:pPr>
      <w:proofErr w:type="spellStart"/>
      <w:r w:rsidRPr="00105DBB">
        <w:rPr>
          <w:rFonts w:asciiTheme="majorBidi" w:hAnsiTheme="majorBidi" w:cstheme="majorBidi"/>
          <w:sz w:val="24"/>
          <w:szCs w:val="24"/>
        </w:rPr>
        <w:lastRenderedPageBreak/>
        <w:t>Konaszewski</w:t>
      </w:r>
      <w:proofErr w:type="spellEnd"/>
      <w:r w:rsidRPr="00105DBB">
        <w:rPr>
          <w:rFonts w:asciiTheme="majorBidi" w:hAnsiTheme="majorBidi" w:cstheme="majorBidi"/>
          <w:sz w:val="24"/>
          <w:szCs w:val="24"/>
        </w:rPr>
        <w:t xml:space="preserve">, K., </w:t>
      </w:r>
      <w:proofErr w:type="spellStart"/>
      <w:r w:rsidRPr="00105DBB">
        <w:rPr>
          <w:rFonts w:asciiTheme="majorBidi" w:hAnsiTheme="majorBidi" w:cstheme="majorBidi"/>
          <w:sz w:val="24"/>
          <w:szCs w:val="24"/>
        </w:rPr>
        <w:t>Niesiobędzka</w:t>
      </w:r>
      <w:proofErr w:type="spellEnd"/>
      <w:r w:rsidRPr="00105DBB">
        <w:rPr>
          <w:rFonts w:asciiTheme="majorBidi" w:hAnsiTheme="majorBidi" w:cstheme="majorBidi"/>
          <w:sz w:val="24"/>
          <w:szCs w:val="24"/>
        </w:rPr>
        <w:t xml:space="preserve">, M., &amp; </w:t>
      </w:r>
      <w:proofErr w:type="spellStart"/>
      <w:r w:rsidRPr="00105DBB">
        <w:rPr>
          <w:rFonts w:asciiTheme="majorBidi" w:hAnsiTheme="majorBidi" w:cstheme="majorBidi"/>
          <w:sz w:val="24"/>
          <w:szCs w:val="24"/>
        </w:rPr>
        <w:t>Surzykiewicz</w:t>
      </w:r>
      <w:proofErr w:type="spellEnd"/>
      <w:r w:rsidRPr="00105DBB">
        <w:rPr>
          <w:rFonts w:asciiTheme="majorBidi" w:hAnsiTheme="majorBidi" w:cstheme="majorBidi"/>
          <w:sz w:val="24"/>
          <w:szCs w:val="24"/>
        </w:rPr>
        <w:t xml:space="preserve">, J. (2021). Resilience and mental health among juveniles: role of strategies for coping with stress. </w:t>
      </w:r>
      <w:r w:rsidRPr="00105DBB">
        <w:rPr>
          <w:rFonts w:asciiTheme="majorBidi" w:hAnsiTheme="majorBidi" w:cstheme="majorBidi"/>
          <w:i/>
          <w:iCs/>
          <w:sz w:val="24"/>
          <w:szCs w:val="24"/>
        </w:rPr>
        <w:t>Health and quality of life outcomes</w:t>
      </w:r>
      <w:r w:rsidRPr="00105DBB">
        <w:rPr>
          <w:rFonts w:asciiTheme="majorBidi" w:hAnsiTheme="majorBidi" w:cstheme="majorBidi"/>
          <w:sz w:val="24"/>
          <w:szCs w:val="24"/>
        </w:rPr>
        <w:t>, 19(1), 1-12.</w:t>
      </w:r>
    </w:p>
    <w:p w14:paraId="090560EA" w14:textId="4B0F30B7" w:rsidR="00E83259" w:rsidRPr="00105DBB" w:rsidRDefault="00E83259" w:rsidP="002366A1">
      <w:pPr>
        <w:autoSpaceDE w:val="0"/>
        <w:autoSpaceDN w:val="0"/>
        <w:adjustRightInd w:val="0"/>
        <w:spacing w:line="276" w:lineRule="auto"/>
        <w:ind w:left="360" w:hanging="360"/>
        <w:jc w:val="both"/>
        <w:rPr>
          <w:rFonts w:asciiTheme="majorBidi" w:hAnsiTheme="majorBidi" w:cstheme="majorBidi"/>
          <w:sz w:val="24"/>
          <w:szCs w:val="24"/>
        </w:rPr>
      </w:pPr>
      <w:proofErr w:type="spellStart"/>
      <w:r w:rsidRPr="00105DBB">
        <w:rPr>
          <w:rFonts w:asciiTheme="majorBidi" w:hAnsiTheme="majorBidi" w:cstheme="majorBidi"/>
          <w:sz w:val="24"/>
          <w:szCs w:val="24"/>
        </w:rPr>
        <w:t>Kovess-Masfety</w:t>
      </w:r>
      <w:proofErr w:type="spellEnd"/>
      <w:r w:rsidRPr="00105DBB">
        <w:rPr>
          <w:rFonts w:asciiTheme="majorBidi" w:hAnsiTheme="majorBidi" w:cstheme="majorBidi"/>
          <w:sz w:val="24"/>
          <w:szCs w:val="24"/>
        </w:rPr>
        <w:t xml:space="preserve">, V., </w:t>
      </w:r>
      <w:proofErr w:type="spellStart"/>
      <w:r w:rsidRPr="00105DBB">
        <w:rPr>
          <w:rFonts w:asciiTheme="majorBidi" w:hAnsiTheme="majorBidi" w:cstheme="majorBidi"/>
          <w:sz w:val="24"/>
          <w:szCs w:val="24"/>
        </w:rPr>
        <w:t>Sabawoon</w:t>
      </w:r>
      <w:proofErr w:type="spellEnd"/>
      <w:r w:rsidRPr="00105DBB">
        <w:rPr>
          <w:rFonts w:asciiTheme="majorBidi" w:hAnsiTheme="majorBidi" w:cstheme="majorBidi"/>
          <w:sz w:val="24"/>
          <w:szCs w:val="24"/>
        </w:rPr>
        <w:t xml:space="preserve">, A. (2018). </w:t>
      </w:r>
      <w:r w:rsidR="002366A1" w:rsidRPr="00105DBB">
        <w:rPr>
          <w:rFonts w:asciiTheme="majorBidi" w:hAnsiTheme="majorBidi" w:cstheme="majorBidi"/>
          <w:sz w:val="24"/>
          <w:szCs w:val="24"/>
        </w:rPr>
        <w:t xml:space="preserve">Afghanistan National Mental Health Survey and Assessment of Mental Health Services. European Union. </w:t>
      </w:r>
      <w:r w:rsidR="00787462" w:rsidRPr="00105DBB">
        <w:rPr>
          <w:rFonts w:asciiTheme="majorBidi" w:hAnsiTheme="majorBidi" w:cstheme="majorBidi"/>
          <w:sz w:val="24"/>
          <w:szCs w:val="24"/>
        </w:rPr>
        <w:t>1-98.</w:t>
      </w:r>
    </w:p>
    <w:p w14:paraId="2CB27439" w14:textId="53BD21A0" w:rsidR="005174B3" w:rsidRPr="00105DBB" w:rsidRDefault="005174B3" w:rsidP="00FA3E2E">
      <w:pPr>
        <w:autoSpaceDE w:val="0"/>
        <w:autoSpaceDN w:val="0"/>
        <w:adjustRightInd w:val="0"/>
        <w:spacing w:line="276" w:lineRule="auto"/>
        <w:ind w:left="360" w:hanging="360"/>
        <w:jc w:val="both"/>
        <w:rPr>
          <w:rFonts w:asciiTheme="majorBidi" w:hAnsiTheme="majorBidi" w:cstheme="majorBidi"/>
          <w:sz w:val="24"/>
          <w:szCs w:val="24"/>
        </w:rPr>
      </w:pPr>
      <w:proofErr w:type="spellStart"/>
      <w:r w:rsidRPr="00105DBB">
        <w:rPr>
          <w:rFonts w:asciiTheme="majorBidi" w:hAnsiTheme="majorBidi" w:cstheme="majorBidi"/>
          <w:sz w:val="24"/>
          <w:szCs w:val="24"/>
        </w:rPr>
        <w:t>Manaf</w:t>
      </w:r>
      <w:proofErr w:type="spellEnd"/>
      <w:r w:rsidRPr="00105DBB">
        <w:rPr>
          <w:rFonts w:asciiTheme="majorBidi" w:hAnsiTheme="majorBidi" w:cstheme="majorBidi"/>
          <w:sz w:val="24"/>
          <w:szCs w:val="24"/>
        </w:rPr>
        <w:t xml:space="preserve">, </w:t>
      </w:r>
      <w:proofErr w:type="spellStart"/>
      <w:r w:rsidRPr="00105DBB">
        <w:rPr>
          <w:rFonts w:asciiTheme="majorBidi" w:hAnsiTheme="majorBidi" w:cstheme="majorBidi"/>
          <w:sz w:val="24"/>
          <w:szCs w:val="24"/>
        </w:rPr>
        <w:t>Mohd</w:t>
      </w:r>
      <w:proofErr w:type="spellEnd"/>
      <w:r w:rsidRPr="00105DBB">
        <w:rPr>
          <w:rFonts w:asciiTheme="majorBidi" w:hAnsiTheme="majorBidi" w:cstheme="majorBidi"/>
          <w:sz w:val="24"/>
          <w:szCs w:val="24"/>
        </w:rPr>
        <w:t xml:space="preserve"> Rizal Abdul, et al. "Perceived Symptoms of Depression, Anxiety and Stress amongst Staff in a Malaysian Public University: A Workers Survey"</w:t>
      </w:r>
      <w:r w:rsidR="00FA3E2E" w:rsidRPr="00105DBB">
        <w:rPr>
          <w:rFonts w:asciiTheme="majorBidi" w:hAnsiTheme="majorBidi" w:cstheme="majorBidi"/>
          <w:sz w:val="24"/>
          <w:szCs w:val="24"/>
        </w:rPr>
        <w:t>.</w:t>
      </w:r>
      <w:r w:rsidRPr="00105DBB">
        <w:rPr>
          <w:rFonts w:asciiTheme="majorBidi" w:hAnsiTheme="majorBidi" w:cstheme="majorBidi"/>
          <w:sz w:val="24"/>
          <w:szCs w:val="24"/>
        </w:rPr>
        <w:t xml:space="preserve"> </w:t>
      </w:r>
      <w:r w:rsidRPr="00105DBB">
        <w:rPr>
          <w:rFonts w:asciiTheme="majorBidi" w:hAnsiTheme="majorBidi" w:cstheme="majorBidi"/>
          <w:i/>
          <w:iCs/>
          <w:sz w:val="24"/>
          <w:szCs w:val="24"/>
        </w:rPr>
        <w:t>International Journal of Environmental Research and Public Health</w:t>
      </w:r>
      <w:r w:rsidRPr="00105DBB">
        <w:rPr>
          <w:rFonts w:asciiTheme="majorBidi" w:hAnsiTheme="majorBidi" w:cstheme="majorBidi"/>
          <w:sz w:val="24"/>
          <w:szCs w:val="24"/>
        </w:rPr>
        <w:t xml:space="preserve"> 18.22 (2021): 11874.</w:t>
      </w:r>
    </w:p>
    <w:p w14:paraId="55216913" w14:textId="77777777" w:rsidR="005174B3" w:rsidRPr="00105DBB" w:rsidRDefault="005174B3" w:rsidP="007F7656">
      <w:pPr>
        <w:autoSpaceDE w:val="0"/>
        <w:autoSpaceDN w:val="0"/>
        <w:adjustRightInd w:val="0"/>
        <w:spacing w:line="276" w:lineRule="auto"/>
        <w:ind w:left="360" w:hanging="360"/>
        <w:jc w:val="both"/>
        <w:rPr>
          <w:rFonts w:asciiTheme="majorBidi" w:hAnsiTheme="majorBidi" w:cstheme="majorBidi"/>
          <w:sz w:val="24"/>
          <w:szCs w:val="24"/>
        </w:rPr>
      </w:pPr>
      <w:proofErr w:type="spellStart"/>
      <w:r w:rsidRPr="00105DBB">
        <w:rPr>
          <w:rFonts w:asciiTheme="majorBidi" w:hAnsiTheme="majorBidi" w:cstheme="majorBidi"/>
          <w:sz w:val="24"/>
          <w:szCs w:val="24"/>
        </w:rPr>
        <w:t>Mujeeb</w:t>
      </w:r>
      <w:proofErr w:type="spellEnd"/>
      <w:r w:rsidRPr="00105DBB">
        <w:rPr>
          <w:rFonts w:asciiTheme="majorBidi" w:hAnsiTheme="majorBidi" w:cstheme="majorBidi"/>
          <w:sz w:val="24"/>
          <w:szCs w:val="24"/>
        </w:rPr>
        <w:t xml:space="preserve">, A., &amp; </w:t>
      </w:r>
      <w:proofErr w:type="spellStart"/>
      <w:r w:rsidRPr="00105DBB">
        <w:rPr>
          <w:rFonts w:asciiTheme="majorBidi" w:hAnsiTheme="majorBidi" w:cstheme="majorBidi"/>
          <w:sz w:val="24"/>
          <w:szCs w:val="24"/>
        </w:rPr>
        <w:t>Zubair</w:t>
      </w:r>
      <w:proofErr w:type="spellEnd"/>
      <w:r w:rsidRPr="00105DBB">
        <w:rPr>
          <w:rFonts w:asciiTheme="majorBidi" w:hAnsiTheme="majorBidi" w:cstheme="majorBidi"/>
          <w:sz w:val="24"/>
          <w:szCs w:val="24"/>
        </w:rPr>
        <w:t xml:space="preserve">, A. (2012). Resilience, stress, anxiety and depression among internally displaced persons affected by armed conflict. </w:t>
      </w:r>
      <w:r w:rsidRPr="00105DBB">
        <w:rPr>
          <w:rFonts w:asciiTheme="majorBidi" w:hAnsiTheme="majorBidi" w:cstheme="majorBidi"/>
          <w:i/>
          <w:iCs/>
          <w:sz w:val="24"/>
          <w:szCs w:val="24"/>
        </w:rPr>
        <w:t>Pakistan journal of social and clinical psychology</w:t>
      </w:r>
      <w:r w:rsidRPr="00105DBB">
        <w:rPr>
          <w:rFonts w:asciiTheme="majorBidi" w:hAnsiTheme="majorBidi" w:cstheme="majorBidi"/>
          <w:sz w:val="24"/>
          <w:szCs w:val="24"/>
        </w:rPr>
        <w:t>, 9(3), 20-26.</w:t>
      </w:r>
    </w:p>
    <w:p w14:paraId="7DC8EAD8" w14:textId="77777777" w:rsidR="005174B3" w:rsidRPr="00105DBB" w:rsidRDefault="005174B3" w:rsidP="007F7656">
      <w:pPr>
        <w:autoSpaceDE w:val="0"/>
        <w:autoSpaceDN w:val="0"/>
        <w:adjustRightInd w:val="0"/>
        <w:spacing w:line="276" w:lineRule="auto"/>
        <w:ind w:left="360" w:hanging="360"/>
        <w:jc w:val="both"/>
        <w:rPr>
          <w:rFonts w:asciiTheme="majorBidi" w:hAnsiTheme="majorBidi" w:cstheme="majorBidi"/>
          <w:sz w:val="24"/>
          <w:szCs w:val="24"/>
        </w:rPr>
      </w:pPr>
      <w:r w:rsidRPr="00105DBB">
        <w:rPr>
          <w:rFonts w:asciiTheme="majorBidi" w:hAnsiTheme="majorBidi" w:cstheme="majorBidi"/>
          <w:sz w:val="24"/>
          <w:szCs w:val="24"/>
        </w:rPr>
        <w:t xml:space="preserve">Naveed, S., </w:t>
      </w:r>
      <w:proofErr w:type="spellStart"/>
      <w:r w:rsidRPr="00105DBB">
        <w:rPr>
          <w:rFonts w:asciiTheme="majorBidi" w:hAnsiTheme="majorBidi" w:cstheme="majorBidi"/>
          <w:sz w:val="24"/>
          <w:szCs w:val="24"/>
        </w:rPr>
        <w:t>Waqas</w:t>
      </w:r>
      <w:proofErr w:type="spellEnd"/>
      <w:r w:rsidRPr="00105DBB">
        <w:rPr>
          <w:rFonts w:asciiTheme="majorBidi" w:hAnsiTheme="majorBidi" w:cstheme="majorBidi"/>
          <w:sz w:val="24"/>
          <w:szCs w:val="24"/>
        </w:rPr>
        <w:t xml:space="preserve">, A., Chaudhary, A. M. D., Kumar, S., Abbas, N., Amin, R., ... &amp; </w:t>
      </w:r>
      <w:proofErr w:type="spellStart"/>
      <w:r w:rsidRPr="00105DBB">
        <w:rPr>
          <w:rFonts w:asciiTheme="majorBidi" w:hAnsiTheme="majorBidi" w:cstheme="majorBidi"/>
          <w:sz w:val="24"/>
          <w:szCs w:val="24"/>
        </w:rPr>
        <w:t>Saleem</w:t>
      </w:r>
      <w:proofErr w:type="spellEnd"/>
      <w:r w:rsidRPr="00105DBB">
        <w:rPr>
          <w:rFonts w:asciiTheme="majorBidi" w:hAnsiTheme="majorBidi" w:cstheme="majorBidi"/>
          <w:sz w:val="24"/>
          <w:szCs w:val="24"/>
        </w:rPr>
        <w:t xml:space="preserve">, S. (2020). Prevalence of common mental disorders in South Asia: a systematic review and meta-regression analysis. </w:t>
      </w:r>
      <w:r w:rsidRPr="00105DBB">
        <w:rPr>
          <w:rFonts w:asciiTheme="majorBidi" w:hAnsiTheme="majorBidi" w:cstheme="majorBidi"/>
          <w:i/>
          <w:iCs/>
          <w:sz w:val="24"/>
          <w:szCs w:val="24"/>
        </w:rPr>
        <w:t>Frontiers in psychiatry</w:t>
      </w:r>
      <w:r w:rsidRPr="00105DBB">
        <w:rPr>
          <w:rFonts w:asciiTheme="majorBidi" w:hAnsiTheme="majorBidi" w:cstheme="majorBidi"/>
          <w:sz w:val="24"/>
          <w:szCs w:val="24"/>
        </w:rPr>
        <w:t>, 11, 899.</w:t>
      </w:r>
    </w:p>
    <w:p w14:paraId="1FE664B8" w14:textId="77777777" w:rsidR="005174B3" w:rsidRPr="00105DBB" w:rsidRDefault="005174B3" w:rsidP="007F7656">
      <w:pPr>
        <w:autoSpaceDE w:val="0"/>
        <w:autoSpaceDN w:val="0"/>
        <w:adjustRightInd w:val="0"/>
        <w:spacing w:line="276" w:lineRule="auto"/>
        <w:ind w:left="360" w:hanging="360"/>
        <w:jc w:val="both"/>
        <w:rPr>
          <w:rFonts w:asciiTheme="majorBidi" w:hAnsiTheme="majorBidi" w:cstheme="majorBidi"/>
          <w:sz w:val="24"/>
          <w:szCs w:val="24"/>
        </w:rPr>
      </w:pPr>
      <w:r w:rsidRPr="00105DBB">
        <w:rPr>
          <w:rFonts w:asciiTheme="majorBidi" w:hAnsiTheme="majorBidi" w:cstheme="majorBidi"/>
          <w:sz w:val="24"/>
          <w:szCs w:val="24"/>
        </w:rPr>
        <w:t xml:space="preserve">Niazi, A-u-R. (2018). Prevalence and associated factors of depression, anxiety and stress among 15to 49-years old pregnant women in Herat. Heart University. </w:t>
      </w:r>
    </w:p>
    <w:p w14:paraId="64B2B13F" w14:textId="77777777" w:rsidR="005174B3" w:rsidRPr="00105DBB" w:rsidRDefault="005174B3" w:rsidP="007F7656">
      <w:pPr>
        <w:autoSpaceDE w:val="0"/>
        <w:autoSpaceDN w:val="0"/>
        <w:adjustRightInd w:val="0"/>
        <w:spacing w:line="276" w:lineRule="auto"/>
        <w:ind w:left="360" w:hanging="360"/>
        <w:jc w:val="both"/>
        <w:rPr>
          <w:rFonts w:asciiTheme="majorBidi" w:hAnsiTheme="majorBidi" w:cstheme="majorBidi"/>
          <w:sz w:val="24"/>
          <w:szCs w:val="24"/>
        </w:rPr>
      </w:pPr>
      <w:proofErr w:type="spellStart"/>
      <w:r w:rsidRPr="00105DBB">
        <w:rPr>
          <w:rFonts w:asciiTheme="majorBidi" w:hAnsiTheme="majorBidi" w:cstheme="majorBidi"/>
          <w:sz w:val="24"/>
          <w:szCs w:val="24"/>
        </w:rPr>
        <w:t>Ozamiz-Etxebarria</w:t>
      </w:r>
      <w:proofErr w:type="spellEnd"/>
      <w:r w:rsidRPr="00105DBB">
        <w:rPr>
          <w:rFonts w:asciiTheme="majorBidi" w:hAnsiTheme="majorBidi" w:cstheme="majorBidi"/>
          <w:sz w:val="24"/>
          <w:szCs w:val="24"/>
        </w:rPr>
        <w:t xml:space="preserve">, N., </w:t>
      </w:r>
      <w:proofErr w:type="spellStart"/>
      <w:r w:rsidRPr="00105DBB">
        <w:rPr>
          <w:rFonts w:asciiTheme="majorBidi" w:hAnsiTheme="majorBidi" w:cstheme="majorBidi"/>
          <w:sz w:val="24"/>
          <w:szCs w:val="24"/>
        </w:rPr>
        <w:t>Idoiaga</w:t>
      </w:r>
      <w:proofErr w:type="spellEnd"/>
      <w:r w:rsidRPr="00105DBB">
        <w:rPr>
          <w:rFonts w:asciiTheme="majorBidi" w:hAnsiTheme="majorBidi" w:cstheme="majorBidi"/>
          <w:sz w:val="24"/>
          <w:szCs w:val="24"/>
        </w:rPr>
        <w:t xml:space="preserve"> Mondragon, N., Bueno-</w:t>
      </w:r>
      <w:proofErr w:type="spellStart"/>
      <w:r w:rsidRPr="00105DBB">
        <w:rPr>
          <w:rFonts w:asciiTheme="majorBidi" w:hAnsiTheme="majorBidi" w:cstheme="majorBidi"/>
          <w:sz w:val="24"/>
          <w:szCs w:val="24"/>
        </w:rPr>
        <w:t>Notivol</w:t>
      </w:r>
      <w:proofErr w:type="spellEnd"/>
      <w:r w:rsidRPr="00105DBB">
        <w:rPr>
          <w:rFonts w:asciiTheme="majorBidi" w:hAnsiTheme="majorBidi" w:cstheme="majorBidi"/>
          <w:sz w:val="24"/>
          <w:szCs w:val="24"/>
        </w:rPr>
        <w:t xml:space="preserve">, J., Pérez-Moreno, M., &amp; </w:t>
      </w:r>
      <w:proofErr w:type="spellStart"/>
      <w:r w:rsidRPr="00105DBB">
        <w:rPr>
          <w:rFonts w:asciiTheme="majorBidi" w:hAnsiTheme="majorBidi" w:cstheme="majorBidi"/>
          <w:sz w:val="24"/>
          <w:szCs w:val="24"/>
        </w:rPr>
        <w:t>Santabárbara</w:t>
      </w:r>
      <w:proofErr w:type="spellEnd"/>
      <w:r w:rsidRPr="00105DBB">
        <w:rPr>
          <w:rFonts w:asciiTheme="majorBidi" w:hAnsiTheme="majorBidi" w:cstheme="majorBidi"/>
          <w:sz w:val="24"/>
          <w:szCs w:val="24"/>
        </w:rPr>
        <w:t xml:space="preserve">, J. (2021). Prevalence of anxiety, depression, and stress among teachers during the CoViD-19 pandemic: a rapid systematic review with meta-analysis. </w:t>
      </w:r>
      <w:r w:rsidRPr="00105DBB">
        <w:rPr>
          <w:rFonts w:asciiTheme="majorBidi" w:hAnsiTheme="majorBidi" w:cstheme="majorBidi"/>
          <w:i/>
          <w:iCs/>
          <w:sz w:val="24"/>
          <w:szCs w:val="24"/>
        </w:rPr>
        <w:t>Brain sciences</w:t>
      </w:r>
      <w:r w:rsidRPr="00105DBB">
        <w:rPr>
          <w:rFonts w:asciiTheme="majorBidi" w:hAnsiTheme="majorBidi" w:cstheme="majorBidi"/>
          <w:sz w:val="24"/>
          <w:szCs w:val="24"/>
        </w:rPr>
        <w:t xml:space="preserve">, 11(9), 1172. </w:t>
      </w:r>
    </w:p>
    <w:p w14:paraId="3646A5E3" w14:textId="77777777" w:rsidR="005174B3" w:rsidRPr="00105DBB" w:rsidRDefault="005174B3" w:rsidP="007F7656">
      <w:pPr>
        <w:autoSpaceDE w:val="0"/>
        <w:autoSpaceDN w:val="0"/>
        <w:adjustRightInd w:val="0"/>
        <w:spacing w:line="276" w:lineRule="auto"/>
        <w:ind w:left="360" w:hanging="360"/>
        <w:jc w:val="both"/>
        <w:rPr>
          <w:rFonts w:asciiTheme="majorBidi" w:hAnsiTheme="majorBidi" w:cstheme="majorBidi"/>
          <w:sz w:val="24"/>
          <w:szCs w:val="24"/>
        </w:rPr>
      </w:pPr>
      <w:proofErr w:type="spellStart"/>
      <w:r w:rsidRPr="00105DBB">
        <w:rPr>
          <w:rFonts w:asciiTheme="majorBidi" w:hAnsiTheme="majorBidi" w:cstheme="majorBidi"/>
          <w:sz w:val="24"/>
          <w:szCs w:val="24"/>
        </w:rPr>
        <w:t>Rayani</w:t>
      </w:r>
      <w:proofErr w:type="spellEnd"/>
      <w:r w:rsidRPr="00105DBB">
        <w:rPr>
          <w:rFonts w:asciiTheme="majorBidi" w:hAnsiTheme="majorBidi" w:cstheme="majorBidi"/>
          <w:sz w:val="24"/>
          <w:szCs w:val="24"/>
        </w:rPr>
        <w:t xml:space="preserve">, S., </w:t>
      </w:r>
      <w:proofErr w:type="spellStart"/>
      <w:r w:rsidRPr="00105DBB">
        <w:rPr>
          <w:rFonts w:asciiTheme="majorBidi" w:hAnsiTheme="majorBidi" w:cstheme="majorBidi"/>
          <w:sz w:val="24"/>
          <w:szCs w:val="24"/>
        </w:rPr>
        <w:t>Rayani</w:t>
      </w:r>
      <w:proofErr w:type="spellEnd"/>
      <w:r w:rsidRPr="00105DBB">
        <w:rPr>
          <w:rFonts w:asciiTheme="majorBidi" w:hAnsiTheme="majorBidi" w:cstheme="majorBidi"/>
          <w:sz w:val="24"/>
          <w:szCs w:val="24"/>
        </w:rPr>
        <w:t xml:space="preserve">, M., &amp; </w:t>
      </w:r>
      <w:proofErr w:type="spellStart"/>
      <w:r w:rsidRPr="00105DBB">
        <w:rPr>
          <w:rFonts w:asciiTheme="majorBidi" w:hAnsiTheme="majorBidi" w:cstheme="majorBidi"/>
          <w:sz w:val="24"/>
          <w:szCs w:val="24"/>
        </w:rPr>
        <w:t>Najafi-Sharjabad</w:t>
      </w:r>
      <w:proofErr w:type="spellEnd"/>
      <w:r w:rsidRPr="00105DBB">
        <w:rPr>
          <w:rFonts w:asciiTheme="majorBidi" w:hAnsiTheme="majorBidi" w:cstheme="majorBidi"/>
          <w:sz w:val="24"/>
          <w:szCs w:val="24"/>
        </w:rPr>
        <w:t xml:space="preserve">, F. (2021). Correlation between anxiety and resilience of healthcare workers during COVID-19 pandemic in the southwest of Iran. </w:t>
      </w:r>
      <w:r w:rsidRPr="00105DBB">
        <w:rPr>
          <w:rFonts w:asciiTheme="majorBidi" w:hAnsiTheme="majorBidi" w:cstheme="majorBidi"/>
          <w:i/>
          <w:iCs/>
          <w:sz w:val="24"/>
          <w:szCs w:val="24"/>
        </w:rPr>
        <w:t>Environmental Science and Pollution Research</w:t>
      </w:r>
      <w:r w:rsidRPr="00105DBB">
        <w:rPr>
          <w:rFonts w:asciiTheme="majorBidi" w:hAnsiTheme="majorBidi" w:cstheme="majorBidi"/>
          <w:sz w:val="24"/>
          <w:szCs w:val="24"/>
        </w:rPr>
        <w:t>, 1-9.</w:t>
      </w:r>
    </w:p>
    <w:p w14:paraId="4F56D3CD" w14:textId="77777777" w:rsidR="005174B3" w:rsidRPr="00105DBB" w:rsidRDefault="005174B3" w:rsidP="007F7656">
      <w:pPr>
        <w:autoSpaceDE w:val="0"/>
        <w:autoSpaceDN w:val="0"/>
        <w:adjustRightInd w:val="0"/>
        <w:spacing w:line="276" w:lineRule="auto"/>
        <w:ind w:left="360" w:hanging="360"/>
        <w:jc w:val="both"/>
        <w:rPr>
          <w:rFonts w:asciiTheme="majorBidi" w:hAnsiTheme="majorBidi" w:cstheme="majorBidi"/>
          <w:sz w:val="24"/>
          <w:szCs w:val="24"/>
        </w:rPr>
      </w:pPr>
      <w:proofErr w:type="spellStart"/>
      <w:r w:rsidRPr="00105DBB">
        <w:rPr>
          <w:rFonts w:asciiTheme="majorBidi" w:hAnsiTheme="majorBidi" w:cstheme="majorBidi"/>
          <w:sz w:val="24"/>
          <w:szCs w:val="24"/>
        </w:rPr>
        <w:t>Shayan</w:t>
      </w:r>
      <w:proofErr w:type="spellEnd"/>
      <w:r w:rsidRPr="00105DBB">
        <w:rPr>
          <w:rFonts w:asciiTheme="majorBidi" w:hAnsiTheme="majorBidi" w:cstheme="majorBidi"/>
          <w:sz w:val="24"/>
          <w:szCs w:val="24"/>
        </w:rPr>
        <w:t xml:space="preserve">, N. N., Niazi, A-u-R., </w:t>
      </w:r>
      <w:proofErr w:type="spellStart"/>
      <w:r w:rsidRPr="00105DBB">
        <w:rPr>
          <w:rFonts w:asciiTheme="majorBidi" w:hAnsiTheme="majorBidi" w:cstheme="majorBidi"/>
          <w:sz w:val="24"/>
          <w:szCs w:val="24"/>
        </w:rPr>
        <w:t>Wasiq</w:t>
      </w:r>
      <w:proofErr w:type="spellEnd"/>
      <w:r w:rsidRPr="00105DBB">
        <w:rPr>
          <w:rFonts w:asciiTheme="majorBidi" w:hAnsiTheme="majorBidi" w:cstheme="majorBidi"/>
          <w:sz w:val="24"/>
          <w:szCs w:val="24"/>
        </w:rPr>
        <w:t xml:space="preserve">, A. M., </w:t>
      </w:r>
      <w:proofErr w:type="spellStart"/>
      <w:r w:rsidRPr="00105DBB">
        <w:rPr>
          <w:rFonts w:asciiTheme="majorBidi" w:hAnsiTheme="majorBidi" w:cstheme="majorBidi"/>
          <w:sz w:val="24"/>
          <w:szCs w:val="24"/>
        </w:rPr>
        <w:t>Özcebe</w:t>
      </w:r>
      <w:proofErr w:type="spellEnd"/>
      <w:r w:rsidRPr="00105DBB">
        <w:rPr>
          <w:rFonts w:asciiTheme="majorBidi" w:hAnsiTheme="majorBidi" w:cstheme="majorBidi"/>
          <w:sz w:val="24"/>
          <w:szCs w:val="24"/>
        </w:rPr>
        <w:t xml:space="preserve">, H. (2021). Depression, Anxiety, and Stress Scales 42 (DASS-42) in Dari-Language: Validity and Reliability Study in </w:t>
      </w:r>
      <w:proofErr w:type="spellStart"/>
      <w:r w:rsidRPr="00105DBB">
        <w:rPr>
          <w:rFonts w:asciiTheme="majorBidi" w:hAnsiTheme="majorBidi" w:cstheme="majorBidi"/>
          <w:sz w:val="24"/>
          <w:szCs w:val="24"/>
        </w:rPr>
        <w:t>dults</w:t>
      </w:r>
      <w:proofErr w:type="spellEnd"/>
      <w:r w:rsidRPr="00105DBB">
        <w:rPr>
          <w:rFonts w:asciiTheme="majorBidi" w:hAnsiTheme="majorBidi" w:cstheme="majorBidi"/>
          <w:sz w:val="24"/>
          <w:szCs w:val="24"/>
        </w:rPr>
        <w:t xml:space="preserve">, Herat, Afghanistan. </w:t>
      </w:r>
      <w:proofErr w:type="spellStart"/>
      <w:r w:rsidRPr="00105DBB">
        <w:rPr>
          <w:rFonts w:asciiTheme="majorBidi" w:hAnsiTheme="majorBidi" w:cstheme="majorBidi"/>
          <w:i/>
          <w:iCs/>
          <w:sz w:val="24"/>
          <w:szCs w:val="24"/>
        </w:rPr>
        <w:t>Bezmialem</w:t>
      </w:r>
      <w:proofErr w:type="spellEnd"/>
      <w:r w:rsidRPr="00105DBB">
        <w:rPr>
          <w:rFonts w:asciiTheme="majorBidi" w:hAnsiTheme="majorBidi" w:cstheme="majorBidi"/>
          <w:i/>
          <w:iCs/>
          <w:sz w:val="24"/>
          <w:szCs w:val="24"/>
        </w:rPr>
        <w:t xml:space="preserve"> Science</w:t>
      </w:r>
      <w:r w:rsidRPr="00105DBB">
        <w:rPr>
          <w:rFonts w:asciiTheme="majorBidi" w:hAnsiTheme="majorBidi" w:cstheme="majorBidi"/>
          <w:sz w:val="24"/>
          <w:szCs w:val="24"/>
        </w:rPr>
        <w:t xml:space="preserve"> ;9(3):356-62.</w:t>
      </w:r>
    </w:p>
    <w:p w14:paraId="51082D3F" w14:textId="77777777" w:rsidR="005174B3" w:rsidRPr="00105DBB" w:rsidRDefault="005174B3" w:rsidP="007F7656">
      <w:pPr>
        <w:autoSpaceDE w:val="0"/>
        <w:autoSpaceDN w:val="0"/>
        <w:adjustRightInd w:val="0"/>
        <w:spacing w:line="276" w:lineRule="auto"/>
        <w:ind w:left="360" w:hanging="360"/>
        <w:jc w:val="both"/>
        <w:rPr>
          <w:rFonts w:asciiTheme="majorBidi" w:hAnsiTheme="majorBidi" w:cstheme="majorBidi"/>
          <w:sz w:val="24"/>
          <w:szCs w:val="24"/>
          <w:lang w:val="de-DE"/>
        </w:rPr>
      </w:pPr>
      <w:r w:rsidRPr="00105DBB">
        <w:rPr>
          <w:rFonts w:asciiTheme="majorBidi" w:hAnsiTheme="majorBidi" w:cstheme="majorBidi"/>
          <w:sz w:val="24"/>
          <w:szCs w:val="24"/>
        </w:rPr>
        <w:t xml:space="preserve">Silva, D. F. O., </w:t>
      </w:r>
      <w:proofErr w:type="spellStart"/>
      <w:r w:rsidRPr="00105DBB">
        <w:rPr>
          <w:rFonts w:asciiTheme="majorBidi" w:hAnsiTheme="majorBidi" w:cstheme="majorBidi"/>
          <w:sz w:val="24"/>
          <w:szCs w:val="24"/>
        </w:rPr>
        <w:t>Cobucci</w:t>
      </w:r>
      <w:proofErr w:type="spellEnd"/>
      <w:r w:rsidRPr="00105DBB">
        <w:rPr>
          <w:rFonts w:asciiTheme="majorBidi" w:hAnsiTheme="majorBidi" w:cstheme="majorBidi"/>
          <w:sz w:val="24"/>
          <w:szCs w:val="24"/>
        </w:rPr>
        <w:t xml:space="preserve">, R. N., Lima, S. C. V. C., &amp; de Andrade, F. B. (2021). Prevalence of anxiety, depression, and stress among teachers during the COVID-19 pandemic: A PRISMA-compliant systematic review. </w:t>
      </w:r>
      <w:r w:rsidRPr="00105DBB">
        <w:rPr>
          <w:rFonts w:asciiTheme="majorBidi" w:hAnsiTheme="majorBidi" w:cstheme="majorBidi"/>
          <w:i/>
          <w:iCs/>
          <w:sz w:val="24"/>
          <w:szCs w:val="24"/>
          <w:lang w:val="de-DE"/>
        </w:rPr>
        <w:t>Medicine</w:t>
      </w:r>
      <w:r w:rsidRPr="00105DBB">
        <w:rPr>
          <w:rFonts w:asciiTheme="majorBidi" w:hAnsiTheme="majorBidi" w:cstheme="majorBidi"/>
          <w:sz w:val="24"/>
          <w:szCs w:val="24"/>
          <w:lang w:val="de-DE"/>
        </w:rPr>
        <w:t>, 100(44).</w:t>
      </w:r>
    </w:p>
    <w:p w14:paraId="41BCB88E" w14:textId="77777777" w:rsidR="005174B3" w:rsidRPr="00105DBB" w:rsidRDefault="005174B3" w:rsidP="007F7656">
      <w:pPr>
        <w:autoSpaceDE w:val="0"/>
        <w:autoSpaceDN w:val="0"/>
        <w:adjustRightInd w:val="0"/>
        <w:spacing w:line="276" w:lineRule="auto"/>
        <w:ind w:left="360" w:hanging="360"/>
        <w:jc w:val="both"/>
        <w:rPr>
          <w:rFonts w:asciiTheme="majorBidi" w:hAnsiTheme="majorBidi" w:cstheme="majorBidi"/>
          <w:sz w:val="24"/>
          <w:szCs w:val="24"/>
        </w:rPr>
      </w:pPr>
      <w:r w:rsidRPr="00105DBB">
        <w:rPr>
          <w:rFonts w:asciiTheme="majorBidi" w:hAnsiTheme="majorBidi" w:cstheme="majorBidi"/>
          <w:sz w:val="24"/>
          <w:szCs w:val="24"/>
          <w:lang w:val="de-DE"/>
        </w:rPr>
        <w:t xml:space="preserve">Song, H., Zhang, M., Wang, Y., Yang, L., Wang, Y., &amp; Li, Y. (2021). </w:t>
      </w:r>
      <w:r w:rsidRPr="00105DBB">
        <w:rPr>
          <w:rFonts w:asciiTheme="majorBidi" w:hAnsiTheme="majorBidi" w:cstheme="majorBidi"/>
          <w:sz w:val="24"/>
          <w:szCs w:val="24"/>
        </w:rPr>
        <w:t xml:space="preserve">The impact of resilience on anxiety and depression among grass-roots civil servants in China. </w:t>
      </w:r>
      <w:r w:rsidRPr="00105DBB">
        <w:rPr>
          <w:rFonts w:asciiTheme="majorBidi" w:hAnsiTheme="majorBidi" w:cstheme="majorBidi"/>
          <w:i/>
          <w:iCs/>
          <w:sz w:val="24"/>
          <w:szCs w:val="24"/>
        </w:rPr>
        <w:t>BMC public health</w:t>
      </w:r>
      <w:r w:rsidRPr="00105DBB">
        <w:rPr>
          <w:rFonts w:asciiTheme="majorBidi" w:hAnsiTheme="majorBidi" w:cstheme="majorBidi"/>
          <w:sz w:val="24"/>
          <w:szCs w:val="24"/>
        </w:rPr>
        <w:t xml:space="preserve">, 21(1), 1-10. </w:t>
      </w:r>
    </w:p>
    <w:p w14:paraId="0001044B" w14:textId="77777777" w:rsidR="005174B3" w:rsidRPr="00105DBB" w:rsidRDefault="005174B3" w:rsidP="007F7656">
      <w:pPr>
        <w:autoSpaceDE w:val="0"/>
        <w:autoSpaceDN w:val="0"/>
        <w:adjustRightInd w:val="0"/>
        <w:spacing w:line="276" w:lineRule="auto"/>
        <w:ind w:left="360" w:hanging="360"/>
        <w:jc w:val="both"/>
        <w:rPr>
          <w:rFonts w:asciiTheme="majorBidi" w:hAnsiTheme="majorBidi" w:cstheme="majorBidi"/>
          <w:sz w:val="24"/>
          <w:szCs w:val="24"/>
        </w:rPr>
      </w:pPr>
      <w:r w:rsidRPr="00105DBB">
        <w:rPr>
          <w:rFonts w:asciiTheme="majorBidi" w:hAnsiTheme="majorBidi" w:cstheme="majorBidi"/>
          <w:sz w:val="24"/>
          <w:szCs w:val="24"/>
        </w:rPr>
        <w:lastRenderedPageBreak/>
        <w:t xml:space="preserve">Steel, Z., </w:t>
      </w:r>
      <w:proofErr w:type="spellStart"/>
      <w:r w:rsidRPr="00105DBB">
        <w:rPr>
          <w:rFonts w:asciiTheme="majorBidi" w:hAnsiTheme="majorBidi" w:cstheme="majorBidi"/>
          <w:sz w:val="24"/>
          <w:szCs w:val="24"/>
        </w:rPr>
        <w:t>Marnane</w:t>
      </w:r>
      <w:proofErr w:type="spellEnd"/>
      <w:r w:rsidRPr="00105DBB">
        <w:rPr>
          <w:rFonts w:asciiTheme="majorBidi" w:hAnsiTheme="majorBidi" w:cstheme="majorBidi"/>
          <w:sz w:val="24"/>
          <w:szCs w:val="24"/>
        </w:rPr>
        <w:t xml:space="preserve">, C., </w:t>
      </w:r>
      <w:proofErr w:type="spellStart"/>
      <w:r w:rsidRPr="00105DBB">
        <w:rPr>
          <w:rFonts w:asciiTheme="majorBidi" w:hAnsiTheme="majorBidi" w:cstheme="majorBidi"/>
          <w:sz w:val="24"/>
          <w:szCs w:val="24"/>
        </w:rPr>
        <w:t>Iranpour</w:t>
      </w:r>
      <w:proofErr w:type="spellEnd"/>
      <w:r w:rsidRPr="00105DBB">
        <w:rPr>
          <w:rFonts w:asciiTheme="majorBidi" w:hAnsiTheme="majorBidi" w:cstheme="majorBidi"/>
          <w:sz w:val="24"/>
          <w:szCs w:val="24"/>
        </w:rPr>
        <w:t xml:space="preserve">, C., </w:t>
      </w:r>
      <w:proofErr w:type="spellStart"/>
      <w:r w:rsidRPr="00105DBB">
        <w:rPr>
          <w:rFonts w:asciiTheme="majorBidi" w:hAnsiTheme="majorBidi" w:cstheme="majorBidi"/>
          <w:sz w:val="24"/>
          <w:szCs w:val="24"/>
        </w:rPr>
        <w:t>Chey</w:t>
      </w:r>
      <w:proofErr w:type="spellEnd"/>
      <w:r w:rsidRPr="00105DBB">
        <w:rPr>
          <w:rFonts w:asciiTheme="majorBidi" w:hAnsiTheme="majorBidi" w:cstheme="majorBidi"/>
          <w:sz w:val="24"/>
          <w:szCs w:val="24"/>
        </w:rPr>
        <w:t xml:space="preserve">, T., Jackson, J. W., Patel, V., &amp; </w:t>
      </w:r>
      <w:proofErr w:type="spellStart"/>
      <w:r w:rsidRPr="00105DBB">
        <w:rPr>
          <w:rFonts w:asciiTheme="majorBidi" w:hAnsiTheme="majorBidi" w:cstheme="majorBidi"/>
          <w:sz w:val="24"/>
          <w:szCs w:val="24"/>
        </w:rPr>
        <w:t>Silove</w:t>
      </w:r>
      <w:proofErr w:type="spellEnd"/>
      <w:r w:rsidRPr="00105DBB">
        <w:rPr>
          <w:rFonts w:asciiTheme="majorBidi" w:hAnsiTheme="majorBidi" w:cstheme="majorBidi"/>
          <w:sz w:val="24"/>
          <w:szCs w:val="24"/>
        </w:rPr>
        <w:t xml:space="preserve">, D. (2014). The global prevalence of common mental disorders: a systematic review and meta-analysis 1980–2013. </w:t>
      </w:r>
      <w:r w:rsidRPr="00105DBB">
        <w:rPr>
          <w:rFonts w:asciiTheme="majorBidi" w:hAnsiTheme="majorBidi" w:cstheme="majorBidi"/>
          <w:i/>
          <w:iCs/>
          <w:sz w:val="24"/>
          <w:szCs w:val="24"/>
        </w:rPr>
        <w:t>International journal of epidemiology</w:t>
      </w:r>
      <w:r w:rsidRPr="00105DBB">
        <w:rPr>
          <w:rFonts w:asciiTheme="majorBidi" w:hAnsiTheme="majorBidi" w:cstheme="majorBidi"/>
          <w:sz w:val="24"/>
          <w:szCs w:val="24"/>
        </w:rPr>
        <w:t>, 43(2), 476-493.</w:t>
      </w:r>
    </w:p>
    <w:p w14:paraId="420E6984" w14:textId="77777777" w:rsidR="005174B3" w:rsidRPr="00105DBB" w:rsidRDefault="005174B3" w:rsidP="007F7656">
      <w:pPr>
        <w:autoSpaceDE w:val="0"/>
        <w:autoSpaceDN w:val="0"/>
        <w:adjustRightInd w:val="0"/>
        <w:spacing w:line="276" w:lineRule="auto"/>
        <w:ind w:left="360" w:hanging="360"/>
        <w:jc w:val="both"/>
        <w:rPr>
          <w:rFonts w:asciiTheme="majorBidi" w:hAnsiTheme="majorBidi" w:cstheme="majorBidi"/>
          <w:sz w:val="24"/>
          <w:szCs w:val="24"/>
        </w:rPr>
      </w:pPr>
      <w:r w:rsidRPr="00105DBB">
        <w:rPr>
          <w:rFonts w:asciiTheme="majorBidi" w:hAnsiTheme="majorBidi" w:cstheme="majorBidi"/>
          <w:sz w:val="24"/>
          <w:szCs w:val="24"/>
        </w:rPr>
        <w:t xml:space="preserve">World Health Organization. (2017). Afghanistan: Depression a leading cause of ill health and disability among Afghans – fighting stigma is key to recovery. Available at: </w:t>
      </w:r>
      <w:hyperlink r:id="rId5" w:history="1">
        <w:r w:rsidRPr="00105DBB">
          <w:rPr>
            <w:rStyle w:val="Hyperlink"/>
            <w:rFonts w:asciiTheme="majorBidi" w:hAnsiTheme="majorBidi" w:cstheme="majorBidi"/>
            <w:color w:val="auto"/>
            <w:sz w:val="24"/>
            <w:szCs w:val="24"/>
          </w:rPr>
          <w:t>http://www.emro.who.int/afg/afghanistan-news/world-health-day-2017.html</w:t>
        </w:r>
      </w:hyperlink>
      <w:r w:rsidRPr="00105DBB">
        <w:rPr>
          <w:rFonts w:asciiTheme="majorBidi" w:hAnsiTheme="majorBidi" w:cstheme="majorBidi"/>
          <w:sz w:val="24"/>
          <w:szCs w:val="24"/>
        </w:rPr>
        <w:t xml:space="preserve">. (accessed December, 2021). </w:t>
      </w:r>
    </w:p>
    <w:p w14:paraId="3DF2D69B" w14:textId="50EBDF9B" w:rsidR="005174B3" w:rsidRPr="00105DBB" w:rsidRDefault="005174B3" w:rsidP="007F7656">
      <w:pPr>
        <w:autoSpaceDE w:val="0"/>
        <w:autoSpaceDN w:val="0"/>
        <w:adjustRightInd w:val="0"/>
        <w:spacing w:line="276" w:lineRule="auto"/>
        <w:ind w:left="360" w:hanging="360"/>
        <w:jc w:val="both"/>
        <w:rPr>
          <w:rFonts w:asciiTheme="majorBidi" w:hAnsiTheme="majorBidi" w:cstheme="majorBidi"/>
          <w:sz w:val="24"/>
          <w:szCs w:val="24"/>
        </w:rPr>
      </w:pPr>
      <w:r w:rsidRPr="00105DBB">
        <w:rPr>
          <w:rFonts w:asciiTheme="majorBidi" w:hAnsiTheme="majorBidi" w:cstheme="majorBidi"/>
          <w:sz w:val="24"/>
          <w:szCs w:val="24"/>
        </w:rPr>
        <w:t xml:space="preserve">World Health Organization. Mental Health. In available: </w:t>
      </w:r>
      <w:hyperlink r:id="rId6" w:anchor="tab=tab_1" w:history="1">
        <w:r w:rsidRPr="00105DBB">
          <w:rPr>
            <w:rStyle w:val="Hyperlink"/>
            <w:rFonts w:asciiTheme="majorBidi" w:hAnsiTheme="majorBidi" w:cstheme="majorBidi"/>
            <w:color w:val="auto"/>
            <w:sz w:val="24"/>
            <w:szCs w:val="24"/>
          </w:rPr>
          <w:t>https://www.who.int/health-topics/mentalhealth?__cf_chl_managed_tk__=iCJ77wpB6.XdP4oWVALsPqZl8jONOfJLrgOuD1Y1hiU-1640759322-0-gaNycGzNCNE#tab=tab_1</w:t>
        </w:r>
      </w:hyperlink>
      <w:r w:rsidRPr="00105DBB">
        <w:rPr>
          <w:rFonts w:asciiTheme="majorBidi" w:hAnsiTheme="majorBidi" w:cstheme="majorBidi"/>
          <w:sz w:val="24"/>
          <w:szCs w:val="24"/>
        </w:rPr>
        <w:t xml:space="preserve">, (accessed </w:t>
      </w:r>
      <w:r w:rsidR="00F628BA" w:rsidRPr="00105DBB">
        <w:rPr>
          <w:rFonts w:asciiTheme="majorBidi" w:hAnsiTheme="majorBidi" w:cstheme="majorBidi"/>
          <w:sz w:val="24"/>
          <w:szCs w:val="24"/>
        </w:rPr>
        <w:t>December</w:t>
      </w:r>
      <w:r w:rsidRPr="00105DBB">
        <w:rPr>
          <w:rFonts w:asciiTheme="majorBidi" w:hAnsiTheme="majorBidi" w:cstheme="majorBidi"/>
          <w:sz w:val="24"/>
          <w:szCs w:val="24"/>
        </w:rPr>
        <w:t>, 2021).</w:t>
      </w:r>
    </w:p>
    <w:p w14:paraId="004E9849" w14:textId="12189A50" w:rsidR="003310B4" w:rsidRPr="00292974" w:rsidRDefault="005174B3" w:rsidP="00292974">
      <w:pPr>
        <w:autoSpaceDE w:val="0"/>
        <w:autoSpaceDN w:val="0"/>
        <w:adjustRightInd w:val="0"/>
        <w:spacing w:line="276" w:lineRule="auto"/>
        <w:ind w:left="360" w:hanging="360"/>
        <w:jc w:val="both"/>
        <w:rPr>
          <w:rFonts w:asciiTheme="majorBidi" w:hAnsiTheme="majorBidi" w:cstheme="majorBidi"/>
          <w:sz w:val="24"/>
          <w:szCs w:val="24"/>
        </w:rPr>
      </w:pPr>
      <w:r w:rsidRPr="00105DBB">
        <w:rPr>
          <w:rFonts w:asciiTheme="majorBidi" w:hAnsiTheme="majorBidi" w:cstheme="majorBidi"/>
          <w:sz w:val="24"/>
          <w:szCs w:val="24"/>
          <w:lang w:val="de-DE"/>
        </w:rPr>
        <w:t xml:space="preserve">Wu, Y., Sang, Z. Q., Zhang, X. C., &amp; Margraf, J. (2020). </w:t>
      </w:r>
      <w:r w:rsidRPr="00105DBB">
        <w:rPr>
          <w:rFonts w:asciiTheme="majorBidi" w:hAnsiTheme="majorBidi" w:cstheme="majorBidi"/>
          <w:sz w:val="24"/>
          <w:szCs w:val="24"/>
        </w:rPr>
        <w:t xml:space="preserve">The relationship between resilience and mental health in Chinese college students: a longitudinal cross-lagged analysis. </w:t>
      </w:r>
      <w:r w:rsidRPr="00105DBB">
        <w:rPr>
          <w:rFonts w:asciiTheme="majorBidi" w:hAnsiTheme="majorBidi" w:cstheme="majorBidi"/>
          <w:i/>
          <w:iCs/>
          <w:sz w:val="24"/>
          <w:szCs w:val="24"/>
        </w:rPr>
        <w:t>Frontiers in psychology</w:t>
      </w:r>
      <w:r w:rsidRPr="00105DBB">
        <w:rPr>
          <w:rFonts w:asciiTheme="majorBidi" w:hAnsiTheme="majorBidi" w:cstheme="majorBidi"/>
          <w:sz w:val="24"/>
          <w:szCs w:val="24"/>
        </w:rPr>
        <w:t>, 11, 108.</w:t>
      </w:r>
    </w:p>
    <w:sectPr w:rsidR="003310B4" w:rsidRPr="00292974" w:rsidSect="00E53301">
      <w:pgSz w:w="12240" w:h="15840"/>
      <w:pgMar w:top="1620" w:right="1701" w:bottom="1530"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004"/>
    <w:rsid w:val="000123EE"/>
    <w:rsid w:val="00022290"/>
    <w:rsid w:val="0003186B"/>
    <w:rsid w:val="00043C3C"/>
    <w:rsid w:val="00043F51"/>
    <w:rsid w:val="00080232"/>
    <w:rsid w:val="00083C15"/>
    <w:rsid w:val="00090CC3"/>
    <w:rsid w:val="000932EB"/>
    <w:rsid w:val="0009419B"/>
    <w:rsid w:val="0009772A"/>
    <w:rsid w:val="000A2FEE"/>
    <w:rsid w:val="000A3219"/>
    <w:rsid w:val="000A62D6"/>
    <w:rsid w:val="000B3B98"/>
    <w:rsid w:val="000B6C6A"/>
    <w:rsid w:val="000C3425"/>
    <w:rsid w:val="000D26C1"/>
    <w:rsid w:val="000D46EF"/>
    <w:rsid w:val="000E607D"/>
    <w:rsid w:val="000F0B2F"/>
    <w:rsid w:val="000F20CB"/>
    <w:rsid w:val="000F4754"/>
    <w:rsid w:val="00100E13"/>
    <w:rsid w:val="00104B75"/>
    <w:rsid w:val="00105DBB"/>
    <w:rsid w:val="00115494"/>
    <w:rsid w:val="00116A5B"/>
    <w:rsid w:val="00122B38"/>
    <w:rsid w:val="001246E1"/>
    <w:rsid w:val="00142F62"/>
    <w:rsid w:val="00165404"/>
    <w:rsid w:val="001708FA"/>
    <w:rsid w:val="00177DB8"/>
    <w:rsid w:val="0019147B"/>
    <w:rsid w:val="00194F58"/>
    <w:rsid w:val="001A10BB"/>
    <w:rsid w:val="001A18BA"/>
    <w:rsid w:val="001A420E"/>
    <w:rsid w:val="001A6BDC"/>
    <w:rsid w:val="001B1CAD"/>
    <w:rsid w:val="001B21ED"/>
    <w:rsid w:val="001C0B87"/>
    <w:rsid w:val="001C3C53"/>
    <w:rsid w:val="001C6269"/>
    <w:rsid w:val="001D3DD4"/>
    <w:rsid w:val="001D472B"/>
    <w:rsid w:val="001F6A07"/>
    <w:rsid w:val="00201906"/>
    <w:rsid w:val="00203AF3"/>
    <w:rsid w:val="0021266E"/>
    <w:rsid w:val="00217324"/>
    <w:rsid w:val="002205D7"/>
    <w:rsid w:val="00223408"/>
    <w:rsid w:val="00224A2D"/>
    <w:rsid w:val="00226471"/>
    <w:rsid w:val="00235E76"/>
    <w:rsid w:val="002366A1"/>
    <w:rsid w:val="002447D9"/>
    <w:rsid w:val="002515BE"/>
    <w:rsid w:val="00252666"/>
    <w:rsid w:val="00253472"/>
    <w:rsid w:val="00267059"/>
    <w:rsid w:val="00272E41"/>
    <w:rsid w:val="00284AD8"/>
    <w:rsid w:val="00292974"/>
    <w:rsid w:val="002A4DF3"/>
    <w:rsid w:val="002B2C25"/>
    <w:rsid w:val="002C30DB"/>
    <w:rsid w:val="002D40E1"/>
    <w:rsid w:val="002E4839"/>
    <w:rsid w:val="002F334A"/>
    <w:rsid w:val="00301DDA"/>
    <w:rsid w:val="00302ED5"/>
    <w:rsid w:val="00305B91"/>
    <w:rsid w:val="00307ECF"/>
    <w:rsid w:val="003139BB"/>
    <w:rsid w:val="0031669F"/>
    <w:rsid w:val="003310B4"/>
    <w:rsid w:val="003450F7"/>
    <w:rsid w:val="003471FC"/>
    <w:rsid w:val="00352316"/>
    <w:rsid w:val="0035405C"/>
    <w:rsid w:val="00370976"/>
    <w:rsid w:val="00374CC4"/>
    <w:rsid w:val="003910ED"/>
    <w:rsid w:val="003942B4"/>
    <w:rsid w:val="00396C2A"/>
    <w:rsid w:val="003A1984"/>
    <w:rsid w:val="003B66BD"/>
    <w:rsid w:val="003C4127"/>
    <w:rsid w:val="003C6942"/>
    <w:rsid w:val="003D2CF9"/>
    <w:rsid w:val="003D4074"/>
    <w:rsid w:val="003D529D"/>
    <w:rsid w:val="003F3A89"/>
    <w:rsid w:val="004028D6"/>
    <w:rsid w:val="004033BF"/>
    <w:rsid w:val="00415767"/>
    <w:rsid w:val="0042386A"/>
    <w:rsid w:val="00423B88"/>
    <w:rsid w:val="004246BC"/>
    <w:rsid w:val="00424947"/>
    <w:rsid w:val="0043271A"/>
    <w:rsid w:val="00453B2E"/>
    <w:rsid w:val="004637F0"/>
    <w:rsid w:val="00473862"/>
    <w:rsid w:val="004846CD"/>
    <w:rsid w:val="00491914"/>
    <w:rsid w:val="004A058A"/>
    <w:rsid w:val="004A6626"/>
    <w:rsid w:val="004B5005"/>
    <w:rsid w:val="004C288D"/>
    <w:rsid w:val="004C3E2B"/>
    <w:rsid w:val="00500F9F"/>
    <w:rsid w:val="00502620"/>
    <w:rsid w:val="00504522"/>
    <w:rsid w:val="005174B3"/>
    <w:rsid w:val="00523AFF"/>
    <w:rsid w:val="005301D0"/>
    <w:rsid w:val="00536FD1"/>
    <w:rsid w:val="00547FA8"/>
    <w:rsid w:val="005567FE"/>
    <w:rsid w:val="005644F4"/>
    <w:rsid w:val="00565472"/>
    <w:rsid w:val="005816FC"/>
    <w:rsid w:val="00582AAC"/>
    <w:rsid w:val="00587783"/>
    <w:rsid w:val="005A08D5"/>
    <w:rsid w:val="005A175F"/>
    <w:rsid w:val="005A30BD"/>
    <w:rsid w:val="005A6309"/>
    <w:rsid w:val="005B151F"/>
    <w:rsid w:val="005B67D3"/>
    <w:rsid w:val="005B7DAD"/>
    <w:rsid w:val="005C33BB"/>
    <w:rsid w:val="005C7514"/>
    <w:rsid w:val="005D4409"/>
    <w:rsid w:val="005D4525"/>
    <w:rsid w:val="005D779D"/>
    <w:rsid w:val="005F356C"/>
    <w:rsid w:val="005F6B5B"/>
    <w:rsid w:val="006029C9"/>
    <w:rsid w:val="00603326"/>
    <w:rsid w:val="00611662"/>
    <w:rsid w:val="00614038"/>
    <w:rsid w:val="006223DA"/>
    <w:rsid w:val="00632C90"/>
    <w:rsid w:val="00632D24"/>
    <w:rsid w:val="0064566A"/>
    <w:rsid w:val="00646B4C"/>
    <w:rsid w:val="00651129"/>
    <w:rsid w:val="00651153"/>
    <w:rsid w:val="00661856"/>
    <w:rsid w:val="0066237F"/>
    <w:rsid w:val="00671C2D"/>
    <w:rsid w:val="00671C46"/>
    <w:rsid w:val="00676D3D"/>
    <w:rsid w:val="00680995"/>
    <w:rsid w:val="00685DEA"/>
    <w:rsid w:val="00693884"/>
    <w:rsid w:val="006962B0"/>
    <w:rsid w:val="006A5DCD"/>
    <w:rsid w:val="006A68E8"/>
    <w:rsid w:val="006B392D"/>
    <w:rsid w:val="006B4DC1"/>
    <w:rsid w:val="006D7BC9"/>
    <w:rsid w:val="006E254B"/>
    <w:rsid w:val="006E2746"/>
    <w:rsid w:val="006E798C"/>
    <w:rsid w:val="006F2A67"/>
    <w:rsid w:val="0070239F"/>
    <w:rsid w:val="00730D93"/>
    <w:rsid w:val="00731425"/>
    <w:rsid w:val="00750ACB"/>
    <w:rsid w:val="00757BCC"/>
    <w:rsid w:val="0076677E"/>
    <w:rsid w:val="007715F1"/>
    <w:rsid w:val="00774AFF"/>
    <w:rsid w:val="00787462"/>
    <w:rsid w:val="0079434D"/>
    <w:rsid w:val="007A1D45"/>
    <w:rsid w:val="007A253E"/>
    <w:rsid w:val="007B3DDA"/>
    <w:rsid w:val="007B765F"/>
    <w:rsid w:val="007C041D"/>
    <w:rsid w:val="007C23F3"/>
    <w:rsid w:val="007D7887"/>
    <w:rsid w:val="007E0F65"/>
    <w:rsid w:val="007E1870"/>
    <w:rsid w:val="007E520E"/>
    <w:rsid w:val="007F3326"/>
    <w:rsid w:val="007F7656"/>
    <w:rsid w:val="0080327D"/>
    <w:rsid w:val="00812C29"/>
    <w:rsid w:val="00815DDB"/>
    <w:rsid w:val="00821E9B"/>
    <w:rsid w:val="00824F82"/>
    <w:rsid w:val="00851964"/>
    <w:rsid w:val="008578C1"/>
    <w:rsid w:val="00865928"/>
    <w:rsid w:val="00870A50"/>
    <w:rsid w:val="008814B4"/>
    <w:rsid w:val="00894AA9"/>
    <w:rsid w:val="00897981"/>
    <w:rsid w:val="008B4CAC"/>
    <w:rsid w:val="008C2B5D"/>
    <w:rsid w:val="008D538C"/>
    <w:rsid w:val="008E2E4B"/>
    <w:rsid w:val="008F1397"/>
    <w:rsid w:val="008F52A4"/>
    <w:rsid w:val="008F61F3"/>
    <w:rsid w:val="00901495"/>
    <w:rsid w:val="00901687"/>
    <w:rsid w:val="00907503"/>
    <w:rsid w:val="00907507"/>
    <w:rsid w:val="00915068"/>
    <w:rsid w:val="00917900"/>
    <w:rsid w:val="00921B8E"/>
    <w:rsid w:val="009229C2"/>
    <w:rsid w:val="00934B68"/>
    <w:rsid w:val="009407BC"/>
    <w:rsid w:val="00951F94"/>
    <w:rsid w:val="00960073"/>
    <w:rsid w:val="00960249"/>
    <w:rsid w:val="0096144D"/>
    <w:rsid w:val="009669CA"/>
    <w:rsid w:val="00974004"/>
    <w:rsid w:val="00975EAF"/>
    <w:rsid w:val="009767CC"/>
    <w:rsid w:val="00980971"/>
    <w:rsid w:val="00981F58"/>
    <w:rsid w:val="00984CFC"/>
    <w:rsid w:val="00985004"/>
    <w:rsid w:val="00992923"/>
    <w:rsid w:val="0099642A"/>
    <w:rsid w:val="009972EA"/>
    <w:rsid w:val="009A3847"/>
    <w:rsid w:val="009A65AF"/>
    <w:rsid w:val="009A7269"/>
    <w:rsid w:val="009B2DD7"/>
    <w:rsid w:val="009B7688"/>
    <w:rsid w:val="009C6C1C"/>
    <w:rsid w:val="009D1F85"/>
    <w:rsid w:val="009D2997"/>
    <w:rsid w:val="009D4FD4"/>
    <w:rsid w:val="009E2824"/>
    <w:rsid w:val="009E2945"/>
    <w:rsid w:val="009E7948"/>
    <w:rsid w:val="009E796B"/>
    <w:rsid w:val="00A03C97"/>
    <w:rsid w:val="00A04570"/>
    <w:rsid w:val="00A059F0"/>
    <w:rsid w:val="00A15B5F"/>
    <w:rsid w:val="00A17A2D"/>
    <w:rsid w:val="00A17D1C"/>
    <w:rsid w:val="00A201B0"/>
    <w:rsid w:val="00A223F3"/>
    <w:rsid w:val="00A24240"/>
    <w:rsid w:val="00A30B05"/>
    <w:rsid w:val="00A31F9B"/>
    <w:rsid w:val="00A40DA7"/>
    <w:rsid w:val="00A4168A"/>
    <w:rsid w:val="00A4465D"/>
    <w:rsid w:val="00A66291"/>
    <w:rsid w:val="00A67B00"/>
    <w:rsid w:val="00A74B48"/>
    <w:rsid w:val="00A77314"/>
    <w:rsid w:val="00A77BA1"/>
    <w:rsid w:val="00A80190"/>
    <w:rsid w:val="00A8110D"/>
    <w:rsid w:val="00A91F03"/>
    <w:rsid w:val="00AA00E4"/>
    <w:rsid w:val="00AB6DA9"/>
    <w:rsid w:val="00AB7F71"/>
    <w:rsid w:val="00AC5F68"/>
    <w:rsid w:val="00AC74FC"/>
    <w:rsid w:val="00AD2A30"/>
    <w:rsid w:val="00AD6AB8"/>
    <w:rsid w:val="00AF056F"/>
    <w:rsid w:val="00AF0C10"/>
    <w:rsid w:val="00AF58E5"/>
    <w:rsid w:val="00AF65E9"/>
    <w:rsid w:val="00B00F6B"/>
    <w:rsid w:val="00B02C6A"/>
    <w:rsid w:val="00B14C79"/>
    <w:rsid w:val="00B346EA"/>
    <w:rsid w:val="00B4156C"/>
    <w:rsid w:val="00B42240"/>
    <w:rsid w:val="00B43C59"/>
    <w:rsid w:val="00B46CBE"/>
    <w:rsid w:val="00B473E4"/>
    <w:rsid w:val="00B54C43"/>
    <w:rsid w:val="00B55E6D"/>
    <w:rsid w:val="00B56D91"/>
    <w:rsid w:val="00B64BEF"/>
    <w:rsid w:val="00B66DBE"/>
    <w:rsid w:val="00B733FE"/>
    <w:rsid w:val="00B75912"/>
    <w:rsid w:val="00B8028A"/>
    <w:rsid w:val="00B929F0"/>
    <w:rsid w:val="00B9624F"/>
    <w:rsid w:val="00B969CD"/>
    <w:rsid w:val="00BA101D"/>
    <w:rsid w:val="00BA5554"/>
    <w:rsid w:val="00BC0163"/>
    <w:rsid w:val="00BC4D58"/>
    <w:rsid w:val="00BC50B4"/>
    <w:rsid w:val="00BD2178"/>
    <w:rsid w:val="00BD4133"/>
    <w:rsid w:val="00BE67B1"/>
    <w:rsid w:val="00BE7E7E"/>
    <w:rsid w:val="00BF7121"/>
    <w:rsid w:val="00C02F9D"/>
    <w:rsid w:val="00C05C9E"/>
    <w:rsid w:val="00C06583"/>
    <w:rsid w:val="00C145E6"/>
    <w:rsid w:val="00C20167"/>
    <w:rsid w:val="00C23B37"/>
    <w:rsid w:val="00C26690"/>
    <w:rsid w:val="00C31A39"/>
    <w:rsid w:val="00C47926"/>
    <w:rsid w:val="00C529FE"/>
    <w:rsid w:val="00C55609"/>
    <w:rsid w:val="00C65F51"/>
    <w:rsid w:val="00C823E4"/>
    <w:rsid w:val="00C91ACC"/>
    <w:rsid w:val="00C934A5"/>
    <w:rsid w:val="00C93DB3"/>
    <w:rsid w:val="00CB1639"/>
    <w:rsid w:val="00CB4ABB"/>
    <w:rsid w:val="00CC02AC"/>
    <w:rsid w:val="00CC6B55"/>
    <w:rsid w:val="00CE5995"/>
    <w:rsid w:val="00CE66E4"/>
    <w:rsid w:val="00CE77AD"/>
    <w:rsid w:val="00D03908"/>
    <w:rsid w:val="00D20E66"/>
    <w:rsid w:val="00D26EAE"/>
    <w:rsid w:val="00D45EE9"/>
    <w:rsid w:val="00D47BCE"/>
    <w:rsid w:val="00D539A4"/>
    <w:rsid w:val="00D54825"/>
    <w:rsid w:val="00D54EE8"/>
    <w:rsid w:val="00D5787C"/>
    <w:rsid w:val="00D6403A"/>
    <w:rsid w:val="00D64BE9"/>
    <w:rsid w:val="00DA1066"/>
    <w:rsid w:val="00DA4745"/>
    <w:rsid w:val="00DA7F84"/>
    <w:rsid w:val="00DB0050"/>
    <w:rsid w:val="00DC43E3"/>
    <w:rsid w:val="00DD10A1"/>
    <w:rsid w:val="00DD192D"/>
    <w:rsid w:val="00DD55FC"/>
    <w:rsid w:val="00DD635D"/>
    <w:rsid w:val="00E01F22"/>
    <w:rsid w:val="00E14968"/>
    <w:rsid w:val="00E21924"/>
    <w:rsid w:val="00E219AE"/>
    <w:rsid w:val="00E461D7"/>
    <w:rsid w:val="00E47CDE"/>
    <w:rsid w:val="00E51FD7"/>
    <w:rsid w:val="00E53301"/>
    <w:rsid w:val="00E63EC9"/>
    <w:rsid w:val="00E801CE"/>
    <w:rsid w:val="00E83259"/>
    <w:rsid w:val="00E92503"/>
    <w:rsid w:val="00EA71D2"/>
    <w:rsid w:val="00EB66AF"/>
    <w:rsid w:val="00EB6F55"/>
    <w:rsid w:val="00ED2DC7"/>
    <w:rsid w:val="00ED390F"/>
    <w:rsid w:val="00EE2487"/>
    <w:rsid w:val="00EE7541"/>
    <w:rsid w:val="00EF53D3"/>
    <w:rsid w:val="00EF60EB"/>
    <w:rsid w:val="00F00E8C"/>
    <w:rsid w:val="00F12079"/>
    <w:rsid w:val="00F14F91"/>
    <w:rsid w:val="00F2261B"/>
    <w:rsid w:val="00F2435B"/>
    <w:rsid w:val="00F30302"/>
    <w:rsid w:val="00F35D96"/>
    <w:rsid w:val="00F37DAB"/>
    <w:rsid w:val="00F42771"/>
    <w:rsid w:val="00F45EB7"/>
    <w:rsid w:val="00F533C6"/>
    <w:rsid w:val="00F56655"/>
    <w:rsid w:val="00F628BA"/>
    <w:rsid w:val="00F67267"/>
    <w:rsid w:val="00F771D2"/>
    <w:rsid w:val="00F801D1"/>
    <w:rsid w:val="00F91E63"/>
    <w:rsid w:val="00F925F8"/>
    <w:rsid w:val="00F934DA"/>
    <w:rsid w:val="00F94140"/>
    <w:rsid w:val="00F94242"/>
    <w:rsid w:val="00FA1460"/>
    <w:rsid w:val="00FA3E2E"/>
    <w:rsid w:val="00FA4F2F"/>
    <w:rsid w:val="00FA5041"/>
    <w:rsid w:val="00FA5664"/>
    <w:rsid w:val="00FA60D1"/>
    <w:rsid w:val="00FA74A8"/>
    <w:rsid w:val="00FB68ED"/>
    <w:rsid w:val="00FC12B0"/>
    <w:rsid w:val="00FD36B4"/>
    <w:rsid w:val="00FE0405"/>
    <w:rsid w:val="00FF18F1"/>
    <w:rsid w:val="00FF3D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F23D2"/>
  <w15:chartTrackingRefBased/>
  <w15:docId w15:val="{16BC6197-4791-45E6-B96B-D9DE46E68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05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36FD1"/>
    <w:rPr>
      <w:sz w:val="16"/>
      <w:szCs w:val="16"/>
    </w:rPr>
  </w:style>
  <w:style w:type="paragraph" w:styleId="CommentText">
    <w:name w:val="annotation text"/>
    <w:basedOn w:val="Normal"/>
    <w:link w:val="CommentTextChar"/>
    <w:uiPriority w:val="99"/>
    <w:semiHidden/>
    <w:unhideWhenUsed/>
    <w:rsid w:val="00536FD1"/>
    <w:pPr>
      <w:spacing w:line="240" w:lineRule="auto"/>
    </w:pPr>
    <w:rPr>
      <w:sz w:val="20"/>
      <w:szCs w:val="20"/>
    </w:rPr>
  </w:style>
  <w:style w:type="character" w:customStyle="1" w:styleId="CommentTextChar">
    <w:name w:val="Comment Text Char"/>
    <w:basedOn w:val="DefaultParagraphFont"/>
    <w:link w:val="CommentText"/>
    <w:uiPriority w:val="99"/>
    <w:semiHidden/>
    <w:rsid w:val="00536FD1"/>
    <w:rPr>
      <w:sz w:val="20"/>
      <w:szCs w:val="20"/>
    </w:rPr>
  </w:style>
  <w:style w:type="paragraph" w:styleId="CommentSubject">
    <w:name w:val="annotation subject"/>
    <w:basedOn w:val="CommentText"/>
    <w:next w:val="CommentText"/>
    <w:link w:val="CommentSubjectChar"/>
    <w:uiPriority w:val="99"/>
    <w:semiHidden/>
    <w:unhideWhenUsed/>
    <w:rsid w:val="00536FD1"/>
    <w:rPr>
      <w:b/>
      <w:bCs/>
    </w:rPr>
  </w:style>
  <w:style w:type="character" w:customStyle="1" w:styleId="CommentSubjectChar">
    <w:name w:val="Comment Subject Char"/>
    <w:basedOn w:val="CommentTextChar"/>
    <w:link w:val="CommentSubject"/>
    <w:uiPriority w:val="99"/>
    <w:semiHidden/>
    <w:rsid w:val="00536FD1"/>
    <w:rPr>
      <w:b/>
      <w:bCs/>
      <w:sz w:val="20"/>
      <w:szCs w:val="20"/>
    </w:rPr>
  </w:style>
  <w:style w:type="paragraph" w:styleId="BalloonText">
    <w:name w:val="Balloon Text"/>
    <w:basedOn w:val="Normal"/>
    <w:link w:val="BalloonTextChar"/>
    <w:uiPriority w:val="99"/>
    <w:semiHidden/>
    <w:unhideWhenUsed/>
    <w:rsid w:val="00536F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6FD1"/>
    <w:rPr>
      <w:rFonts w:ascii="Segoe UI" w:hAnsi="Segoe UI" w:cs="Segoe UI"/>
      <w:sz w:val="18"/>
      <w:szCs w:val="18"/>
    </w:rPr>
  </w:style>
  <w:style w:type="character" w:styleId="Hyperlink">
    <w:name w:val="Hyperlink"/>
    <w:basedOn w:val="DefaultParagraphFont"/>
    <w:uiPriority w:val="99"/>
    <w:unhideWhenUsed/>
    <w:rsid w:val="00E63EC9"/>
    <w:rPr>
      <w:color w:val="0000FF"/>
      <w:u w:val="single"/>
    </w:rPr>
  </w:style>
  <w:style w:type="character" w:styleId="PlaceholderText">
    <w:name w:val="Placeholder Text"/>
    <w:basedOn w:val="DefaultParagraphFont"/>
    <w:uiPriority w:val="99"/>
    <w:semiHidden/>
    <w:rsid w:val="0064566A"/>
    <w:rPr>
      <w:color w:val="808080"/>
    </w:rPr>
  </w:style>
  <w:style w:type="paragraph" w:styleId="ListParagraph">
    <w:name w:val="List Paragraph"/>
    <w:basedOn w:val="Normal"/>
    <w:uiPriority w:val="34"/>
    <w:qFormat/>
    <w:rsid w:val="00DD10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ho.int/health-topics/mentalhealth?__cf_chl_managed_tk__=iCJ77wpB6.XdP4oWVALsPqZl8jONOfJLrgOuD1Y1hiU-1640759322-0-gaNycGzNCNE" TargetMode="External"/><Relationship Id="rId5" Type="http://schemas.openxmlformats.org/officeDocument/2006/relationships/hyperlink" Target="http://www.emro.who.int/afg/afghanistan-news/world-health-day-2017.html" TargetMode="External"/><Relationship Id="rId4" Type="http://schemas.openxmlformats.org/officeDocument/2006/relationships/hyperlink" Target="https://ourworldindata.org/mental-heal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3275</Words>
  <Characters>18668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2021-12-30T17:22:00Z</dcterms:created>
  <dcterms:modified xsi:type="dcterms:W3CDTF">2021-12-30T17:43:00Z</dcterms:modified>
</cp:coreProperties>
</file>