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4B"/>
          <w:sz w:val="48"/>
          <w:szCs w:val="48"/>
        </w:rPr>
        <w:t xml:space="preserve">TurboRefi — Engineer’s Technical Specification</w:t>
      </w:r>
    </w:p>
    <w:p>
      <w:pPr>
        <w:spacing w:after="200"/>
        <w:jc w:val="center"/>
      </w:pPr>
      <w:r>
        <w:rPr>
          <w:rFonts w:ascii="Arial" w:cs="Arial" w:eastAsia="Arial" w:hAnsi="Arial"/>
          <w:color w:val="666666"/>
          <w:sz w:val="24"/>
          <w:szCs w:val="24"/>
        </w:rPr>
        <w:t xml:space="preserve">LARS Score Engine, RAG Pipeline, Information Firewall &amp; System Logic</w:t>
      </w:r>
    </w:p>
    <w:p>
      <w:pPr>
        <w:spacing w:after="100"/>
        <w:jc w:val="center"/>
      </w:pPr>
      <w:r>
        <w:rPr>
          <w:rFonts w:ascii="Arial" w:cs="Arial" w:eastAsia="Arial" w:hAnsi="Arial"/>
          <w:i/>
          <w:iCs/>
          <w:color w:val="2E7D32"/>
          <w:sz w:val="22"/>
          <w:szCs w:val="22"/>
        </w:rPr>
        <w:t xml:space="preserve">Build Reference  |  Version 1.0</w:t>
      </w:r>
    </w:p>
    <w:p>
      <w:pPr>
        <w:jc w:val="center"/>
      </w:pPr>
      <w:r>
        <w:rPr>
          <w:rFonts w:ascii="Arial" w:cs="Arial" w:eastAsia="Arial" w:hAnsi="Arial"/>
          <w:color w:val="AAAAAA"/>
          <w:sz w:val="18"/>
          <w:szCs w:val="18"/>
        </w:rPr>
        <w:t xml:space="preserve">Mortgage Foundry  |  April 2026  |  CONFIDENTIAL  |  Engineering Team Only</w:t>
      </w:r>
    </w:p>
    <w:p>
      <w:r>
        <w:br w:type="page"/>
      </w:r>
    </w:p>
    <w:p>
      <w:pPr>
        <w:pStyle w:val="Heading1"/>
      </w:pPr>
      <w:r>
        <w:t xml:space="preserve">1. LARS — Loan Automation Readiness Score</w:t>
      </w:r>
    </w:p>
    <w:p>
      <w:pPr>
        <w:pStyle w:val="Heading2"/>
      </w:pPr>
      <w:r>
        <w:t xml:space="preserve">1.1  What LARS Is</w:t>
      </w:r>
    </w:p>
    <w:p>
      <w:pPr>
        <w:spacing w:after="100"/>
      </w:pPr>
      <w:r>
        <w:rPr>
          <w:rFonts w:ascii="Arial" w:cs="Arial" w:eastAsia="Arial" w:hAnsi="Arial"/>
          <w:sz w:val="21"/>
          <w:szCs w:val="21"/>
        </w:rPr>
        <w:t xml:space="preserve">LARS is a real-time, per-loan score that determines whether the TurboRefi pipeline processes a loan automatically or refers it to a human agent. It measures data quality, completeness, and ambiguity — not creditworthiness. A high LARS means the loan’s data is clean enough for the system to make a reliable screening determination. A low LARS means there is too much ambiguity for the system to handle safely.</w:t>
      </w:r>
    </w:p>
    <w:p>
      <w:pPr>
        <w:spacing w:after="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rPr>
          <w:tblHeader/>
        </w:trP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Property</w:t>
            </w:r>
          </w:p>
        </w:tc>
        <w:tc>
          <w:tcPr>
            <w:tcW w:type="dxa" w:w="7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Starting value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100 (every loan)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Direction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Deductions only. Points are never added 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Range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0–100. Capped at floor of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Cutoff</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LARS ≥ 70: AUTOMATED. LARS &lt; 70: HUMAN REFERRAL.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Override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If TCS (Compliance Score) &lt; 60 (RED), loan is referred regardless of LARS.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Recalculation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After every new data point enters the pipeline (document upload, borrower answer, API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Composition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Base Factors (applied to all UCs) + UC-Specific Factors (only the relevant UC’s factors apply).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Persistence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Final LARS score and all deduction events are stored in the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Behavior on RED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When score drops below 70, the system sets an internal flag: referral_triggered = true. The conversation CONTINUES to collect remaining data. Referral is communicated to the borrower only when data collection is substantially complete.</w:t>
            </w:r>
          </w:p>
        </w:tc>
      </w:tr>
    </w:tbl>
    <w:p>
      <w:pPr>
        <w:spacing w:after="60"/>
      </w:pPr>
    </w:p>
    <w:p>
      <w:pPr>
        <w:pStyle w:val="Heading2"/>
      </w:pPr>
      <w:r>
        <w:t xml:space="preserve">1.2  LARS Factor Schema</w:t>
      </w:r>
    </w:p>
    <w:p>
      <w:pPr>
        <w:spacing w:after="100"/>
      </w:pPr>
      <w:r>
        <w:rPr>
          <w:rFonts w:ascii="Arial" w:cs="Arial" w:eastAsia="Arial" w:hAnsi="Arial"/>
          <w:sz w:val="21"/>
          <w:szCs w:val="21"/>
        </w:rPr>
        <w:t xml:space="preserve">Each factor is stored as a structured event:</w:t>
      </w:r>
    </w:p>
    <w:p>
      <w:pPr>
        <w:spacing w:after="100"/>
      </w:pPr>
      <w:r>
        <w:rPr>
          <w:rFonts w:ascii="Consolas" w:cs="Consolas" w:eastAsia="Consolas" w:hAnsi="Consolas"/>
          <w:sz w:val="18"/>
          <w:szCs w:val="18"/>
        </w:rPr>
        <w:t xml:space="preserve">{ factor_code: "B6", factor_name: "W2_paystub_mismatch", condition_met: true, deduction: -10, data: { w2_annual: 98000, paystub_annualized: 112000, diff_pct: 14.3 }, timestamp: "2026-04-04T10:23:15Z", score_after: 85 }</w:t>
      </w:r>
    </w:p>
    <w:p>
      <w:pPr>
        <w:spacing w:after="100"/>
      </w:pPr>
      <w:r>
        <w:rPr>
          <w:rFonts w:ascii="Arial" w:cs="Arial" w:eastAsia="Arial" w:hAnsi="Arial"/>
          <w:sz w:val="21"/>
          <w:szCs w:val="21"/>
        </w:rPr>
        <w:t xml:space="preserve">All factor events are immutable log entries. They are NOT updated or deleted — only appended.</w:t>
      </w:r>
    </w:p>
    <w:p>
      <w:r>
        <w:br w:type="page"/>
      </w:r>
    </w:p>
    <w:p>
      <w:pPr>
        <w:pStyle w:val="Heading2"/>
      </w:pPr>
      <w:r>
        <w:t xml:space="preserve">1.3  Complete LARS Scorecard</w:t>
      </w:r>
    </w:p>
    <w:p>
      <w:pPr>
        <w:spacing w:after="100"/>
      </w:pPr>
      <w:r>
        <w:rPr>
          <w:rFonts w:ascii="Arial" w:cs="Arial" w:eastAsia="Arial" w:hAnsi="Arial"/>
          <w:sz w:val="21"/>
          <w:szCs w:val="21"/>
        </w:rPr>
        <w:t xml:space="preserve">Factors marked ⚠ are HARD RED triggers. Any single ⚠ factor will typically push the score into referral territory (&lt;70) when combined with even minor other deductions.</w:t>
      </w:r>
    </w:p>
    <w:p>
      <w:pPr>
        <w:spacing w:after="40"/>
      </w:pPr>
    </w:p>
    <w:p>
      <w:pPr>
        <w:spacing w:after="100"/>
      </w:pPr>
      <w:r>
        <w:rPr>
          <w:rFonts w:ascii="Arial" w:cs="Arial" w:eastAsia="Arial" w:hAnsi="Arial"/>
          <w:b/>
          <w:bCs/>
          <w:sz w:val="21"/>
          <w:szCs w:val="21"/>
        </w:rPr>
        <w:t xml:space="preserve">BASE FACTORS (all use cases)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900"/>
        <w:gridCol w:w="1560"/>
      </w:tblGrid>
      <w:tr>
        <w:trPr>
          <w:tblHeader/>
        </w:trPr>
        <w:tc>
          <w:tcPr>
            <w:tcW w:type="dxa" w:w="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Factor</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 (trigger if TRUE)</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Deduction</w:t>
            </w:r>
          </w:p>
        </w:tc>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Type</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B1</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FICO below minimum</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Borrower reports FICO &lt; 620 OR selects "Below 620"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categorical: fico_range</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B2</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FICO borderline</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Borrower reports FICO 620–679</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categorical: fico_range</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B3</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FICO unknown</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Borrower says "I don’t know" to FICO question</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boolean: fico_unknown</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B4</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Factual uncertainty</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Borrower says "not sure" / "don’t remember" / "I think" on any factual question (income, dates, property, employment)</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per occ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counter: uncertainty_count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B5</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Missing required doc</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Required document per UC checklist not uploaded after request</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per doc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list: missing_docs[]</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B6</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W2/paystub mismatch</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abs(annualized_paystub – w2_income) / w2_income &gt; 10%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income_diff_pct</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B7</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OCR low confidence</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Any key field extracted with confidence &lt; 0.80</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float: min_ocr_confidence</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B8</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Employment &lt; 2yr</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borrower_tenure_months &lt; 24</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int: tenure_months</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B9</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Employment gap</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Borrower reports any gap in past 24 months</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boolean: has_gap</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B10</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LTV &gt; threshold</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UC2: max_ltv &gt; 0.75. Others: max_ltv &gt; 0.80. (max_ltv = balance / min(api_values))</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max_ltv</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B11</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API divergence</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(max(api_values) – min(api_values)) / mean(api_values) &gt; 0.15</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api_spread_pct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B12</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Condo/HOA</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property_type == "condo" AND has_hoa == true</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categorical: property_type</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B13</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OFAC not screened</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processing_started AND ofac_cleared == false</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boolean: ofac_cleared</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B14</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Identity mismatch</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ID name/DOB/SSN doesn’t match application fields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boolean: id_match</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B15</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DTI &gt; 43%</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estimated_dti &gt; 0.43</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estimated_dti</w:t>
            </w:r>
          </w:p>
        </w:tc>
      </w:tr>
    </w:tbl>
    <w:p>
      <w:pPr>
        <w:spacing w:after="80"/>
      </w:pPr>
    </w:p>
    <w:p>
      <w:pPr>
        <w:spacing w:after="100"/>
      </w:pPr>
      <w:r>
        <w:rPr>
          <w:rFonts w:ascii="Arial" w:cs="Arial" w:eastAsia="Arial" w:hAnsi="Arial"/>
          <w:b/>
          <w:bCs/>
          <w:sz w:val="21"/>
          <w:szCs w:val="21"/>
        </w:rPr>
        <w:t xml:space="preserve">UC1 FACTORS: W2 Rate-Term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900"/>
        <w:gridCol w:w="1560"/>
      </w:tblGrid>
      <w:tr>
        <w:trPr>
          <w:tblHeader/>
        </w:trPr>
        <w:tc>
          <w:tcPr>
            <w:tcW w:type="dxa" w:w="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Factor</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Deduction</w:t>
            </w:r>
          </w:p>
        </w:tc>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U1.1</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Variable income &gt; 25%</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(bonus + ot + commission) / base_salary &gt; 0.25</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variable_pct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U1.2</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Variable &lt; 2yr history</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U1.1 triggered AND tenure_months &lt; 24</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compound</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U1.3</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Multiple employers</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employer_count &gt; 1</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int: employer_count</w:t>
            </w:r>
          </w:p>
        </w:tc>
      </w:tr>
    </w:tbl>
    <w:p>
      <w:pPr>
        <w:spacing w:after="80"/>
      </w:pPr>
    </w:p>
    <w:p>
      <w:pPr>
        <w:spacing w:after="100"/>
      </w:pPr>
      <w:r>
        <w:rPr>
          <w:rFonts w:ascii="Arial" w:cs="Arial" w:eastAsia="Arial" w:hAnsi="Arial"/>
          <w:b/>
          <w:bCs/>
          <w:sz w:val="21"/>
          <w:szCs w:val="21"/>
        </w:rPr>
        <w:t xml:space="preserve">UC2 FACTORS: PMI Removal (adds to UC1)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900"/>
        <w:gridCol w:w="1560"/>
      </w:tblGrid>
      <w:tr>
        <w:trPr>
          <w:tblHeader/>
        </w:trPr>
        <w:tc>
          <w:tcPr>
            <w:tcW w:type="dxa" w:w="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Factor</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Deduction</w:t>
            </w:r>
          </w:p>
        </w:tc>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U2.1</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LTV straddles 75%</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min_ltv &lt; 0.75 AND max_ltv &gt; 0.75</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min/max_ltv</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U2.2</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PMI type unclear</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pmi_type == "unknown" OR borrower_unsure_pmi == true</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categorical: pmi_type</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U2.3</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Second lien</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has_second_lien == true</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boolean</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U2.4</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Purchase price unknown</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purchase_price == null AND borrower_estimate == null</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nullable: purchase_price</w:t>
            </w:r>
          </w:p>
        </w:tc>
      </w:tr>
    </w:tbl>
    <w:p>
      <w:pPr>
        <w:spacing w:after="80"/>
      </w:pPr>
    </w:p>
    <w:p>
      <w:pPr>
        <w:spacing w:after="100"/>
      </w:pPr>
      <w:r>
        <w:rPr>
          <w:rFonts w:ascii="Arial" w:cs="Arial" w:eastAsia="Arial" w:hAnsi="Arial"/>
          <w:b/>
          <w:bCs/>
          <w:sz w:val="21"/>
          <w:szCs w:val="21"/>
        </w:rPr>
        <w:t xml:space="preserve">UC3 FACTORS: Self-Employed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900"/>
        <w:gridCol w:w="1560"/>
      </w:tblGrid>
      <w:tr>
        <w:trPr>
          <w:tblHeader/>
        </w:trPr>
        <w:tc>
          <w:tcPr>
            <w:tcW w:type="dxa" w:w="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Factor</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Deduction</w:t>
            </w:r>
          </w:p>
        </w:tc>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U3.1</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Income declining</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yr2_adjusted &lt; yr1_adjusted</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yr1/yr2_adjusted</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U3.2</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Net loss</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yr1_net &lt; 0 OR yr2_net &lt; 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yr1/yr2_net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U3.3</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Multiple businesses</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schedule_c_count &gt; 1</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int: schedule_c_count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U3.4</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Entity changed</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yr1_entity_type != yr2_entity_type</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categorical</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U3.5</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Large one-time deduction</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max_single_deduction / gross_revenue &gt; 0.20</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float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U3.6</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Business &lt; 2yr</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business_months &lt; 24</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int: business_months</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U3.7</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P&amp;L deviation</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abs(pl_annualized – tax_2yr_avg) / tax_2yr_avg &gt; 0.25</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float: pl_deviation_pct</w:t>
            </w:r>
          </w:p>
        </w:tc>
      </w:tr>
    </w:tbl>
    <w:p>
      <w:pPr>
        <w:spacing w:after="80"/>
      </w:pPr>
    </w:p>
    <w:p>
      <w:pPr>
        <w:spacing w:after="100"/>
      </w:pPr>
      <w:r>
        <w:rPr>
          <w:rFonts w:ascii="Arial" w:cs="Arial" w:eastAsia="Arial" w:hAnsi="Arial"/>
          <w:b/>
          <w:bCs/>
          <w:sz w:val="21"/>
          <w:szCs w:val="21"/>
        </w:rPr>
        <w:t xml:space="preserve">UC4 FACTORS: Gig Worker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900"/>
        <w:gridCol w:w="1560"/>
      </w:tblGrid>
      <w:tr>
        <w:trPr>
          <w:tblHeader/>
        </w:trPr>
        <w:tc>
          <w:tcPr>
            <w:tcW w:type="dxa" w:w="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Factor</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Deduction</w:t>
            </w:r>
          </w:p>
        </w:tc>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U4.1</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Multiple platforms</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platform_count &gt; 1</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int: platform_count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U4.2</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Expense ratio &gt; 50%</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schedule_c_expenses / gross_1099 &gt; 0.50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expense_ratio</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U4.3</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Platform &lt; 12mo</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platform_months &lt; 12</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int: platform_months</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U4.4</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Platform 12–23mo</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12 ≤ platform_months &lt; 24</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int: platform_months</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U4.5</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Seasonal volatility</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(max_monthly – min_monthly) / avg_monthly &gt; 0.50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volatility_pct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U4.6</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1099/SchedC mismatch</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abs(gross_1099 – schedule_c_gross) &gt; 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mismatch_amount</w:t>
            </w:r>
          </w:p>
        </w:tc>
      </w:tr>
    </w:tbl>
    <w:p>
      <w:pPr>
        <w:spacing w:after="80"/>
      </w:pPr>
    </w:p>
    <w:p>
      <w:pPr>
        <w:spacing w:after="100"/>
      </w:pPr>
      <w:r>
        <w:rPr>
          <w:rFonts w:ascii="Arial" w:cs="Arial" w:eastAsia="Arial" w:hAnsi="Arial"/>
          <w:b/>
          <w:bCs/>
          <w:sz w:val="21"/>
          <w:szCs w:val="21"/>
        </w:rPr>
        <w:t xml:space="preserve">UC5 FACTORS: VA IRRRL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900"/>
        <w:gridCol w:w="1560"/>
      </w:tblGrid>
      <w:tr>
        <w:trPr>
          <w:tblHeader/>
        </w:trPr>
        <w:tc>
          <w:tcPr>
            <w:tcW w:type="dxa" w:w="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Factor</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Deduction</w:t>
            </w:r>
          </w:p>
        </w:tc>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U5.1</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Not VA loan</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loan_type != "VA"</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–30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categorical: loan_type</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U5.2</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Benefit test fails</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current_rate – new_rate &lt; 0.50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–30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rate_reduction_bps</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U5.3</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Cash-out requested</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loan_purpose == "cash_out"</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–30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categorical: loan_purpose</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U5.4</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Seasoning not met</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payments_made &lt; 6 OR days_since_first_payment &lt; 210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int: payments / days</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U5.5</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Unnecessary docs requested</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system_requested_income OR system_requested_credit OR system_requested_appraisal</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(BUG)</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boolean: system bug</w:t>
            </w:r>
          </w:p>
        </w:tc>
      </w:tr>
    </w:tbl>
    <w:p>
      <w:pPr>
        <w:spacing w:after="80"/>
      </w:pPr>
    </w:p>
    <w:p>
      <w:pPr>
        <w:spacing w:after="100"/>
      </w:pPr>
      <w:r>
        <w:rPr>
          <w:rFonts w:ascii="Arial" w:cs="Arial" w:eastAsia="Arial" w:hAnsi="Arial"/>
          <w:b/>
          <w:bCs/>
          <w:sz w:val="21"/>
          <w:szCs w:val="21"/>
        </w:rPr>
        <w:t xml:space="preserve">UC6 FACTORS: W2 + Rental (adds to UC1)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00"/>
        <w:gridCol w:w="900"/>
        <w:gridCol w:w="1560"/>
      </w:tblGrid>
      <w:tr>
        <w:trPr>
          <w:tblHeader/>
        </w:trPr>
        <w:tc>
          <w:tcPr>
            <w:tcW w:type="dxa" w:w="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Factor</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Deduction</w:t>
            </w:r>
          </w:p>
        </w:tc>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U6.1</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Rental vacant</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rental_occupied == false</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–15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boolean</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U6.2</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Net rental negative</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net_rental_income &lt; 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 net_rental</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U6.3</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Multiple rentals</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rental_property_count &gt; 1</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int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U6.4</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Family tenant</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tenant_relationship == "family"</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categorical</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U6.5</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Rental &lt; 2yr owned</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rental_ownership_months &lt; 24</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int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U6.6</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SchedE/lease mismatch</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abs(lease_annualized – sched_e_gross) / lease_annualized &gt; 0.10</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float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U6.7</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Rental PITIA unknown</w:t>
            </w:r>
          </w:p>
        </w:tc>
        <w:tc>
          <w:tcPr>
            <w:tcW w:type="dxa" w:w="3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rental_pitia == null</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–10 ⚠</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nullable</w:t>
            </w:r>
          </w:p>
        </w:tc>
      </w:tr>
    </w:tbl>
    <w:p>
      <w:r>
        <w:br w:type="page"/>
      </w:r>
    </w:p>
    <w:p>
      <w:pPr>
        <w:pStyle w:val="Heading1"/>
      </w:pPr>
      <w:r>
        <w:t xml:space="preserve">2. Information Firewall Architecture</w:t>
      </w:r>
    </w:p>
    <w:p>
      <w:pPr>
        <w:spacing w:after="100"/>
      </w:pPr>
      <w:r>
        <w:rPr>
          <w:rFonts w:ascii="Arial" w:cs="Arial" w:eastAsia="Arial" w:hAnsi="Arial"/>
          <w:sz w:val="21"/>
          <w:szCs w:val="21"/>
        </w:rPr>
        <w:t xml:space="preserve">At borrower intake, data splits into two streams with hard access controls. This is ECOA/Fair Housing compliance at the architectural level.</w:t>
      </w:r>
    </w:p>
    <w:p>
      <w:pPr>
        <w:spacing w:after="4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4380"/>
        <w:gridCol w:w="4380"/>
      </w:tblGrid>
      <w:tr>
        <w:trPr>
          <w:tblHeader/>
        </w:trPr>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43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Stream 1: LOA (Loan Officer Agent)</w:t>
            </w:r>
          </w:p>
        </w:tc>
        <w:tc>
          <w:tcPr>
            <w:tcW w:type="dxa" w:w="43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Stream 2: Compliance Agent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Data store</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loans_loa (separate DB/schema)</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loans_compliance (separate DB/schema)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Borrower identifier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Tokenized ID only (e.g., BRW-7482). NO name.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Full name + tokenized 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Fields received</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income, fico_range, property_value_range, balance, employment_tenure, property_type, property_address (for API calls), loan_amount, dti_components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ALL Stream 1 fields PLUS: race, ethnicity, sex, age, marital_status, national_origin, language, census_tract, disability_status, borrower_name</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Fields BLOCKED</w:t>
            </w:r>
          </w:p>
        </w:tc>
        <w:tc>
          <w:tcPr>
            <w:tcW w:type="dxa" w:w="43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race, ethnicity, sex, age, marital_status, national_origin, language, disability_status, borrower_name</w:t>
            </w:r>
          </w:p>
        </w:tc>
        <w:tc>
          <w:tcPr>
            <w:tcW w:type="dxa" w:w="43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None blocked. Full visibility required for fairness monitoring.</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Enforcement</w:t>
            </w:r>
          </w:p>
        </w:tc>
        <w:tc>
          <w:tcPr>
            <w:tcW w:type="dxa" w:w="43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Database-level column permissions. LOA service account has NO SELECT access to protected fields. This is not application-level filtering — it is DB-level ACL.</w:t>
            </w:r>
          </w:p>
        </w:tc>
        <w:tc>
          <w:tcPr>
            <w:tcW w:type="dxa" w:w="43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Compliance service account has SELECT on all columns.</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LLM context</w:t>
            </w:r>
          </w:p>
        </w:tc>
        <w:tc>
          <w:tcPr>
            <w:tcW w:type="dxa" w:w="43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Protected fields are NEVER included in the LOA’s prompt context. Even if the data is in the same row, the retrieval query must exclude these columns.</w:t>
            </w:r>
          </w:p>
        </w:tc>
        <w:tc>
          <w:tcPr>
            <w:tcW w:type="dxa" w:w="43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Compliance LLM receives full context for fairness analysis.</w:t>
            </w:r>
          </w:p>
        </w:tc>
      </w:tr>
    </w:tbl>
    <w:p>
      <w:pPr>
        <w:spacing w:after="80"/>
      </w:pPr>
    </w:p>
    <w:p>
      <w:pPr>
        <w:spacing w:after="100"/>
      </w:pPr>
      <w:r>
        <w:rPr>
          <w:rFonts w:ascii="Arial" w:cs="Arial" w:eastAsia="Arial" w:hAnsi="Arial"/>
          <w:b/>
          <w:bCs/>
          <w:sz w:val="21"/>
          <w:szCs w:val="21"/>
        </w:rPr>
        <w:t xml:space="preserve">Name masking implementation: </w:t>
      </w:r>
      <w:r>
        <w:rPr>
          <w:rFonts w:ascii="Arial" w:cs="Arial" w:eastAsia="Arial" w:hAnsi="Arial"/>
          <w:sz w:val="21"/>
          <w:szCs w:val="21"/>
        </w:rPr>
        <w:t xml:space="preserve">Use a deterministic hash (e.g., SHA-256 of name + salt) to generate the token. The LOA never calls the unhash function. The compliance agent and human agent can resolve the token to a name via a separate lookup service that requires compliance-level credentials.</w:t>
      </w:r>
    </w:p>
    <w:p>
      <w:pPr>
        <w:spacing w:after="100"/>
      </w:pPr>
      <w:r>
        <w:rPr>
          <w:rFonts w:ascii="Arial" w:cs="Arial" w:eastAsia="Arial" w:hAnsi="Arial"/>
          <w:b/>
          <w:bCs/>
          <w:sz w:val="21"/>
          <w:szCs w:val="21"/>
        </w:rPr>
        <w:t xml:space="preserve">Address handling: </w:t>
      </w:r>
      <w:r>
        <w:rPr>
          <w:rFonts w:ascii="Arial" w:cs="Arial" w:eastAsia="Arial" w:hAnsi="Arial"/>
          <w:sz w:val="21"/>
          <w:szCs w:val="21"/>
        </w:rPr>
        <w:t xml:space="preserve">The LOA needs the property address to call housing value APIs. This is acceptable. However, the compliance agent should monitor whether treatment patterns correlate with census tract demographics (redlining detection).</w:t>
      </w:r>
    </w:p>
    <w:p>
      <w:r>
        <w:br w:type="page"/>
      </w:r>
    </w:p>
    <w:p>
      <w:pPr>
        <w:pStyle w:val="Heading1"/>
      </w:pPr>
      <w:r>
        <w:t xml:space="preserve">3. RAG Retrieval Specifications</w:t>
      </w:r>
    </w:p>
    <w:p>
      <w:pPr>
        <w:spacing w:after="100"/>
      </w:pPr>
      <w:r>
        <w:rPr>
          <w:rFonts w:ascii="Arial" w:cs="Arial" w:eastAsia="Arial" w:hAnsi="Arial"/>
          <w:sz w:val="21"/>
          <w:szCs w:val="21"/>
        </w:rPr>
        <w:t xml:space="preserve">For each use case, these are the EXACT selling guide sections the RAG must retrieve. Use these as your ground truth for evaluating retrieval accuracy. If the system retrieves a different section, it’s a bug.</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1600"/>
        <w:gridCol w:w="3260"/>
      </w:tblGrid>
      <w:tr>
        <w:trPr>
          <w:tblHeader/>
        </w:trPr>
        <w:tc>
          <w:tcPr>
            <w:tcW w:type="dxa" w:w="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UC</w:t>
            </w:r>
          </w:p>
        </w:tc>
        <w:tc>
          <w:tcPr>
            <w:tcW w:type="dxa" w:w="1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1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FNMA Section</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FHLMC Section</w:t>
            </w:r>
          </w:p>
        </w:tc>
        <w:tc>
          <w:tcPr>
            <w:tcW w:type="dxa" w:w="32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UC1</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W2 income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B3-3.1</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Ch.5302</w:t>
            </w:r>
          </w:p>
        </w:tc>
        <w:tc>
          <w:tcPr>
            <w:tcW w:type="dxa" w:w="32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Salary/wage income only. If B3-3.2 (self-employed) appears, retrieval is wrong.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UC1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LTV limits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B2-1.3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Refi Possible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Rate-term refi LTV limits.</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UC1</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DTI ratios</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B3-6</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Ch.5401</w:t>
            </w:r>
          </w:p>
        </w:tc>
        <w:tc>
          <w:tcPr>
            <w:tcW w:type="dxa" w:w="32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Qualifying ratio thresholds.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UC1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Credit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B3-5.1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Ch.5201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Minimum FICO requirements.</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5"/>
            </w:pPr>
            <w:r>
              <w:rPr>
                <w:rFonts w:ascii="Arial" w:cs="Arial" w:eastAsia="Arial" w:hAnsi="Arial"/>
                <w:sz w:val="18"/>
                <w:szCs w:val="18"/>
              </w:rPr>
              <w:t xml:space="preserve">UC2</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5"/>
            </w:pPr>
            <w:r>
              <w:rPr>
                <w:rFonts w:ascii="Arial" w:cs="Arial" w:eastAsia="Arial" w:hAnsi="Arial"/>
                <w:sz w:val="18"/>
                <w:szCs w:val="18"/>
              </w:rPr>
              <w:t xml:space="preserve">PMI rules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5"/>
            </w:pPr>
            <w:r>
              <w:rPr>
                <w:rFonts w:ascii="Arial" w:cs="Arial" w:eastAsia="Arial" w:hAnsi="Arial"/>
                <w:sz w:val="18"/>
                <w:szCs w:val="18"/>
              </w:rPr>
              <w:t xml:space="preserve">B7-1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5"/>
            </w:pPr>
            <w:r>
              <w:rPr>
                <w:rFonts w:ascii="Arial" w:cs="Arial" w:eastAsia="Arial" w:hAnsi="Arial"/>
                <w:sz w:val="18"/>
                <w:szCs w:val="18"/>
              </w:rPr>
              <w:t xml:space="preserve">Ch.4701</w:t>
            </w:r>
          </w:p>
        </w:tc>
        <w:tc>
          <w:tcPr>
            <w:tcW w:type="dxa" w:w="3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5"/>
            </w:pPr>
            <w:r>
              <w:rPr>
                <w:rFonts w:ascii="Arial" w:cs="Arial" w:eastAsia="Arial" w:hAnsi="Arial"/>
                <w:sz w:val="18"/>
                <w:szCs w:val="18"/>
              </w:rPr>
              <w:t xml:space="preserve">MI requirements by LTV.</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UC2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Appraisal/valuation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B4-1.3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ACE waiver rules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When appraisal waiver is available.</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UC3</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Self-employed income</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B3-3.2</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Ch.5303</w:t>
            </w:r>
          </w:p>
        </w:tc>
        <w:tc>
          <w:tcPr>
            <w:tcW w:type="dxa" w:w="3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5"/>
            </w:pPr>
            <w:r>
              <w:rPr>
                <w:rFonts w:ascii="Arial" w:cs="Arial" w:eastAsia="Arial" w:hAnsi="Arial"/>
                <w:sz w:val="18"/>
                <w:szCs w:val="18"/>
              </w:rPr>
              <w:t xml:space="preserve">2-year averaging, add-backs, declining income rules.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UC3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Add-back items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B3-3.2 (subsection)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5303.1(c)(i) table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FHLMC has a specific table. Must retrieve it.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UC4</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Gig/rideshare exception</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SEL-2025-01</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(none — no equivalent)</w:t>
            </w:r>
          </w:p>
        </w:tc>
        <w:tc>
          <w:tcPr>
            <w:tcW w:type="dxa" w:w="32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CRITICAL: This is an announcement letter, not base guide. Ingest must include announcements.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UC4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Self-employed baseline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B3-3.2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Ch.5303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Gig income follows self-employed rules plus the SEL exception.</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UC5</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IRRRL eligibility</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(not applicable)</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(not applicable)</w:t>
            </w:r>
          </w:p>
        </w:tc>
        <w:tc>
          <w:tcPr>
            <w:tcW w:type="dxa" w:w="32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VA Circular 26-23-06 + Lender’s Handbook Ch.6. Entirely separate knowledge base.</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UC5</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Net tangible benefit</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(not applicable)</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(not applicable)</w:t>
            </w:r>
          </w:p>
        </w:tc>
        <w:tc>
          <w:tcPr>
            <w:tcW w:type="dxa" w:w="32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25"/>
            </w:pPr>
            <w:r>
              <w:rPr>
                <w:rFonts w:ascii="Arial" w:cs="Arial" w:eastAsia="Arial" w:hAnsi="Arial"/>
                <w:sz w:val="18"/>
                <w:szCs w:val="18"/>
              </w:rPr>
              <w:t xml:space="preserve">VA-specific. 50 bps minimum for fixed-to-fixed.</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UC6</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Rental income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B3-3.5</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Ch.5305</w:t>
            </w:r>
          </w:p>
        </w:tc>
        <w:tc>
          <w:tcPr>
            <w:tcW w:type="dxa" w:w="32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5"/>
            </w:pPr>
            <w:r>
              <w:rPr>
                <w:rFonts w:ascii="Arial" w:cs="Arial" w:eastAsia="Arial" w:hAnsi="Arial"/>
                <w:sz w:val="18"/>
                <w:szCs w:val="18"/>
              </w:rPr>
              <w:t xml:space="preserve">MOST DIVERGENT section between GSEs. 75% rule (FNMA) vs. Schedule E net (FHLMC).</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UC6</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W2 income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B3-3.1</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Ch.5302</w:t>
            </w:r>
          </w:p>
        </w:tc>
        <w:tc>
          <w:tcPr>
            <w:tcW w:type="dxa" w:w="32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25"/>
            </w:pPr>
            <w:r>
              <w:rPr>
                <w:rFonts w:ascii="Arial" w:cs="Arial" w:eastAsia="Arial" w:hAnsi="Arial"/>
                <w:sz w:val="18"/>
                <w:szCs w:val="18"/>
              </w:rPr>
              <w:t xml:space="preserve">Same as UC1 for the W2 stream.</w:t>
            </w:r>
          </w:p>
        </w:tc>
      </w:tr>
    </w:tbl>
    <w:p>
      <w:pPr>
        <w:spacing w:after="80"/>
      </w:pPr>
    </w:p>
    <w:p>
      <w:pPr>
        <w:spacing w:after="100"/>
      </w:pPr>
      <w:r>
        <w:rPr>
          <w:rFonts w:ascii="Arial" w:cs="Arial" w:eastAsia="Arial" w:hAnsi="Arial"/>
          <w:b/>
          <w:bCs/>
          <w:sz w:val="21"/>
          <w:szCs w:val="21"/>
        </w:rPr>
        <w:t xml:space="preserve">Retrieval validation test: </w:t>
      </w:r>
      <w:r>
        <w:rPr>
          <w:rFonts w:ascii="Arial" w:cs="Arial" w:eastAsia="Arial" w:hAnsi="Arial"/>
          <w:sz w:val="21"/>
          <w:szCs w:val="21"/>
        </w:rPr>
        <w:t xml:space="preserve">For each use case, run a test query and log the top-5 retrieved chunks. Compare section numbers against this table. Any mismatch is a retrieval error. Pay special attention to UC4 (must include SEL-2025-01 announcement) and UC5 (must suppress GSE sections entirely and retrieve VA knowledge base).</w:t>
      </w:r>
    </w:p>
    <w:p>
      <w:pPr>
        <w:spacing w:after="100"/>
      </w:pPr>
      <w:r>
        <w:rPr>
          <w:rFonts w:ascii="Arial" w:cs="Arial" w:eastAsia="Arial" w:hAnsi="Arial"/>
          <w:b/>
          <w:bCs/>
          <w:sz w:val="21"/>
          <w:szCs w:val="21"/>
        </w:rPr>
        <w:t xml:space="preserve">GSE pathway separation: </w:t>
      </w:r>
      <w:r>
        <w:rPr>
          <w:rFonts w:ascii="Arial" w:cs="Arial" w:eastAsia="Arial" w:hAnsi="Arial"/>
          <w:sz w:val="21"/>
          <w:szCs w:val="21"/>
        </w:rPr>
        <w:t xml:space="preserve">FNMA and FHLMC chunks must be retrieved in SEPARATE queries or tagged with a gse_source metadata field. The LOA must never apply an FNMA rule to an FHLMC evaluation. Implement this as: query = "rental income" + filter(gse_source == "FNMA") and query = "rental income" + filter(gse_source == "FHLMC") in parallel.</w:t>
      </w:r>
    </w:p>
    <w:p>
      <w:r>
        <w:br w:type="page"/>
      </w:r>
    </w:p>
    <w:p>
      <w:pPr>
        <w:pStyle w:val="Heading1"/>
      </w:pPr>
      <w:r>
        <w:t xml:space="preserve">4. System Logic — State Machine</w:t>
      </w:r>
    </w:p>
    <w:p>
      <w:pPr>
        <w:spacing w:after="100"/>
      </w:pPr>
      <w:r>
        <w:rPr>
          <w:rFonts w:ascii="Arial" w:cs="Arial" w:eastAsia="Arial" w:hAnsi="Arial"/>
          <w:sz w:val="21"/>
          <w:szCs w:val="21"/>
        </w:rPr>
        <w:t xml:space="preserve">The TurboRefi conversation follows a deterministic state machine. Each state collects specific data and evaluates LARS factors.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800"/>
        <w:gridCol w:w="1960"/>
      </w:tblGrid>
      <w:tr>
        <w:trPr>
          <w:tblHeader/>
        </w:trP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w:t>
            </w:r>
          </w:p>
        </w:tc>
        <w:tc>
          <w:tcPr>
            <w:tcW w:type="dxa" w:w="3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LARS Factors Evaluated</w:t>
            </w:r>
          </w:p>
        </w:tc>
        <w:tc>
          <w:tcPr>
            <w:tcW w:type="dxa" w:w="1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Next State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S0: INIT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Classify use case (UC1–6). Run OFAC screen.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B13 (OFAC)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S1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S1: IDENTITY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Collect ID. Verify name/DOB/SSN consistency.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B14 (identity mismatch)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S2: DOCS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Request documents per UC checklist. Run OCR on uploads.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B5 (missing docs), B7 (OCR confidence)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S3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S3: INCOME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Extract income from docs. Ask clarifying questions. For UC3/4/6: parse tax returns.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B4 (uncertainty), B6 (W2/paystub mismatch), UC-specific income factors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S4: CREDIT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Ask for FICO range.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B1 (below 620), B2 (borderline), B3 (unknown)</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S5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S5: PROPERTY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Collect address. Query 2–3 housing APIs. Calculate LTV 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B10 (LTV threshold), B11 (API divergence), B12 (condo)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S6: CALC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Calculate DTI. Run dual-GSE eligibility (or VA for UC5).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B15 (DTI &gt; 43%)</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5"/>
            </w:pPr>
            <w:r>
              <w:rPr>
                <w:rFonts w:ascii="Arial" w:cs="Arial" w:eastAsia="Arial" w:hAnsi="Arial"/>
                <w:sz w:val="18"/>
                <w:szCs w:val="18"/>
              </w:rPr>
              <w:t xml:space="preserve">S7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S7: DECISION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If LARS ≥ 70: present automated screening result. If LARS &lt; 70: generate handoff package and refer.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Final score check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END or HANDOFF</w:t>
            </w:r>
          </w:p>
        </w:tc>
      </w:tr>
    </w:tbl>
    <w:p>
      <w:pPr>
        <w:spacing w:after="80"/>
      </w:pPr>
    </w:p>
    <w:p>
      <w:pPr>
        <w:spacing w:after="100"/>
      </w:pPr>
      <w:r>
        <w:rPr>
          <w:rFonts w:ascii="Arial" w:cs="Arial" w:eastAsia="Arial" w:hAnsi="Arial"/>
          <w:b/>
          <w:bCs/>
          <w:sz w:val="21"/>
          <w:szCs w:val="21"/>
        </w:rPr>
        <w:t xml:space="preserve">Keep-collecting behavior: </w:t>
      </w:r>
      <w:r>
        <w:rPr>
          <w:rFonts w:ascii="Arial" w:cs="Arial" w:eastAsia="Arial" w:hAnsi="Arial"/>
          <w:sz w:val="21"/>
          <w:szCs w:val="21"/>
        </w:rPr>
        <w:t xml:space="preserve">When referral_triggered == true (LARS drops below 70 at any state), the system continues through ALL remaining states. It does not skip states or end early. The internal flag prevents the system from presenting a final automated screening result in S7 — instead, it generates the handoff package.</w:t>
      </w:r>
    </w:p>
    <w:p>
      <w:pPr>
        <w:spacing w:after="100"/>
      </w:pPr>
      <w:r>
        <w:rPr>
          <w:rFonts w:ascii="Arial" w:cs="Arial" w:eastAsia="Arial" w:hAnsi="Arial"/>
          <w:b/>
          <w:bCs/>
          <w:sz w:val="21"/>
          <w:szCs w:val="21"/>
        </w:rPr>
        <w:t xml:space="preserve">UC5 exception: </w:t>
      </w:r>
      <w:r>
        <w:rPr>
          <w:rFonts w:ascii="Arial" w:cs="Arial" w:eastAsia="Arial" w:hAnsi="Arial"/>
          <w:sz w:val="21"/>
          <w:szCs w:val="21"/>
        </w:rPr>
        <w:t xml:space="preserve">VA IRRRL skips states S2 (income docs), S3 (income extraction), S4 (credit). If the system enters these states for a UC5 loan, log it as factor U5.5 (system bug).</w:t>
      </w:r>
    </w:p>
    <w:p>
      <w:r>
        <w:br w:type="page"/>
      </w:r>
    </w:p>
    <w:p>
      <w:pPr>
        <w:pStyle w:val="Heading1"/>
      </w:pPr>
      <w:r>
        <w:t xml:space="preserve">5. Human Handoff Package — Data Schema</w:t>
      </w:r>
    </w:p>
    <w:p>
      <w:pPr>
        <w:spacing w:after="100"/>
      </w:pPr>
      <w:r>
        <w:rPr>
          <w:rFonts w:ascii="Arial" w:cs="Arial" w:eastAsia="Arial" w:hAnsi="Arial"/>
          <w:sz w:val="21"/>
          <w:szCs w:val="21"/>
        </w:rPr>
        <w:t xml:space="preserve">When LARS &lt; 70, the system generates a structured JSON package that is passed to the human agent’s interface. The human agent UI should render this as a pre-filled case file.</w:t>
      </w:r>
    </w:p>
    <w:p>
      <w:pPr>
        <w:spacing w:after="4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360"/>
      </w:tblGrid>
      <w:tr>
        <w:trPr>
          <w:tblHeader/>
        </w:trP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borrower_id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Tokenized ID (LOA) + full name (compliance stream, now visible to human)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use_case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enum UC1–UC6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Classified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lars_score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int 0–100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Final LARS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lars_events[]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array of factor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Every deduction event with code, deduction amount, data,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referral_reasons[]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array of strings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Plain-language description of each RED trigger (e.g., “W-2 missing for 2023”)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tcs_score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int 0–100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Compliance score (if TCS RED triggered override, flagged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collected_data{}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object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All data successfully collected, organized by category: identity, income, credit, property, 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collected_data.income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object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 source, gross_monthly, ytd, employer, tenure_months, variable_pct,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collected_data.property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object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 address, api_values[], value_range, ltv_range, property_type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collected_data.credit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object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 fico_range, fico_source: "borrower_reported"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collected_data.docs[]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array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List of uploaded documents with OCR extraction status and confidence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missing_data[]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array of strings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Specific data points the agent was unable to collect (e.g., “prior year W-2”, “rental PITIA”)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human_action_items[]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array of strings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Specific tasks for the human agent (e.g., “Verify 2-year bonus history with employer”, “Order formal appraisal”)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conversation_transcript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Full conversation log for audit purposes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gse_analysis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object or null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5"/>
            </w:pPr>
            <w:r>
              <w:rPr>
                <w:rFonts w:ascii="Arial" w:cs="Arial" w:eastAsia="Arial" w:hAnsi="Arial"/>
                <w:sz w:val="18"/>
                <w:szCs w:val="18"/>
              </w:rPr>
              <w:t xml:space="preserve">If the system got far enough to run GSE analysis, the partial results are included. Null if referral happened before S6.</w:t>
            </w:r>
          </w:p>
        </w:tc>
      </w:tr>
    </w:tbl>
    <w:p>
      <w:pPr>
        <w:spacing w:after="100"/>
      </w:pPr>
      <w:r>
        <w:rPr>
          <w:rFonts w:ascii="Arial" w:cs="Arial" w:eastAsia="Arial" w:hAnsi="Arial"/>
          <w:b/>
          <w:bCs/>
          <w:sz w:val="21"/>
          <w:szCs w:val="21"/>
        </w:rPr>
        <w:t xml:space="preserve">The human_action_items[] array: </w:t>
      </w:r>
      <w:r>
        <w:rPr>
          <w:rFonts w:ascii="Arial" w:cs="Arial" w:eastAsia="Arial" w:hAnsi="Arial"/>
          <w:sz w:val="21"/>
          <w:szCs w:val="21"/>
        </w:rPr>
        <w:t xml:space="preserve">This is generated from the LARS factor codes. Each factor code maps to a pre-defined set of human actions. See the Mortgage Expert’s Guide for the full mapping of referral reasons to human action items.</w:t>
      </w:r>
    </w:p>
    <w:sectPr>
      <w:headerReference w:type="default" r:id="rId7"/>
      <w:footerReference w:type="default" r:id="rId8"/>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5"/>
        <w:szCs w:val="15"/>
      </w:rPr>
      <w:t xml:space="preserve">Page </w:t>
    </w:r>
    <w:r>
      <w:rPr>
        <w:rFonts w:ascii="Arial" w:cs="Arial" w:eastAsia="Arial" w:hAnsi="Arial"/>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5"/>
        <w:szCs w:val="15"/>
      </w:rPr>
      <w:t xml:space="preserve">Engineer’s Technical Spec  |  Mortgage Foundry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6" w:space="4"/>
      </w:pBdr>
      <w:spacing w:after="160" w:before="300"/>
      <w:outlineLvl w:val="0"/>
    </w:pPr>
    <w:rPr>
      <w:rFonts w:ascii="Arial" w:cs="Arial" w:eastAsia="Arial" w:hAnsi="Arial"/>
      <w:b/>
      <w:bCs/>
      <w:color w:val="1B3A4B"/>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2026-04-05T01:43:05.451Z</dcterms:created>
  <dcterms:modified xsi:type="dcterms:W3CDTF">2026-04-05T01:43:05.452Z</dcterms:modified>
</cp:coreProperties>
</file>

<file path=docProps/custom.xml><?xml version="1.0" encoding="utf-8"?>
<Properties xmlns="http://schemas.openxmlformats.org/officeDocument/2006/custom-properties" xmlns:vt="http://schemas.openxmlformats.org/officeDocument/2006/docPropsVTypes"/>
</file>