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rFonts w:ascii="Times New Roman" w:cs="Times New Roman" w:eastAsia="Times New Roman" w:hAnsi="Times New Roman"/>
          <w:b/>
          <w:bCs/>
          <w:sz w:val="30"/>
          <w:szCs w:val="30"/>
        </w:rPr>
        <w:t xml:space="preserve">Lab Test Recommendation System:</w:t>
      </w:r>
    </w:p>
    <w:p>
      <w:pPr>
        <w:spacing w:after="360"/>
        <w:jc w:val="center"/>
      </w:pPr>
      <w:r>
        <w:rPr>
          <w:rFonts w:ascii="Times New Roman" w:cs="Times New Roman" w:eastAsia="Times New Roman" w:hAnsi="Times New Roman"/>
          <w:b/>
          <w:bCs/>
          <w:sz w:val="30"/>
          <w:szCs w:val="30"/>
        </w:rPr>
        <w:t xml:space="preserve">Predicting Diabetes-Range HbA1c from CBC and Demographics</w:t>
      </w:r>
    </w:p>
    <w:p>
      <w:pPr>
        <w:spacing w:after="500"/>
        <w:jc w:val="center"/>
      </w:pPr>
      <w:r>
        <w:rPr>
          <w:rFonts w:ascii="Times New Roman" w:cs="Times New Roman" w:eastAsia="Times New Roman" w:hAnsi="Times New Roman"/>
          <w:i/>
          <w:iCs/>
          <w:sz w:val="23"/>
          <w:szCs w:val="23"/>
        </w:rPr>
        <w:t xml:space="preserve">BMEN 600: Midterm Research Plan (DRAFT)</w:t>
      </w:r>
    </w:p>
    <w:p>
      <w:pPr>
        <w:spacing w:after="100"/>
        <w:jc w:val="center"/>
      </w:pPr>
      <w:r>
        <w:rPr>
          <w:rFonts w:ascii="Times New Roman" w:cs="Times New Roman" w:eastAsia="Times New Roman" w:hAnsi="Times New Roman"/>
          <w:b/>
          <w:bCs/>
          <w:sz w:val="23"/>
          <w:szCs w:val="23"/>
        </w:rPr>
        <w:t xml:space="preserve">Team Vortex 600</w:t>
      </w:r>
    </w:p>
    <w:p>
      <w:pPr>
        <w:spacing w:after="360"/>
        <w:jc w:val="center"/>
      </w:pPr>
      <w:r>
        <w:rPr>
          <w:rFonts w:ascii="Times New Roman" w:cs="Times New Roman" w:eastAsia="Times New Roman" w:hAnsi="Times New Roman"/>
          <w:sz w:val="21"/>
          <w:szCs w:val="21"/>
        </w:rPr>
        <w:t xml:space="preserve">Setayesh Afshar · Jacob Kraft · Emmanuella Osifo · Hamid Saeed · Ahenkan Yeboah</w:t>
      </w:r>
    </w:p>
    <w:p>
      <w:pPr>
        <w:spacing w:after="360"/>
        <w:jc w:val="center"/>
      </w:pPr>
      <w:r>
        <w:rPr>
          <w:rFonts w:ascii="Times New Roman" w:cs="Times New Roman" w:eastAsia="Times New Roman" w:hAnsi="Times New Roman"/>
          <w:sz w:val="21"/>
          <w:szCs w:val="21"/>
        </w:rPr>
        <w:t xml:space="preserve">Submitted: October 16, 2026</w:t>
      </w:r>
    </w:p>
    <w:p>
      <w:pPr>
        <w:spacing w:after="100"/>
        <w:jc w:val="center"/>
      </w:pPr>
      <w:hyperlink w:history="1" r:id="rId-mp2icwjvqprpznpfbwn-">
        <w:r>
          <w:rPr>
            <w:rStyle w:val="Hyperlink"/>
            <w:rFonts w:ascii="Times New Roman" w:cs="Times New Roman" w:eastAsia="Times New Roman" w:hAnsi="Times New Roman"/>
            <w:sz w:val="21"/>
            <w:szCs w:val="21"/>
          </w:rPr>
          <w:t xml:space="preserve">github.com/hamidsaeed13/VORTEX-BMEN-600-Project</w:t>
        </w:r>
      </w:hyperlink>
    </w:p>
    <w:p>
      <w:r>
        <w:br w:type="page"/>
      </w:r>
    </w:p>
    <w:p>
      <w:pPr>
        <w:pStyle w:val="Heading2"/>
        <w:spacing w:after="100" w:before="200"/>
      </w:pPr>
      <w:r>
        <w:rPr>
          <w:rFonts w:ascii="Times New Roman" w:cs="Times New Roman" w:eastAsia="Times New Roman" w:hAnsi="Times New Roman"/>
          <w:b/>
          <w:bCs/>
          <w:sz w:val="26"/>
          <w:szCs w:val="26"/>
        </w:rPr>
        <w:t xml:space="preserve">Section 1: Introduction and Motivation</w:t>
      </w:r>
    </w:p>
    <w:p>
      <w:pPr>
        <w:spacing w:after="140" w:line="268"/>
      </w:pPr>
      <w:r>
        <w:rPr>
          <w:rFonts w:ascii="Times New Roman" w:cs="Times New Roman" w:eastAsia="Times New Roman" w:hAnsi="Times New Roman"/>
          <w:sz w:val="22"/>
          <w:szCs w:val="22"/>
        </w:rPr>
        <w:t xml:space="preserve">Clinical labs often order several tests together as a bundle. For example, a Complete Blood Count (CBC) might come with blood group typing, hepatitis and HIV tests, and a glucose test, even when some of these tests are unlikely to change treatment. The CBC is a good example of this pattern: it was the single most common test ordered at four of five referral hospitals studied across five countries, and it appeared on every hospital's top-25 list [1]. Diabetes shows the stakes. About 589 million adults aged 20–79 live with diabetes worldwide, and 43% of cases are undiagnosed [2]. In the United States, 15.8% of adults had diabetes between August 2021 and August 2023; 11.3% were diagnosed and 4.5% were not [3], [4].</w:t>
      </w:r>
    </w:p>
    <w:p>
      <w:pPr>
        <w:spacing w:after="140" w:line="268"/>
      </w:pPr>
      <w:r>
        <w:rPr>
          <w:rFonts w:ascii="Times New Roman" w:cs="Times New Roman" w:eastAsia="Times New Roman" w:hAnsi="Times New Roman"/>
          <w:sz w:val="22"/>
          <w:szCs w:val="22"/>
        </w:rPr>
        <w:t xml:space="preserve">Our project asks whether this already-common CBC, combined with basic demographics, can flag which patients are likely to have a diabetes-range HbA1c result. If this signal exists, it could help prioritize who needs follow-up testing. It would not replace a clinician's judgment about who needs a glucose test.</w:t>
      </w:r>
    </w:p>
    <w:p>
      <w:pPr>
        <w:spacing w:after="140" w:line="268"/>
      </w:pPr>
      <w:r>
        <w:rPr>
          <w:rFonts w:ascii="Times New Roman" w:cs="Times New Roman" w:eastAsia="Times New Roman" w:hAnsi="Times New Roman"/>
          <w:i/>
          <w:iCs/>
          <w:sz w:val="22"/>
          <w:szCs w:val="22"/>
        </w:rPr>
        <w:t xml:space="preserve">Research question: using only CBC parameters and demographics, how well can we identify a diabetes-range HbA1c result? And does that signal come from genuinely new information, or mostly from flagging people who already know they have diabetes?</w:t>
      </w:r>
    </w:p>
    <w:p>
      <w:pPr>
        <w:spacing w:after="140" w:line="268"/>
      </w:pPr>
      <w:r>
        <w:rPr>
          <w:rFonts w:ascii="Times New Roman" w:cs="Times New Roman" w:eastAsia="Times New Roman" w:hAnsi="Times New Roman"/>
          <w:sz w:val="22"/>
          <w:szCs w:val="22"/>
        </w:rPr>
        <w:t xml:space="preserve">This term, we test this feasibility using the public NHANES dataset. We treat the CBC as already available and ask what it adds beyond demographics alone. We frame results around a trade-off between tests flagged and cases missed at different thresholds, not a claim that any one threshold is clinically safe.</w:t>
      </w:r>
    </w:p>
    <w:p>
      <w:pPr>
        <w:pStyle w:val="Heading2"/>
        <w:spacing w:after="100" w:before="200"/>
      </w:pPr>
      <w:r>
        <w:rPr>
          <w:rFonts w:ascii="Times New Roman" w:cs="Times New Roman" w:eastAsia="Times New Roman" w:hAnsi="Times New Roman"/>
          <w:b/>
          <w:bCs/>
          <w:sz w:val="26"/>
          <w:szCs w:val="26"/>
        </w:rPr>
        <w:t xml:space="preserve">Section 2: Background and Research Gap</w:t>
      </w:r>
    </w:p>
    <w:p>
      <w:pPr>
        <w:spacing w:after="140" w:line="268"/>
      </w:pPr>
      <w:r>
        <w:rPr>
          <w:rFonts w:ascii="Times New Roman" w:cs="Times New Roman" w:eastAsia="Times New Roman" w:hAnsi="Times New Roman"/>
          <w:sz w:val="22"/>
          <w:szCs w:val="22"/>
        </w:rPr>
        <w:t xml:space="preserve">Diabetes affects about 589 million adults aged 20–79 worldwide, and 43% of cases are undiagnosed [2]. US data from August 2021–August 2023 shows a similar pattern: 15.8% total prevalence, 11.3% diagnosed, 4.5% undiagnosed [3], [4]. This gap, plus how routinely a CBC is already drawn (it is the single most common test at four of five referral hospitals studied [1]), motivates looking for a CBC-based signal.</w:t>
      </w:r>
    </w:p>
    <w:p>
      <w:pPr>
        <w:spacing w:after="140" w:line="268"/>
      </w:pPr>
      <w:r>
        <w:rPr>
          <w:rFonts w:ascii="Times New Roman" w:cs="Times New Roman" w:eastAsia="Times New Roman" w:hAnsi="Times New Roman"/>
          <w:sz w:val="22"/>
          <w:szCs w:val="22"/>
        </w:rPr>
        <w:t xml:space="preserve">Several studies support this idea, each with real caveats. A 2026 study from Shenzhen University General Hospital trained several models (logistic regression, LightGBM, neural networks) on CBC features plus age, BMI, sex, and two inflammatory ratios (NLR, PLR), to flag a diabetes-risk label (HbA1c ≥5.7%, including prediabetes). The best model, LightGBM, reached AUROC 0.821 in development and 0.791 on a group tested a year later (n=70,725 / 26,650) [5]. A similar study in roughly 9,700 Iranian adults found a bootstrap-forest model worked best, with age and WBC the strongest predictors [6]. A related 2026 study, using RBC, WBC, RDW, and clinical predictors like BMI and metabolic syndrome, reported ROC-AUC 0.73 and, at a 0.20 threshold, 61.8% sensitivity, 70.7% specificity, and 88.9% NPV for new-onset diabetes [7]. This is a close precedent for the sensitivity/NPV trade-off in Section 5, though it predicts new disease in people without diabetes at baseline, a narrower population than ours.</w:t>
      </w:r>
    </w:p>
    <w:p>
      <w:pPr>
        <w:spacing w:after="140" w:line="268"/>
      </w:pPr>
      <w:r>
        <w:rPr>
          <w:rFonts w:ascii="Times New Roman" w:cs="Times New Roman" w:eastAsia="Times New Roman" w:hAnsi="Times New Roman"/>
          <w:sz w:val="22"/>
          <w:szCs w:val="22"/>
        </w:rPr>
        <w:t xml:space="preserve">Individual CBC values show mixed support. RDW is positively associated with HbA1c in healthy adults [8], and a separate cohort found the same positive HbA1c association. That cohort also found lower RDW, not higher, predicts incident diabetes [9]. A cohort of people already diagnosed with diabetes similarly found higher RDW linked to a lower risk of poor glycemic control (OR 0.3, 95% CI 0.2–0.7) [10]. So a higher RDW tracks with higher HbA1c at a point in time, but does not consistently predict worse outcomes going forward. White blood cell count predicts incident diabetes in a 10-year Korean cohort (HR 1.55, 95% CI 1.10–2.18, n=4,211) [11] and in a 20-study meta-analysis (RR 1.61, 95% CI 1.45–1.79), though the authors note publication bias likely inflates this [12]. One 866-person cohort found the same white-cell link disappear after full adjustment, while lymphocyte count alone stayed significant (OR 1.96, 95% CI 1.13–3.37) [13]. Neutrophil-to-lymphocyte ratio was higher in both prediabetes and diabetes in a separate study; platelet-to-lymphocyte ratio showed a more complex pattern [14].</w:t>
      </w:r>
    </w:p>
    <w:p>
      <w:pPr>
        <w:spacing w:after="140" w:line="268"/>
      </w:pPr>
      <w:r>
        <w:rPr>
          <w:rFonts w:ascii="Times New Roman" w:cs="Times New Roman" w:eastAsia="Times New Roman" w:hAnsi="Times New Roman"/>
          <w:sz w:val="22"/>
          <w:szCs w:val="22"/>
        </w:rPr>
        <w:t xml:space="preserve">Two studies set a non-lab baseline. A symptom-and-demographics model (no labs) reported 99.36% accuracy [15], high enough to warrant caution about evaluation artifacts. A closer match, using the same NHANES source we use, trained AutoML on demographic and behavioral features (no CBC) to flag undiagnosed diabetes, reaching AUROC 0.909 with 70.3% sensitivity and 92.6% NPV [16]. This is useful context, though it used an earlier NHANES cycle, adults with no prior diabetes, and a combined HbA1c/glucose/OGTT endpoint, so it is not a strict benchmark for our numbers.</w:t>
      </w:r>
    </w:p>
    <w:p>
      <w:pPr>
        <w:spacing w:after="140" w:line="268"/>
      </w:pPr>
      <w:r>
        <w:rPr>
          <w:rFonts w:ascii="Times New Roman" w:cs="Times New Roman" w:eastAsia="Times New Roman" w:hAnsi="Times New Roman"/>
          <w:sz w:val="22"/>
          <w:szCs w:val="22"/>
        </w:rPr>
        <w:t xml:space="preserve">One complication: anemia can distort HbA1c readings on its own, regardless of true glycemic status [17], so an apparent CBC–HbA1c link could partly reflect this artifact. Reflex testing, where one cheap test decides whether a costlier second test is needed, shows feasibility promise, though our evidence here is a preprint about a different test (ferritin) and a risk-score study, neither establishing that deferring a test is clinically safe [18], [19].</w:t>
      </w:r>
    </w:p>
    <w:p>
      <w:pPr>
        <w:spacing w:after="140" w:line="268"/>
      </w:pPr>
      <w:r>
        <w:rPr>
          <w:rFonts w:ascii="Times New Roman" w:cs="Times New Roman" w:eastAsia="Times New Roman" w:hAnsi="Times New Roman"/>
          <w:sz w:val="22"/>
          <w:szCs w:val="22"/>
        </w:rPr>
        <w:t xml:space="preserve">Our project is narrower than any study above: using CBC plus demographics on the public NHANES cohort, we estimate the added value of CBC over demographics alone and the sensitivity/NPV trade-off at several thresholds, extending the reflex-testing idea in [18] with the CBC signal in [5]–[14], without claiming this is validated enough to guide real deferral decisions.</w:t>
      </w:r>
    </w:p>
    <w:p>
      <w:pPr>
        <w:pStyle w:val="Heading2"/>
        <w:spacing w:after="100" w:before="200"/>
      </w:pPr>
      <w:r>
        <w:rPr>
          <w:rFonts w:ascii="Times New Roman" w:cs="Times New Roman" w:eastAsia="Times New Roman" w:hAnsi="Times New Roman"/>
          <w:b/>
          <w:bCs/>
          <w:sz w:val="26"/>
          <w:szCs w:val="26"/>
        </w:rPr>
        <w:t xml:space="preserve">Section 3: Dataset and Responsible Use</w:t>
      </w:r>
    </w:p>
    <w:p>
      <w:pPr>
        <w:spacing w:after="140" w:line="268"/>
      </w:pPr>
      <w:r>
        <w:rPr>
          <w:rFonts w:ascii="Times New Roman" w:cs="Times New Roman" w:eastAsia="Times New Roman" w:hAnsi="Times New Roman"/>
          <w:sz w:val="22"/>
          <w:szCs w:val="22"/>
        </w:rPr>
        <w:t xml:space="preserve">Dataset identity and access. We use NHANES 2021–2023, a multistage, stratified, cross-sectional survey of the noninstitutionalized US population, run by NCHS/CDC [20]. It combines household interviews with a physical exam and blood draw. We downloaded all data from the public NHANES portal (wwwn.cdc.gov/nchs/nhanes); the files are de-identified and public, with no data use agreement needed.</w:t>
      </w:r>
    </w:p>
    <w:p>
      <w:pPr>
        <w:spacing w:after="140" w:line="268"/>
      </w:pPr>
      <w:r>
        <w:rPr>
          <w:rFonts w:ascii="Times New Roman" w:cs="Times New Roman" w:eastAsia="Times New Roman" w:hAnsi="Times New Roman"/>
          <w:sz w:val="22"/>
          <w:szCs w:val="22"/>
        </w:rPr>
        <w:t xml:space="preserve">As a Methods section would describe it: the demographics file (DEMO_L) has 11,933 interviewed participants: 8,860 who completed the full exam and 3,073 who were interviewed only. We join five components by the shared participant ID, SEQN, where one record is one participant: Demographics, CBC, Fasting Plasma Glucose (a random morning subsample only), HbA1c (the examined sample), and the Diabetes questionnaire. CBC eligibility starts at age 1; HbA1c and fasting glucose start at age 12, so not every examined participant has every measurement. How many participants have each component varies a lot (Table 1). This reflects NHANES' sampling design and test eligibility, not a single simple cause.</w:t>
      </w:r>
    </w:p>
    <w:p>
      <w:pPr>
        <w:spacing w:after="140" w:line="268"/>
      </w:pPr>
      <w:r>
        <w:rPr>
          <w:rFonts w:ascii="Times New Roman" w:cs="Times New Roman" w:eastAsia="Times New Roman" w:hAnsi="Times New Roman"/>
          <w:sz w:val="22"/>
          <w:szCs w:val="22"/>
        </w:rPr>
        <w:t xml:space="preserve">Responsible use. NHANES data is public and de-identified, meant for research like ours; the public-use files need no separate data use agreement beyond our institution's standard research requirements. NHANES already masks identifying details like exact age or location. We will not try to re-identify anyone or link records to outside data, and we will only use the public files; NHANES' restricted files (e.g., mortality linkage) are out of scope.</w:t>
      </w:r>
    </w:p>
    <w:p>
      <w:pPr>
        <w:spacing w:after="140" w:line="268"/>
      </w:pPr>
      <w:r>
        <w:rPr>
          <w:rFonts w:ascii="Times New Roman" w:cs="Times New Roman" w:eastAsia="Times New Roman" w:hAnsi="Times New Roman"/>
          <w:sz w:val="22"/>
          <w:szCs w:val="22"/>
        </w:rPr>
        <w:t xml:space="preserve">Known limitations. We have not yet applied NHANES survey weights: CBC/HbA1c analyses need WTPH2YR, fasting-glucose analyses need WTSAF2YR with proper eligibility, and SDMVSTRA/SDMVPSU are needed for the design. Some glucose results carry a zero fasting weight, meaning the participant was not eligible for the fasting-glucose analysis even though a result exists, and we have not yet separated these from the eligible analytic sample (Table 1 note). Self-reported diagnosis undercounts undiagnosed diabetes by definition.</w:t>
      </w:r>
    </w:p>
    <w:p>
      <w:pPr>
        <w:pStyle w:val="Heading2"/>
        <w:spacing w:after="100" w:before="200"/>
      </w:pPr>
      <w:r>
        <w:rPr>
          <w:rFonts w:ascii="Times New Roman" w:cs="Times New Roman" w:eastAsia="Times New Roman" w:hAnsi="Times New Roman"/>
          <w:b/>
          <w:bCs/>
          <w:sz w:val="26"/>
          <w:szCs w:val="26"/>
        </w:rPr>
        <w:t xml:space="preserve">Section 4: Proposed Methods and Evaluation</w:t>
      </w:r>
    </w:p>
    <w:p>
      <w:pPr>
        <w:spacing w:after="140" w:line="268"/>
      </w:pPr>
      <w:r>
        <w:rPr>
          <w:rFonts w:ascii="Times New Roman" w:cs="Times New Roman" w:eastAsia="Times New Roman" w:hAnsi="Times New Roman"/>
          <w:sz w:val="22"/>
          <w:szCs w:val="22"/>
        </w:rPr>
        <w:t xml:space="preserve">Variables and groups. Predictors are CBC values (WBC and its breakdown, RBC, hemoglobin, hematocrit, MCV, RDW, platelet count) plus demographics (age, sex, race/ethnicity, education, income-to-poverty ratio). Our primary outcome is a diabetes-range HbA1c result (≥6.5%); we report eligible fasting glucose (≥126 mg/dL) as a secondary check, since red-cell effects can bias HbA1c independent of true glycemic status [17]. Self-reported diagnosis will define eligibility and stratify results, not serve as an interchangeable third outcome: in our data, 78.8% of participants with a diabetes-range HbA1c already report a prior diagnosis, so a model built on this label currently distinguishes known from unknown cases more than it screens for new ones. We will finalize the intended population (e.g., adults only, no prior diagnosis) before the final report; the current exploratory model includes participants as young as 12 and both diagnosed and undiagnosed cases.</w:t>
      </w:r>
    </w:p>
    <w:p>
      <w:pPr>
        <w:spacing w:after="140" w:line="268"/>
      </w:pPr>
      <w:r>
        <w:rPr>
          <w:rFonts w:ascii="Times New Roman" w:cs="Times New Roman" w:eastAsia="Times New Roman" w:hAnsi="Times New Roman"/>
          <w:sz w:val="22"/>
          <w:szCs w:val="22"/>
        </w:rPr>
        <w:t xml:space="preserve">Cleaning and preprocessing. We merge the five files by SEQN, starting from demographics and left-joining CBC, fasting glucose, HbA1c, and the questionnaire. Fasting glucose's subsample design makes missingness there structural, not an error. Each participant appears once. Race/ethnicity and education are currently passed to the models as raw numeric codes, which imposes an artificial ordering; we will fix this with proper categorical encoding, fit within each training fold, before the final report.</w:t>
      </w:r>
    </w:p>
    <w:p>
      <w:pPr>
        <w:spacing w:after="140" w:line="268"/>
      </w:pPr>
      <w:r>
        <w:rPr>
          <w:rFonts w:ascii="Times New Roman" w:cs="Times New Roman" w:eastAsia="Times New Roman" w:hAnsi="Times New Roman"/>
          <w:sz w:val="22"/>
          <w:szCs w:val="22"/>
        </w:rPr>
        <w:t xml:space="preserve">Modeling and tools. We use Python (pandas, scikit-learn), comparing logistic regression, random forest, and gradient boosting, the same families used in [5]. A first working version runs end-to-end in code/01_eda_cbc_glucose_demographics.ipynb and code/02_baseline_model_and_figures.ipynb (Section 5), run from inside the code/ directory, reproducible from the repository alone.</w:t>
      </w:r>
    </w:p>
    <w:p>
      <w:pPr>
        <w:spacing w:after="140" w:line="268"/>
      </w:pPr>
      <w:r>
        <w:rPr>
          <w:rFonts w:ascii="Times New Roman" w:cs="Times New Roman" w:eastAsia="Times New Roman" w:hAnsi="Times New Roman"/>
          <w:sz w:val="22"/>
          <w:szCs w:val="22"/>
        </w:rPr>
        <w:t xml:space="preserve">Evaluation. We judge models by sensitivity and NPV at several thresholds rather than a single accuracy or AUROC number, since missing a diagnosis matters more than an unnecessary test, similar in spirit to the operating-point approach in [7] and [16]. A first version is already in Section 5. We will report tests flagged and deferred together with the positive cases each threshold misses, rather than quoting NPV alone: a high NPV with low sensitivity mainly reflects how few participants are positive, not a safe deferral policy. Next, we will add stratified k-fold cross-validation with the pipeline refit per fold, design-aware confidence intervals, calibration checks, and a comparison against a simple age-only rule, before treating any threshold as a real recommendation. We will also compare the reduction in unnecessary glucose orders against an order-for-everyone baseline, following the reflex-testing framing in [18], while being clear this does not yet establish real-world cost or safety.</w:t>
      </w:r>
    </w:p>
    <w:p>
      <w:pPr>
        <w:pStyle w:val="Heading2"/>
        <w:spacing w:after="100" w:before="200"/>
      </w:pPr>
      <w:r>
        <w:rPr>
          <w:rFonts w:ascii="Times New Roman" w:cs="Times New Roman" w:eastAsia="Times New Roman" w:hAnsi="Times New Roman"/>
          <w:b/>
          <w:bCs/>
          <w:sz w:val="26"/>
          <w:szCs w:val="26"/>
        </w:rPr>
        <w:t xml:space="preserve">Section 5: Preliminary Results</w:t>
      </w:r>
    </w:p>
    <w:p>
      <w:pPr>
        <w:spacing w:after="140" w:line="268"/>
      </w:pPr>
      <w:r>
        <w:rPr>
          <w:rFonts w:ascii="Times New Roman" w:cs="Times New Roman" w:eastAsia="Times New Roman" w:hAnsi="Times New Roman"/>
          <w:sz w:val="22"/>
          <w:szCs w:val="22"/>
        </w:rPr>
        <w:t xml:space="preserve">Table 1 shows how many participants have each measurement in our merged NHANES 2021–2023 file (11,933 total). These are raw measurement counts, not yet restricted to each analysis's proper eligibility. For example, 311 of the 3,672 measured glucose results carry a zero fasting-sample weight and are not eligible for the fasting-glucose analysis, leaving about 3,361 eligible.</w:t>
      </w:r>
    </w:p>
    <w:p>
      <w:pPr>
        <w:spacing w:after="90" w:line="268"/>
      </w:pPr>
      <w:r>
        <w:rPr>
          <w:rFonts w:ascii="Times New Roman" w:cs="Times New Roman" w:eastAsia="Times New Roman" w:hAnsi="Times New Roman"/>
          <w:b/>
          <w:bCs/>
          <w:sz w:val="22"/>
          <w:szCs w:val="22"/>
        </w:rPr>
        <w:t xml:space="preserve">Table 1. Measurement availability in the merged file.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2600"/>
        <w:gridCol w:w="2600"/>
      </w:tblGrid>
      <w:tr>
        <w:trPr>
          <w:tblHeader/>
        </w:trPr>
        <w:tc>
          <w:tcPr>
            <w:tcW w:type="dxa" w:w="3200"/>
            <w:shd w:fill="D9D9D9" w:color="auto" w:val="clear"/>
            <w:tcMar>
              <w:top w:type="dxa" w:w="50"/>
              <w:left w:type="dxa" w:w="90"/>
              <w:bottom w:type="dxa" w:w="50"/>
              <w:right w:type="dxa" w:w="90"/>
            </w:tcMar>
          </w:tcPr>
          <w:p>
            <w:r>
              <w:rPr>
                <w:rFonts w:ascii="Times New Roman" w:cs="Times New Roman" w:eastAsia="Times New Roman" w:hAnsi="Times New Roman"/>
                <w:b/>
                <w:bCs/>
                <w:sz w:val="19"/>
                <w:szCs w:val="19"/>
              </w:rPr>
              <w:t xml:space="preserve">Measurement</w:t>
            </w:r>
          </w:p>
        </w:tc>
        <w:tc>
          <w:tcPr>
            <w:tcW w:type="dxa" w:w="1800"/>
            <w:shd w:fill="D9D9D9" w:color="auto" w:val="clear"/>
            <w:tcMar>
              <w:top w:type="dxa" w:w="50"/>
              <w:left w:type="dxa" w:w="90"/>
              <w:bottom w:type="dxa" w:w="50"/>
              <w:right w:type="dxa" w:w="90"/>
            </w:tcMar>
          </w:tcPr>
          <w:p>
            <w:r>
              <w:rPr>
                <w:rFonts w:ascii="Times New Roman" w:cs="Times New Roman" w:eastAsia="Times New Roman" w:hAnsi="Times New Roman"/>
                <w:b/>
                <w:bCs/>
                <w:sz w:val="19"/>
                <w:szCs w:val="19"/>
              </w:rPr>
              <w:t xml:space="preserve">n measured</w:t>
            </w:r>
          </w:p>
        </w:tc>
        <w:tc>
          <w:tcPr>
            <w:tcW w:type="dxa" w:w="2600"/>
            <w:shd w:fill="D9D9D9" w:color="auto" w:val="clear"/>
            <w:tcMar>
              <w:top w:type="dxa" w:w="50"/>
              <w:left w:type="dxa" w:w="90"/>
              <w:bottom w:type="dxa" w:w="50"/>
              <w:right w:type="dxa" w:w="90"/>
            </w:tcMar>
          </w:tcPr>
          <w:p>
            <w:r>
              <w:rPr>
                <w:rFonts w:ascii="Times New Roman" w:cs="Times New Roman" w:eastAsia="Times New Roman" w:hAnsi="Times New Roman"/>
                <w:b/>
                <w:bCs/>
                <w:sz w:val="19"/>
                <w:szCs w:val="19"/>
              </w:rPr>
              <w:t xml:space="preserve">% of merged file</w:t>
            </w:r>
          </w:p>
        </w:tc>
        <w:tc>
          <w:tcPr>
            <w:tcW w:type="dxa" w:w="2600"/>
            <w:shd w:fill="D9D9D9" w:color="auto" w:val="clear"/>
            <w:tcMar>
              <w:top w:type="dxa" w:w="50"/>
              <w:left w:type="dxa" w:w="90"/>
              <w:bottom w:type="dxa" w:w="50"/>
              <w:right w:type="dxa" w:w="90"/>
            </w:tcMar>
          </w:tcPr>
          <w:p>
            <w:r>
              <w:rPr>
                <w:rFonts w:ascii="Times New Roman" w:cs="Times New Roman" w:eastAsia="Times New Roman" w:hAnsi="Times New Roman"/>
                <w:b/>
                <w:bCs/>
                <w:sz w:val="19"/>
                <w:szCs w:val="19"/>
              </w:rPr>
              <w:t xml:space="preserve">n with CBC too</w:t>
            </w:r>
          </w:p>
        </w:tc>
      </w:tr>
      <w:tr>
        <w:tc>
          <w:tcPr>
            <w:tcW w:type="dxa" w:w="3200"/>
            <w:tcMar>
              <w:top w:type="dxa" w:w="50"/>
              <w:left w:type="dxa" w:w="90"/>
              <w:bottom w:type="dxa" w:w="50"/>
              <w:right w:type="dxa" w:w="90"/>
            </w:tcMar>
          </w:tcPr>
          <w:p>
            <w:r>
              <w:rPr>
                <w:rFonts w:ascii="Times New Roman" w:cs="Times New Roman" w:eastAsia="Times New Roman" w:hAnsi="Times New Roman"/>
                <w:sz w:val="19"/>
                <w:szCs w:val="19"/>
              </w:rPr>
              <w:t xml:space="preserve">CBC panel</w:t>
            </w:r>
          </w:p>
        </w:tc>
        <w:tc>
          <w:tcPr>
            <w:tcW w:type="dxa" w:w="1800"/>
            <w:tcMar>
              <w:top w:type="dxa" w:w="50"/>
              <w:left w:type="dxa" w:w="90"/>
              <w:bottom w:type="dxa" w:w="50"/>
              <w:right w:type="dxa" w:w="90"/>
            </w:tcMar>
          </w:tcPr>
          <w:p>
            <w:r>
              <w:rPr>
                <w:rFonts w:ascii="Times New Roman" w:cs="Times New Roman" w:eastAsia="Times New Roman" w:hAnsi="Times New Roman"/>
                <w:sz w:val="19"/>
                <w:szCs w:val="19"/>
              </w:rPr>
              <w:t xml:space="preserve">7,593</w:t>
            </w:r>
          </w:p>
        </w:tc>
        <w:tc>
          <w:tcPr>
            <w:tcW w:type="dxa" w:w="2600"/>
            <w:tcMar>
              <w:top w:type="dxa" w:w="50"/>
              <w:left w:type="dxa" w:w="90"/>
              <w:bottom w:type="dxa" w:w="50"/>
              <w:right w:type="dxa" w:w="90"/>
            </w:tcMar>
          </w:tcPr>
          <w:p>
            <w:r>
              <w:rPr>
                <w:rFonts w:ascii="Times New Roman" w:cs="Times New Roman" w:eastAsia="Times New Roman" w:hAnsi="Times New Roman"/>
                <w:sz w:val="19"/>
                <w:szCs w:val="19"/>
              </w:rPr>
              <w:t xml:space="preserve">63.6%</w:t>
            </w:r>
          </w:p>
        </w:tc>
        <w:tc>
          <w:tcPr>
            <w:tcW w:type="dxa" w:w="2600"/>
            <w:tcMar>
              <w:top w:type="dxa" w:w="50"/>
              <w:left w:type="dxa" w:w="90"/>
              <w:bottom w:type="dxa" w:w="50"/>
              <w:right w:type="dxa" w:w="90"/>
            </w:tcMar>
          </w:tcPr>
          <w:p>
            <w:r>
              <w:rPr>
                <w:rFonts w:ascii="Times New Roman" w:cs="Times New Roman" w:eastAsia="Times New Roman" w:hAnsi="Times New Roman"/>
                <w:sz w:val="19"/>
                <w:szCs w:val="19"/>
              </w:rPr>
              <w:t xml:space="preserve">N/A</w:t>
            </w:r>
          </w:p>
        </w:tc>
      </w:tr>
      <w:tr>
        <w:tc>
          <w:tcPr>
            <w:tcW w:type="dxa" w:w="3200"/>
            <w:tcMar>
              <w:top w:type="dxa" w:w="50"/>
              <w:left w:type="dxa" w:w="90"/>
              <w:bottom w:type="dxa" w:w="50"/>
              <w:right w:type="dxa" w:w="90"/>
            </w:tcMar>
          </w:tcPr>
          <w:p>
            <w:r>
              <w:rPr>
                <w:rFonts w:ascii="Times New Roman" w:cs="Times New Roman" w:eastAsia="Times New Roman" w:hAnsi="Times New Roman"/>
                <w:sz w:val="19"/>
                <w:szCs w:val="19"/>
              </w:rPr>
              <w:t xml:space="preserve">Fasting glucose</w:t>
            </w:r>
          </w:p>
        </w:tc>
        <w:tc>
          <w:tcPr>
            <w:tcW w:type="dxa" w:w="1800"/>
            <w:tcMar>
              <w:top w:type="dxa" w:w="50"/>
              <w:left w:type="dxa" w:w="90"/>
              <w:bottom w:type="dxa" w:w="50"/>
              <w:right w:type="dxa" w:w="90"/>
            </w:tcMar>
          </w:tcPr>
          <w:p>
            <w:r>
              <w:rPr>
                <w:rFonts w:ascii="Times New Roman" w:cs="Times New Roman" w:eastAsia="Times New Roman" w:hAnsi="Times New Roman"/>
                <w:sz w:val="19"/>
                <w:szCs w:val="19"/>
              </w:rPr>
              <w:t xml:space="preserve">3,672</w:t>
            </w:r>
          </w:p>
        </w:tc>
        <w:tc>
          <w:tcPr>
            <w:tcW w:type="dxa" w:w="2600"/>
            <w:tcMar>
              <w:top w:type="dxa" w:w="50"/>
              <w:left w:type="dxa" w:w="90"/>
              <w:bottom w:type="dxa" w:w="50"/>
              <w:right w:type="dxa" w:w="90"/>
            </w:tcMar>
          </w:tcPr>
          <w:p>
            <w:r>
              <w:rPr>
                <w:rFonts w:ascii="Times New Roman" w:cs="Times New Roman" w:eastAsia="Times New Roman" w:hAnsi="Times New Roman"/>
                <w:sz w:val="19"/>
                <w:szCs w:val="19"/>
              </w:rPr>
              <w:t xml:space="preserve">30.8%</w:t>
            </w:r>
          </w:p>
        </w:tc>
        <w:tc>
          <w:tcPr>
            <w:tcW w:type="dxa" w:w="2600"/>
            <w:tcMar>
              <w:top w:type="dxa" w:w="50"/>
              <w:left w:type="dxa" w:w="90"/>
              <w:bottom w:type="dxa" w:w="50"/>
              <w:right w:type="dxa" w:w="90"/>
            </w:tcMar>
          </w:tcPr>
          <w:p>
            <w:r>
              <w:rPr>
                <w:rFonts w:ascii="Times New Roman" w:cs="Times New Roman" w:eastAsia="Times New Roman" w:hAnsi="Times New Roman"/>
                <w:sz w:val="19"/>
                <w:szCs w:val="19"/>
              </w:rPr>
              <w:t xml:space="preserve">3,657</w:t>
            </w:r>
          </w:p>
        </w:tc>
      </w:tr>
      <w:tr>
        <w:tc>
          <w:tcPr>
            <w:tcW w:type="dxa" w:w="3200"/>
            <w:tcMar>
              <w:top w:type="dxa" w:w="50"/>
              <w:left w:type="dxa" w:w="90"/>
              <w:bottom w:type="dxa" w:w="50"/>
              <w:right w:type="dxa" w:w="90"/>
            </w:tcMar>
          </w:tcPr>
          <w:p>
            <w:r>
              <w:rPr>
                <w:rFonts w:ascii="Times New Roman" w:cs="Times New Roman" w:eastAsia="Times New Roman" w:hAnsi="Times New Roman"/>
                <w:sz w:val="19"/>
                <w:szCs w:val="19"/>
              </w:rPr>
              <w:t xml:space="preserve">HbA1c</w:t>
            </w:r>
          </w:p>
        </w:tc>
        <w:tc>
          <w:tcPr>
            <w:tcW w:type="dxa" w:w="1800"/>
            <w:tcMar>
              <w:top w:type="dxa" w:w="50"/>
              <w:left w:type="dxa" w:w="90"/>
              <w:bottom w:type="dxa" w:w="50"/>
              <w:right w:type="dxa" w:w="90"/>
            </w:tcMar>
          </w:tcPr>
          <w:p>
            <w:r>
              <w:rPr>
                <w:rFonts w:ascii="Times New Roman" w:cs="Times New Roman" w:eastAsia="Times New Roman" w:hAnsi="Times New Roman"/>
                <w:sz w:val="19"/>
                <w:szCs w:val="19"/>
              </w:rPr>
              <w:t xml:space="preserve">6,715</w:t>
            </w:r>
          </w:p>
        </w:tc>
        <w:tc>
          <w:tcPr>
            <w:tcW w:type="dxa" w:w="2600"/>
            <w:tcMar>
              <w:top w:type="dxa" w:w="50"/>
              <w:left w:type="dxa" w:w="90"/>
              <w:bottom w:type="dxa" w:w="50"/>
              <w:right w:type="dxa" w:w="90"/>
            </w:tcMar>
          </w:tcPr>
          <w:p>
            <w:r>
              <w:rPr>
                <w:rFonts w:ascii="Times New Roman" w:cs="Times New Roman" w:eastAsia="Times New Roman" w:hAnsi="Times New Roman"/>
                <w:sz w:val="19"/>
                <w:szCs w:val="19"/>
              </w:rPr>
              <w:t xml:space="preserve">56.3%</w:t>
            </w:r>
          </w:p>
        </w:tc>
        <w:tc>
          <w:tcPr>
            <w:tcW w:type="dxa" w:w="2600"/>
            <w:tcMar>
              <w:top w:type="dxa" w:w="50"/>
              <w:left w:type="dxa" w:w="90"/>
              <w:bottom w:type="dxa" w:w="50"/>
              <w:right w:type="dxa" w:w="90"/>
            </w:tcMar>
          </w:tcPr>
          <w:p>
            <w:r>
              <w:rPr>
                <w:rFonts w:ascii="Times New Roman" w:cs="Times New Roman" w:eastAsia="Times New Roman" w:hAnsi="Times New Roman"/>
                <w:sz w:val="19"/>
                <w:szCs w:val="19"/>
              </w:rPr>
              <w:t xml:space="preserve">6,689</w:t>
            </w:r>
          </w:p>
        </w:tc>
      </w:tr>
      <w:tr>
        <w:tc>
          <w:tcPr>
            <w:tcW w:type="dxa" w:w="3200"/>
            <w:tcMar>
              <w:top w:type="dxa" w:w="50"/>
              <w:left w:type="dxa" w:w="90"/>
              <w:bottom w:type="dxa" w:w="50"/>
              <w:right w:type="dxa" w:w="90"/>
            </w:tcMar>
          </w:tcPr>
          <w:p>
            <w:r>
              <w:rPr>
                <w:rFonts w:ascii="Times New Roman" w:cs="Times New Roman" w:eastAsia="Times New Roman" w:hAnsi="Times New Roman"/>
                <w:sz w:val="19"/>
                <w:szCs w:val="19"/>
              </w:rPr>
              <w:t xml:space="preserve">Self-reported diabetes</w:t>
            </w:r>
          </w:p>
        </w:tc>
        <w:tc>
          <w:tcPr>
            <w:tcW w:type="dxa" w:w="1800"/>
            <w:tcMar>
              <w:top w:type="dxa" w:w="50"/>
              <w:left w:type="dxa" w:w="90"/>
              <w:bottom w:type="dxa" w:w="50"/>
              <w:right w:type="dxa" w:w="90"/>
            </w:tcMar>
          </w:tcPr>
          <w:p>
            <w:r>
              <w:rPr>
                <w:rFonts w:ascii="Times New Roman" w:cs="Times New Roman" w:eastAsia="Times New Roman" w:hAnsi="Times New Roman"/>
                <w:sz w:val="19"/>
                <w:szCs w:val="19"/>
              </w:rPr>
              <w:t xml:space="preserve">11,736</w:t>
            </w:r>
          </w:p>
        </w:tc>
        <w:tc>
          <w:tcPr>
            <w:tcW w:type="dxa" w:w="2600"/>
            <w:tcMar>
              <w:top w:type="dxa" w:w="50"/>
              <w:left w:type="dxa" w:w="90"/>
              <w:bottom w:type="dxa" w:w="50"/>
              <w:right w:type="dxa" w:w="90"/>
            </w:tcMar>
          </w:tcPr>
          <w:p>
            <w:r>
              <w:rPr>
                <w:rFonts w:ascii="Times New Roman" w:cs="Times New Roman" w:eastAsia="Times New Roman" w:hAnsi="Times New Roman"/>
                <w:sz w:val="19"/>
                <w:szCs w:val="19"/>
              </w:rPr>
              <w:t xml:space="preserve">98.3%</w:t>
            </w:r>
          </w:p>
        </w:tc>
        <w:tc>
          <w:tcPr>
            <w:tcW w:type="dxa" w:w="2600"/>
            <w:tcMar>
              <w:top w:type="dxa" w:w="50"/>
              <w:left w:type="dxa" w:w="90"/>
              <w:bottom w:type="dxa" w:w="50"/>
              <w:right w:type="dxa" w:w="90"/>
            </w:tcMar>
          </w:tcPr>
          <w:p>
            <w:r>
              <w:rPr>
                <w:rFonts w:ascii="Times New Roman" w:cs="Times New Roman" w:eastAsia="Times New Roman" w:hAnsi="Times New Roman"/>
                <w:sz w:val="19"/>
                <w:szCs w:val="19"/>
              </w:rPr>
              <w:t xml:space="preserve">7,592</w:t>
            </w:r>
          </w:p>
        </w:tc>
      </w:tr>
    </w:tbl>
    <w:p>
      <w:pPr>
        <w:spacing w:after="140" w:line="268"/>
      </w:pPr>
      <w:r>
        <w:rPr>
          <w:rFonts w:ascii="Times New Roman" w:cs="Times New Roman" w:eastAsia="Times New Roman" w:hAnsi="Times New Roman"/>
          <w:sz w:val="22"/>
          <w:szCs w:val="22"/>
        </w:rPr>
        <w:t xml:space="preserve"/>
      </w:r>
    </w:p>
    <w:p>
      <w:pPr>
        <w:spacing w:after="140" w:line="268"/>
      </w:pPr>
      <w:r>
        <w:rPr>
          <w:rFonts w:ascii="Times New Roman" w:cs="Times New Roman" w:eastAsia="Times New Roman" w:hAnsi="Times New Roman"/>
          <w:sz w:val="22"/>
          <w:szCs w:val="22"/>
        </w:rPr>
        <w:t xml:space="preserve">Two CBC values move the way Section 2 predicts: WBC and RDW both trend upward from normal to diabetes-range HbA1c status, though the difference is modest next to the spread within each group (full charts in notebook 01).</w:t>
      </w:r>
    </w:p>
    <w:p>
      <w:pPr>
        <w:spacing w:after="140" w:line="268"/>
      </w:pPr>
      <w:r>
        <w:rPr>
          <w:rFonts w:ascii="Times New Roman" w:cs="Times New Roman" w:eastAsia="Times New Roman" w:hAnsi="Times New Roman"/>
          <w:sz w:val="22"/>
          <w:szCs w:val="22"/>
        </w:rPr>
        <w:t xml:space="preserve">We fit three models on the subset with a complete CBC panel and HbA1c (n=6,678; 717, or 10.7%, meet our HbA1c ≥6.5% label, of whom 565, or 78.8%, already report a prior diabetes diagnosis, so this model currently detects elevated HbA1c in a mixed diagnosed/undiagnosed group rather than screening for new cases). On a 75/25 split (5,008/1,670), test AUROC rose from 0.743 (demographics only) to 0.783 (logistic, with CBC) to 0.811 (random forest, with CBC). Figure 1 shows this as early evidence that CBC adds value beyond demographics in our own data.</w:t>
      </w:r>
    </w:p>
    <w:p>
      <w:pPr>
        <w:spacing w:after="50" w:before="100"/>
        <w:jc w:val="center"/>
      </w:pPr>
      <w:r>
        <w:drawing>
          <wp:inline distT="0" distB="0" distL="0" distR="0">
            <wp:extent cx="3810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3810000"/>
                    </a:xfrm>
                    <a:prstGeom prst="rect">
                      <a:avLst/>
                    </a:prstGeom>
                  </pic:spPr>
                </pic:pic>
              </a:graphicData>
            </a:graphic>
          </wp:inline>
        </w:drawing>
      </w:r>
    </w:p>
    <w:p>
      <w:pPr>
        <w:spacing w:after="160" w:line="268"/>
        <w:jc w:val="center"/>
      </w:pPr>
      <w:r>
        <w:rPr>
          <w:rFonts w:ascii="Times New Roman" w:cs="Times New Roman" w:eastAsia="Times New Roman" w:hAnsi="Times New Roman"/>
          <w:i/>
          <w:iCs/>
          <w:sz w:val="19"/>
          <w:szCs w:val="19"/>
        </w:rPr>
        <w:t xml:space="preserve">Figure 1. ROC curves on held-out test data: demographics only vs. two CBC+demographics models, predicting diabetes-range HbA1c.</w:t>
      </w:r>
    </w:p>
    <w:p>
      <w:pPr>
        <w:spacing w:after="140" w:line="268"/>
      </w:pPr>
      <w:r>
        <w:rPr>
          <w:rFonts w:ascii="Times New Roman" w:cs="Times New Roman" w:eastAsia="Times New Roman" w:hAnsi="Times New Roman"/>
          <w:sz w:val="22"/>
          <w:szCs w:val="22"/>
        </w:rPr>
        <w:t xml:space="preserve">The threshold matters more than any single summary number. At 0.10, the random forest flags 1,020 of 1,670 test participants, catching 94.4% of positives but missing 10 of 179 (5.6%). At 0.30, it flags 450, catching 68.7% of positives but missing 56 of 179 (31.3%), with 95.4% NPV. That number sounds reassuring alone but still means roughly one in three true positives in the deferred group would be missed. A rule that always predicts "negative" would itself reach 89.3% NPV with zero sensitivity, which is why NPV alone cannot show that deferral is safe.</w:t>
      </w:r>
    </w:p>
    <w:p>
      <w:pPr>
        <w:spacing w:after="140" w:line="268"/>
      </w:pPr>
      <w:r>
        <w:rPr>
          <w:rFonts w:ascii="Times New Roman" w:cs="Times New Roman" w:eastAsia="Times New Roman" w:hAnsi="Times New Roman"/>
          <w:sz w:val="22"/>
          <w:szCs w:val="22"/>
        </w:rPr>
        <w:t xml:space="preserve">What we learned. CBC-based signal measurably improves on demographics alone in our own data. This is encouraging for feasibility. It also surfaces real constraints: the cohort mixes known and unknown diabetes cases and includes minors; race and education are not yet properly encoded; and age dominates feature importance by a wide margin, with WBC, MCV, RDW, platelet, and RBC each adding only a little.</w:t>
      </w:r>
    </w:p>
    <w:p>
      <w:pPr>
        <w:spacing w:after="140" w:line="268"/>
      </w:pPr>
      <w:r>
        <w:rPr>
          <w:rFonts w:ascii="Times New Roman" w:cs="Times New Roman" w:eastAsia="Times New Roman" w:hAnsi="Times New Roman"/>
          <w:sz w:val="22"/>
          <w:szCs w:val="22"/>
        </w:rPr>
        <w:t xml:space="preserve">Remaining limitations. We have not applied survey weights or design variables (Section 3), validated with cross-validation or confidence intervals, checked calibration, restricted the cohort to an intended screening population, or compared against a simple age-only rule. All of this is planned before the final report (full list in the notebook's "Next steps").</w:t>
      </w:r>
    </w:p>
    <w:p>
      <w:pPr>
        <w:pStyle w:val="Heading2"/>
        <w:spacing w:after="100" w:before="200"/>
      </w:pPr>
      <w:r>
        <w:rPr>
          <w:rFonts w:ascii="Times New Roman" w:cs="Times New Roman" w:eastAsia="Times New Roman" w:hAnsi="Times New Roman"/>
          <w:b/>
          <w:bCs/>
          <w:sz w:val="26"/>
          <w:szCs w:val="26"/>
        </w:rPr>
        <w:t xml:space="preserve">Section 6: Teamwork and Project Plan</w:t>
      </w:r>
    </w:p>
    <w:p>
      <w:pPr>
        <w:spacing w:after="140" w:line="268"/>
      </w:pPr>
      <w:r>
        <w:rPr>
          <w:rFonts w:ascii="Times New Roman" w:cs="Times New Roman" w:eastAsia="Times New Roman" w:hAnsi="Times New Roman"/>
          <w:sz w:val="22"/>
          <w:szCs w:val="22"/>
        </w:rPr>
        <w:t xml:space="preserve">Standing weekly roles: Hamid Saeed is Project Manager, Setayesh Afshar is Coordinator, Jacob Kraft is Editor, and Ahenkan Yeboah is Reviewer. Hamid Saeed owns the endpoint/cohort decision, survey weighting, model validation, and threshold analysis; Ahenkan Yeboah reviews each before it goes in the report.</w:t>
      </w:r>
    </w:p>
    <w:p>
      <w:pPr>
        <w:spacing w:after="140" w:line="268"/>
      </w:pPr>
      <w:r>
        <w:rPr>
          <w:rFonts w:ascii="Times New Roman" w:cs="Times New Roman" w:eastAsia="Times New Roman" w:hAnsi="Times New Roman"/>
          <w:sz w:val="22"/>
          <w:szCs w:val="22"/>
        </w:rPr>
        <w:t xml:space="preserve">Milestones from this Research Plan through Dec. 4:</w:t>
      </w:r>
    </w:p>
    <w:p>
      <w:pPr>
        <w:pStyle w:val="ListParagraph"/>
        <w:numPr>
          <w:ilvl w:val="0"/>
          <w:numId w:val="1"/>
        </w:numPr>
        <w:spacing w:after="140" w:line="268"/>
      </w:pPr>
      <w:r>
        <w:rPr>
          <w:rFonts w:ascii="Times New Roman" w:cs="Times New Roman" w:eastAsia="Times New Roman" w:hAnsi="Times New Roman"/>
          <w:sz w:val="22"/>
          <w:szCs w:val="22"/>
        </w:rPr>
        <w:t xml:space="preserve">Oct 19–23 (stakeholder work ongoing since Oct 5): finalize the endpoint and cohort definition and apply survey weights; G. Assignment 3, led by Ahenkan Yeboah with Emmanuella Osifo.</w:t>
      </w:r>
    </w:p>
    <w:p>
      <w:pPr>
        <w:pStyle w:val="ListParagraph"/>
        <w:numPr>
          <w:ilvl w:val="0"/>
          <w:numId w:val="1"/>
        </w:numPr>
        <w:spacing w:after="140" w:line="268"/>
      </w:pPr>
      <w:r>
        <w:rPr>
          <w:rFonts w:ascii="Times New Roman" w:cs="Times New Roman" w:eastAsia="Times New Roman" w:hAnsi="Times New Roman"/>
          <w:sz w:val="22"/>
          <w:szCs w:val="22"/>
        </w:rPr>
        <w:t xml:space="preserve">Oct 26–Nov 6: add cross-validation, calibration, and proper categorical encoding to the baseline models; G. Assignment 4, led by Hamid Saeed with Ahenkan Yeboah.</w:t>
      </w:r>
    </w:p>
    <w:p>
      <w:pPr>
        <w:pStyle w:val="ListParagraph"/>
        <w:numPr>
          <w:ilvl w:val="0"/>
          <w:numId w:val="1"/>
        </w:numPr>
        <w:spacing w:after="140" w:line="268"/>
      </w:pPr>
      <w:r>
        <w:rPr>
          <w:rFonts w:ascii="Times New Roman" w:cs="Times New Roman" w:eastAsia="Times New Roman" w:hAnsi="Times New Roman"/>
          <w:sz w:val="22"/>
          <w:szCs w:val="22"/>
        </w:rPr>
        <w:t xml:space="preserve">Nov 9–20: finish the sensitivity/NPV evaluation with confidence intervals; G. Assignment 5, led by Jacob Kraft.</w:t>
      </w:r>
    </w:p>
    <w:p>
      <w:pPr>
        <w:pStyle w:val="ListParagraph"/>
        <w:numPr>
          <w:ilvl w:val="0"/>
          <w:numId w:val="1"/>
        </w:numPr>
        <w:spacing w:after="140" w:line="268"/>
      </w:pPr>
      <w:r>
        <w:rPr>
          <w:rFonts w:ascii="Times New Roman" w:cs="Times New Roman" w:eastAsia="Times New Roman" w:hAnsi="Times New Roman"/>
          <w:sz w:val="22"/>
          <w:szCs w:val="22"/>
        </w:rPr>
        <w:t xml:space="preserve">Nov 23–27: G. Assignment 6, Design Critique (lead TBD); turn the model into a draft policy.</w:t>
      </w:r>
    </w:p>
    <w:p>
      <w:pPr>
        <w:pStyle w:val="ListParagraph"/>
        <w:numPr>
          <w:ilvl w:val="0"/>
          <w:numId w:val="1"/>
        </w:numPr>
        <w:spacing w:after="140" w:line="268"/>
      </w:pPr>
      <w:r>
        <w:rPr>
          <w:rFonts w:ascii="Times New Roman" w:cs="Times New Roman" w:eastAsia="Times New Roman" w:hAnsi="Times New Roman"/>
          <w:sz w:val="22"/>
          <w:szCs w:val="22"/>
        </w:rPr>
        <w:t xml:space="preserve">Nov 30–Dec 4: Final Report and presentation, led by Emmanuella Osifo.</w:t>
      </w:r>
    </w:p>
    <w:p>
      <w:pPr>
        <w:spacing w:after="140" w:line="268"/>
      </w:pPr>
      <w:r>
        <w:rPr>
          <w:rFonts w:ascii="Times New Roman" w:cs="Times New Roman" w:eastAsia="Times New Roman" w:hAnsi="Times New Roman"/>
          <w:sz w:val="22"/>
          <w:szCs w:val="22"/>
        </w:rPr>
        <w:t xml:space="preserve">Every review pass follows our Team Contract: the lead adds evidence, Jacob Kraft checks clarity, Ahenkan Yeboah checks sources and methods, and everyone else reviews before submission.</w:t>
      </w:r>
    </w:p>
    <w:p>
      <w:pPr>
        <w:pStyle w:val="Heading2"/>
        <w:spacing w:after="100" w:before="200"/>
      </w:pPr>
      <w:r>
        <w:rPr>
          <w:rFonts w:ascii="Times New Roman" w:cs="Times New Roman" w:eastAsia="Times New Roman" w:hAnsi="Times New Roman"/>
          <w:b/>
          <w:bCs/>
          <w:sz w:val="26"/>
          <w:szCs w:val="26"/>
        </w:rPr>
        <w:t xml:space="preserve">Data and Code Availability</w:t>
      </w:r>
    </w:p>
    <w:p>
      <w:pPr>
        <w:spacing w:after="140" w:line="268"/>
      </w:pPr>
      <w:r>
        <w:rPr>
          <w:rFonts w:ascii="Times New Roman" w:cs="Times New Roman" w:eastAsia="Times New Roman" w:hAnsi="Times New Roman"/>
          <w:sz w:val="22"/>
          <w:szCs w:val="22"/>
        </w:rPr>
        <w:t xml:space="preserve">Dataset: NHANES 2021–2023, CDC/NCHS, at wwwn.cdc.gov/nchs/nhanes (public, de-identified; no data use agreement needed; exact team access date to be confirmed).</w:t>
      </w:r>
    </w:p>
    <w:p>
      <w:pPr>
        <w:spacing w:after="140" w:line="268"/>
      </w:pPr>
      <w:r>
        <w:rPr>
          <w:rFonts w:ascii="Times New Roman" w:cs="Times New Roman" w:eastAsia="Times New Roman" w:hAnsi="Times New Roman"/>
          <w:sz w:val="22"/>
          <w:szCs w:val="22"/>
        </w:rPr>
        <w:t xml:space="preserve">GitHub repository: </w:t>
      </w:r>
      <w:r>
        <w:rPr>
          <w:rFonts w:ascii="Times New Roman" w:cs="Times New Roman" w:eastAsia="Times New Roman" w:hAnsi="Times New Roman"/>
          <w:sz w:val="22"/>
          <w:szCs w:val="22"/>
        </w:rPr>
        <w:t xml:space="preserve">https://github.com/hamidsaeed13/VORTEX-BMEN-600-Project</w:t>
      </w:r>
    </w:p>
    <w:p>
      <w:pPr>
        <w:pStyle w:val="ListParagraph"/>
        <w:numPr>
          <w:ilvl w:val="0"/>
          <w:numId w:val="1"/>
        </w:numPr>
        <w:spacing w:after="140" w:line="268"/>
      </w:pPr>
      <w:r>
        <w:rPr>
          <w:rFonts w:ascii="Times New Roman" w:cs="Times New Roman" w:eastAsia="Times New Roman" w:hAnsi="Times New Roman"/>
          <w:sz w:val="22"/>
          <w:szCs w:val="22"/>
        </w:rPr>
        <w:t xml:space="preserve">README.md: project overview, research question, and file map.</w:t>
      </w:r>
    </w:p>
    <w:p>
      <w:pPr>
        <w:pStyle w:val="ListParagraph"/>
        <w:numPr>
          <w:ilvl w:val="0"/>
          <w:numId w:val="1"/>
        </w:numPr>
        <w:spacing w:after="140" w:line="268"/>
      </w:pPr>
      <w:r>
        <w:rPr>
          <w:rFonts w:ascii="Times New Roman" w:cs="Times New Roman" w:eastAsia="Times New Roman" w:hAnsi="Times New Roman"/>
          <w:sz w:val="22"/>
          <w:szCs w:val="22"/>
        </w:rPr>
        <w:t xml:space="preserve">code/01_eda_cbc_glucose_demographics.ipynb and code/02_baseline_model_and_figures.ipynb: run from inside code/ (they load data via a relative ../data/raw path); produce every table and figure in this report.</w:t>
      </w:r>
    </w:p>
    <w:p>
      <w:pPr>
        <w:pStyle w:val="ListParagraph"/>
        <w:numPr>
          <w:ilvl w:val="0"/>
          <w:numId w:val="1"/>
        </w:numPr>
        <w:spacing w:after="140" w:line="268"/>
      </w:pPr>
      <w:r>
        <w:rPr>
          <w:rFonts w:ascii="Times New Roman" w:cs="Times New Roman" w:eastAsia="Times New Roman" w:hAnsi="Times New Roman"/>
          <w:sz w:val="22"/>
          <w:szCs w:val="22"/>
        </w:rPr>
        <w:t xml:space="preserve">Software: Python 3.9, pandas, numpy, matplotlib, scikit-learn.</w:t>
      </w:r>
    </w:p>
    <w:p>
      <w:pPr>
        <w:pStyle w:val="ListParagraph"/>
        <w:numPr>
          <w:ilvl w:val="0"/>
          <w:numId w:val="1"/>
        </w:numPr>
        <w:spacing w:after="140" w:line="268"/>
      </w:pPr>
      <w:r>
        <w:rPr>
          <w:rFonts w:ascii="Times New Roman" w:cs="Times New Roman" w:eastAsia="Times New Roman" w:hAnsi="Times New Roman"/>
          <w:sz w:val="22"/>
          <w:szCs w:val="22"/>
        </w:rPr>
        <w:t xml:space="preserve">Organized files: data/raw/ (NHANES files + codebooks), code/ (notebooks), literature_review/ (source papers, with a README documenting what was checked against each one).</w:t>
      </w:r>
    </w:p>
    <w:p>
      <w:pPr>
        <w:pStyle w:val="Heading2"/>
        <w:spacing w:after="100" w:before="200"/>
      </w:pPr>
      <w:r>
        <w:rPr>
          <w:rFonts w:ascii="Times New Roman" w:cs="Times New Roman" w:eastAsia="Times New Roman" w:hAnsi="Times New Roman"/>
          <w:b/>
          <w:bCs/>
          <w:sz w:val="26"/>
          <w:szCs w:val="26"/>
        </w:rPr>
        <w:t xml:space="preserve">AI-Assisted Work</w:t>
      </w:r>
    </w:p>
    <w:p>
      <w:pPr>
        <w:spacing w:after="140" w:line="268"/>
      </w:pPr>
      <w:r>
        <w:rPr>
          <w:rFonts w:ascii="Times New Roman" w:cs="Times New Roman" w:eastAsia="Times New Roman" w:hAnsi="Times New Roman"/>
          <w:sz w:val="22"/>
          <w:szCs w:val="22"/>
        </w:rPr>
        <w:t xml:space="preserve">Team members used AI tools, including Claude Code, ChatGPT, and Consensus, for literature search, drafting, data-analysis code, and troubleshooting, per our Team Contract's view of AI as a helper, not a replacement for our own judgment. Every AI-suggested journal source was checked against the publisher or an independent index, and every specific number in Section 2 was checked against that source's full text where available, across two independent review passes; literature_review/README.md lists exactly what was checked, what was corrected, and which sources we could only verify by title. The analysis code and its outputs were checked by rerunning them against the raw data; a human review of the full report and code by Ahenkan Yeboah, as Reviewer, is still to happen before submission.</w:t>
      </w:r>
    </w:p>
    <w:p>
      <w:pPr>
        <w:pStyle w:val="Heading2"/>
        <w:spacing w:after="100" w:before="200"/>
      </w:pPr>
      <w:r>
        <w:rPr>
          <w:rFonts w:ascii="Times New Roman" w:cs="Times New Roman" w:eastAsia="Times New Roman" w:hAnsi="Times New Roman"/>
          <w:b/>
          <w:bCs/>
          <w:sz w:val="26"/>
          <w:szCs w:val="26"/>
        </w:rPr>
        <w:t xml:space="preserve">Author Contributions</w:t>
      </w:r>
    </w:p>
    <w:p>
      <w:pPr>
        <w:spacing w:after="140" w:line="268"/>
      </w:pPr>
      <w:r>
        <w:rPr>
          <w:rFonts w:ascii="Times New Roman" w:cs="Times New Roman" w:eastAsia="Times New Roman" w:hAnsi="Times New Roman"/>
          <w:sz w:val="22"/>
          <w:szCs w:val="22"/>
        </w:rPr>
        <w:t xml:space="preserve">Hamid Saeed defined the research question, gathered and merged the NHANES dataset, wrote this draft, built the preliminary baseline model, and ran the literature search and fact-checking in Section 2. Setayesh Afshar contributed the descriptive-statistics analysis in Section 5. Jacob Kraft will review this draft for clarity before submission. Ahenkan Yeboah will fact-check sources and verify methods before submission. Emmanuella Osifo's contribution to this document is still to be added.</w:t>
      </w:r>
    </w:p>
    <w:p>
      <w:r>
        <w:br w:type="page"/>
      </w:r>
    </w:p>
    <w:p>
      <w:pPr>
        <w:pStyle w:val="Heading2"/>
        <w:spacing w:after="100" w:before="200"/>
      </w:pPr>
      <w:r>
        <w:rPr>
          <w:rFonts w:ascii="Times New Roman" w:cs="Times New Roman" w:eastAsia="Times New Roman" w:hAnsi="Times New Roman"/>
          <w:b/>
          <w:bCs/>
          <w:sz w:val="26"/>
          <w:szCs w:val="26"/>
        </w:rPr>
        <w:t xml:space="preserve">References</w:t>
      </w:r>
    </w:p>
    <w:p>
      <w:pPr>
        <w:spacing w:after="100" w:line="252"/>
        <w:ind w:left="360" w:hanging="360"/>
      </w:pPr>
      <w:r>
        <w:rPr>
          <w:rFonts w:ascii="Times New Roman" w:cs="Times New Roman" w:eastAsia="Times New Roman" w:hAnsi="Times New Roman"/>
          <w:sz w:val="19"/>
          <w:szCs w:val="19"/>
        </w:rPr>
        <w:t xml:space="preserve">[1]	S. Horton, K. A. Fleming, M. Kuti, L.-M. Looi, S. A. Pai, S. Sayed, and M. L. Wilson, "The Top 25 Laboratory Tests by Volume and Revenue in Five Different Countries," Am. J. Clin. Pathol., vol. 151, no. 5, pp. 446–451, May 2019, doi: 10.1093/ajcp/aqy165.</w:t>
      </w:r>
    </w:p>
    <w:p>
      <w:pPr>
        <w:spacing w:after="100" w:line="252"/>
        <w:ind w:left="360" w:hanging="360"/>
      </w:pPr>
      <w:r>
        <w:rPr>
          <w:rFonts w:ascii="Times New Roman" w:cs="Times New Roman" w:eastAsia="Times New Roman" w:hAnsi="Times New Roman"/>
          <w:sz w:val="19"/>
          <w:szCs w:val="19"/>
        </w:rPr>
        <w:t xml:space="preserve">[2]	International Diabetes Federation, IDF Diabetes Atlas, 11th ed. Brussels, Belgium: International Diabetes Federation, 2025. [Online]. Available: https://diabetesatlas.org</w:t>
      </w:r>
    </w:p>
    <w:p>
      <w:pPr>
        <w:spacing w:after="100" w:line="252"/>
        <w:ind w:left="360" w:hanging="360"/>
      </w:pPr>
      <w:r>
        <w:rPr>
          <w:rFonts w:ascii="Times New Roman" w:cs="Times New Roman" w:eastAsia="Times New Roman" w:hAnsi="Times New Roman"/>
          <w:sz w:val="19"/>
          <w:szCs w:val="19"/>
        </w:rPr>
        <w:t xml:space="preserve">[3]	J. A. Gwira, C. D. Fryar, and Q. Gu, "Prevalence of total, diagnosed, and undiagnosed diabetes in adults: United States, August 2021–August 2023," National Center for Health Statistics, Hyattsville, MD, NCHS Data Brief 516, Nov. 2024, doi: 10.15620/cdc/165794.</w:t>
      </w:r>
    </w:p>
    <w:p>
      <w:pPr>
        <w:spacing w:after="100" w:line="252"/>
        <w:ind w:left="360" w:hanging="360"/>
      </w:pPr>
      <w:r>
        <w:rPr>
          <w:rFonts w:ascii="Times New Roman" w:cs="Times New Roman" w:eastAsia="Times New Roman" w:hAnsi="Times New Roman"/>
          <w:sz w:val="19"/>
          <w:szCs w:val="19"/>
        </w:rPr>
        <w:t xml:space="preserve">[4]	Centers for Disease Control and Prevention, "A U.S. Report Card," Diabetes. [Online]. Available: https://www.cdc.gov/diabetes/communication-resources/diabetes-statistics.html</w:t>
      </w:r>
    </w:p>
    <w:p>
      <w:pPr>
        <w:spacing w:after="100" w:line="252"/>
        <w:ind w:left="360" w:hanging="360"/>
      </w:pPr>
      <w:r>
        <w:rPr>
          <w:rFonts w:ascii="Times New Roman" w:cs="Times New Roman" w:eastAsia="Times New Roman" w:hAnsi="Times New Roman"/>
          <w:sz w:val="19"/>
          <w:szCs w:val="19"/>
        </w:rPr>
        <w:t xml:space="preserve">[5]	X. Guo, N. Zhang, B. Li, X. Yu, J. Guo, and G. Dan, "Using machine learning to identify individuals at elevated risk of diabetes from low-cost complete blood count data for opportunistic screening," Sci. Rep., vol. 16, Art. no. 29445, 2026, doi: 10.1038/s41598-026-59213-3.</w:t>
      </w:r>
    </w:p>
    <w:p>
      <w:pPr>
        <w:spacing w:after="100" w:line="252"/>
        <w:ind w:left="360" w:hanging="360"/>
      </w:pPr>
      <w:r>
        <w:rPr>
          <w:rFonts w:ascii="Times New Roman" w:cs="Times New Roman" w:eastAsia="Times New Roman" w:hAnsi="Times New Roman"/>
          <w:sz w:val="19"/>
          <w:szCs w:val="19"/>
        </w:rPr>
        <w:t xml:space="preserve">[6]	A. Mansoori et al., "Prediction of type 2 diabetes mellitus using hematological factors based on machine learning approaches: a cohort study analysis," Sci. Rep., vol. 13, Art. no. 663, 2023, doi: 10.1038/s41598-022-27340-2.</w:t>
      </w:r>
    </w:p>
    <w:p>
      <w:pPr>
        <w:spacing w:after="100" w:line="252"/>
        <w:ind w:left="360" w:hanging="360"/>
      </w:pPr>
      <w:r>
        <w:rPr>
          <w:rFonts w:ascii="Times New Roman" w:cs="Times New Roman" w:eastAsia="Times New Roman" w:hAnsi="Times New Roman"/>
          <w:sz w:val="19"/>
          <w:szCs w:val="19"/>
        </w:rPr>
        <w:t xml:space="preserve">[7]	N. Kamkar, S. Behzadi, V. Mahdavizadeh, M. Maali Tafti, A. Mansoori, M. Poudineh, H. Esmaily, and M. Ghayour-Mobarhan, "A machine learning-based framework for predicting type 2 diabetes mellitus using hematological indices," Am. Heart J. Plus, 2026, doi: 10.1016/j.ahjo.2026.100854.</w:t>
      </w:r>
    </w:p>
    <w:p>
      <w:pPr>
        <w:spacing w:after="100" w:line="252"/>
        <w:ind w:left="360" w:hanging="360"/>
      </w:pPr>
      <w:r>
        <w:rPr>
          <w:rFonts w:ascii="Times New Roman" w:cs="Times New Roman" w:eastAsia="Times New Roman" w:hAnsi="Times New Roman"/>
          <w:sz w:val="19"/>
          <w:szCs w:val="19"/>
        </w:rPr>
        <w:t xml:space="preserve">[8]	V. Veeranna, S. K. Zalawadiya, S. S. Panaich, K. Ramesh, and L. Afonso, "The Association of Red Cell Distribution Width with Glycated Hemoglobin among Healthy Adults without Diabetes Mellitus," Cardiology, vol. 122, no. 2, pp. 129–132, 2012, doi: 10.1159/000339225.</w:t>
      </w:r>
    </w:p>
    <w:p>
      <w:pPr>
        <w:spacing w:after="100" w:line="252"/>
        <w:ind w:left="360" w:hanging="360"/>
      </w:pPr>
      <w:r>
        <w:rPr>
          <w:rFonts w:ascii="Times New Roman" w:cs="Times New Roman" w:eastAsia="Times New Roman" w:hAnsi="Times New Roman"/>
          <w:sz w:val="19"/>
          <w:szCs w:val="19"/>
        </w:rPr>
        <w:t xml:space="preserve">[9]	G. Engström, J. G. Smith, M. Persson, P. M. Nilsson, O. Melander, and B. Hedblad, "Red cell distribution width, haemoglobin A1c and incidence of diabetes mellitus," J. Intern. Med., vol. 276, no. 2, pp. 174–183, Aug. 2014, doi: 10.1111/joim.12188.</w:t>
      </w:r>
    </w:p>
    <w:p>
      <w:pPr>
        <w:spacing w:after="100" w:line="252"/>
        <w:ind w:left="360" w:hanging="360"/>
      </w:pPr>
      <w:r>
        <w:rPr>
          <w:rFonts w:ascii="Times New Roman" w:cs="Times New Roman" w:eastAsia="Times New Roman" w:hAnsi="Times New Roman"/>
          <w:sz w:val="19"/>
          <w:szCs w:val="19"/>
        </w:rPr>
        <w:t xml:space="preserve">[10]	Y. Yin, S. Ye, H. Wang, B. Li, A. Wang, W. Yan, J. Dou, and Y. Mu, "Red blood cell distribution width and the risk of being in poor glycemic control among patients with established type 2 diabetes," Ther. Clin. Risk Manag., vol. 14, pp. 265–273, 2018, doi: 10.2147/TCRM.S155753.</w:t>
      </w:r>
    </w:p>
    <w:p>
      <w:pPr>
        <w:spacing w:after="100" w:line="252"/>
        <w:ind w:left="360" w:hanging="360"/>
      </w:pPr>
      <w:r>
        <w:rPr>
          <w:rFonts w:ascii="Times New Roman" w:cs="Times New Roman" w:eastAsia="Times New Roman" w:hAnsi="Times New Roman"/>
          <w:sz w:val="19"/>
          <w:szCs w:val="19"/>
        </w:rPr>
        <w:t xml:space="preserve">[11]	J.-M. Park, H. S. Lee, J.-Y. Park, D.-H. Jung, and J.-W. Lee, "White Blood Cell Count as a Predictor of Incident Type 2 Diabetes Mellitus Among Non-Obese Adults: A Longitudinal 10-Year Analysis of the Korean Genome and Epidemiology Study," J. Inflamm. Res., vol. 14, pp. 1235–1242, Apr. 2021, doi: 10.2147/JIR.S300026.</w:t>
      </w:r>
    </w:p>
    <w:p>
      <w:pPr>
        <w:spacing w:after="100" w:line="252"/>
        <w:ind w:left="360" w:hanging="360"/>
      </w:pPr>
      <w:r>
        <w:rPr>
          <w:rFonts w:ascii="Times New Roman" w:cs="Times New Roman" w:eastAsia="Times New Roman" w:hAnsi="Times New Roman"/>
          <w:sz w:val="19"/>
          <w:szCs w:val="19"/>
        </w:rPr>
        <w:t xml:space="preserve">[12]	E. Gkrania-Klotsas et al., "Differential white blood cell count and type 2 diabetes: Systematic review and meta-analysis of cross-sectional and prospective studies," PLoS ONE, vol. 5, no. 10, Art. no. e13405, Oct. 2010, doi: 10.1371/journal.pone.0013405.</w:t>
      </w:r>
    </w:p>
    <w:p>
      <w:pPr>
        <w:spacing w:after="100" w:line="252"/>
        <w:ind w:left="360" w:hanging="360"/>
      </w:pPr>
      <w:r>
        <w:rPr>
          <w:rFonts w:ascii="Times New Roman" w:cs="Times New Roman" w:eastAsia="Times New Roman" w:hAnsi="Times New Roman"/>
          <w:sz w:val="19"/>
          <w:szCs w:val="19"/>
        </w:rPr>
        <w:t xml:space="preserve">[13]	C. Lorenzo, A. J. Hanley, and S. M. Haffner, "Differential white cell count and incident type 2 diabetes: The Insulin Resistance Atherosclerosis Study," Diabetologia, vol. 57, no. 1, pp. 83–92, Jan. 2014, doi: 10.1007/s00125-013-3080-0.</w:t>
      </w:r>
    </w:p>
    <w:p>
      <w:pPr>
        <w:spacing w:after="100" w:line="252"/>
        <w:ind w:left="360" w:hanging="360"/>
      </w:pPr>
      <w:r>
        <w:rPr>
          <w:rFonts w:ascii="Times New Roman" w:cs="Times New Roman" w:eastAsia="Times New Roman" w:hAnsi="Times New Roman"/>
          <w:sz w:val="19"/>
          <w:szCs w:val="19"/>
        </w:rPr>
        <w:t xml:space="preserve">[14]	C. Mertoglu and M. Gunay, "Neutrophil-Lymphocyte ratio and Platelet-Lymphocyte ratio as useful predictive markers of prediabetes and diabetes mellitus," Diabetes Metab. Syndr., vol. 11, suppl. 1, pp. S127–S131, Nov. 2017, doi: 10.1016/j.dsx.2016.12.021.</w:t>
      </w:r>
    </w:p>
    <w:p>
      <w:pPr>
        <w:spacing w:after="100" w:line="252"/>
        <w:ind w:left="360" w:hanging="360"/>
      </w:pPr>
      <w:r>
        <w:rPr>
          <w:rFonts w:ascii="Times New Roman" w:cs="Times New Roman" w:eastAsia="Times New Roman" w:hAnsi="Times New Roman"/>
          <w:sz w:val="19"/>
          <w:szCs w:val="19"/>
        </w:rPr>
        <w:t xml:space="preserve">[15]	Md. A. Rahman, L. F. Abdulrazak, Md. M. Ali, I. Mahmud, K. Ahmed, and F. M. Bui, "Machine Learning-Based Approach for Predicting Diabetes Employing Socio-Demographic Characteristics," Algorithms, vol. 16, no. 11, Art. no. 503, 2023, doi: 10.3390/a16110503.</w:t>
      </w:r>
    </w:p>
    <w:p>
      <w:pPr>
        <w:spacing w:after="100" w:line="252"/>
        <w:ind w:left="360" w:hanging="360"/>
      </w:pPr>
      <w:r>
        <w:rPr>
          <w:rFonts w:ascii="Times New Roman" w:cs="Times New Roman" w:eastAsia="Times New Roman" w:hAnsi="Times New Roman"/>
          <w:sz w:val="19"/>
          <w:szCs w:val="19"/>
        </w:rPr>
        <w:t xml:space="preserve">[16]	J. Liu, F. Ssewamala, R. An, and M. Ji, "Use of automated machine learning to detect undiagnosed diabetes in US adults: Development and validation study," JMIR AI, vol. 4, Art. no. e68260, Oct. 2025, doi: 10.2196/68260.</w:t>
      </w:r>
    </w:p>
    <w:p>
      <w:pPr>
        <w:spacing w:after="100" w:line="252"/>
        <w:ind w:left="360" w:hanging="360"/>
      </w:pPr>
      <w:r>
        <w:rPr>
          <w:rFonts w:ascii="Times New Roman" w:cs="Times New Roman" w:eastAsia="Times New Roman" w:hAnsi="Times New Roman"/>
          <w:sz w:val="19"/>
          <w:szCs w:val="19"/>
        </w:rPr>
        <w:t xml:space="preserve">[17]	E. English, I. Idris, G. Smith, K. Dhatariya, E. S. Kilpatrick, and W. G. John, "The effect of anaemia and abnormalities of erythrocyte indices on HbA1c analysis: A systematic review," Diabetologia, vol. 58, no. 7, pp. 1409–1421, Jul. 2015, doi: 10.1007/s00125-015-3599-3.</w:t>
      </w:r>
    </w:p>
    <w:p>
      <w:pPr>
        <w:spacing w:after="100" w:line="252"/>
        <w:ind w:left="360" w:hanging="360"/>
      </w:pPr>
      <w:r>
        <w:rPr>
          <w:rFonts w:ascii="Times New Roman" w:cs="Times New Roman" w:eastAsia="Times New Roman" w:hAnsi="Times New Roman"/>
          <w:sz w:val="19"/>
          <w:szCs w:val="19"/>
        </w:rPr>
        <w:t xml:space="preserve">[18]	M. McDermott, A. Dighe, P. Szolovits, Y. Luo, and J. Baron, "Using Machine Learning to Develop Smart Reflex Testing Protocols," arXiv:2302.00794, Feb. 2023.</w:t>
      </w:r>
    </w:p>
    <w:p>
      <w:pPr>
        <w:spacing w:after="100" w:line="252"/>
        <w:ind w:left="360" w:hanging="360"/>
      </w:pPr>
      <w:r>
        <w:rPr>
          <w:rFonts w:ascii="Times New Roman" w:cs="Times New Roman" w:eastAsia="Times New Roman" w:hAnsi="Times New Roman"/>
          <w:sz w:val="19"/>
          <w:szCs w:val="19"/>
        </w:rPr>
        <w:t xml:space="preserve">[19]	H. Bang et al., "Development and validation of a patient self-assessment score for diabetes risk," Ann. Intern. Med., vol. 151, no. 11, pp. 775–783, Dec. 2009, doi: 10.7326/0003-4819-151-11-200912010-00005.</w:t>
      </w:r>
    </w:p>
    <w:p>
      <w:pPr>
        <w:spacing w:after="100" w:line="252"/>
        <w:ind w:left="360" w:hanging="360"/>
      </w:pPr>
      <w:r>
        <w:rPr>
          <w:rFonts w:ascii="Times New Roman" w:cs="Times New Roman" w:eastAsia="Times New Roman" w:hAnsi="Times New Roman"/>
          <w:sz w:val="19"/>
          <w:szCs w:val="19"/>
        </w:rPr>
        <w:t xml:space="preserve">[20]	Centers for Disease Control and Prevention, National Center for Health Statistics, "National Health and Nutrition Examination Survey, 2021–2023." [Online]. Available: https://wwwn.cdc.gov/nchs/nhanes/</w:t>
      </w:r>
    </w:p>
    <w:sectPr>
      <w:footerReference w:type="default" r:id="rId6"/>
      <w:pgSz w:w="12240" w:h="15840" w:orient="portrait"/>
      <w:pgMar w:top="1260" w:right="1350" w:bottom="1260" w:left="13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mp2icwjvqprpznpfbwn-" Type="http://schemas.openxmlformats.org/officeDocument/2006/relationships/hyperlink" Target="https://github.com/hamidsaeed13/VORTEX-BMEN-600-Project" TargetMode="External"/><Relationship Id="rId9" Type="http://schemas.openxmlformats.org/officeDocument/2006/relationships/image" Target="media/ce3577fafe43cfd6c1e1173a3780bf4a393cf32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2026-10-16T02:41:13.903Z</dcterms:created>
  <dcterms:modified xsi:type="dcterms:W3CDTF">2026-10-16T02:41:13.904Z</dcterms:modified>
</cp:coreProperties>
</file>

<file path=docProps/custom.xml><?xml version="1.0" encoding="utf-8"?>
<Properties xmlns="http://schemas.openxmlformats.org/officeDocument/2006/custom-properties" xmlns:vt="http://schemas.openxmlformats.org/officeDocument/2006/docPropsVTypes"/>
</file>