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sz w:val="32"/>
          <w:szCs w:val="32"/>
        </w:rPr>
        <w:t xml:space="preserve">Lab Test Recommendation System:</w:t>
      </w:r>
    </w:p>
    <w:p>
      <w:pPr>
        <w:spacing w:after="400"/>
        <w:jc w:val="center"/>
      </w:pPr>
      <w:r>
        <w:rPr>
          <w:rFonts w:ascii="Times New Roman" w:cs="Times New Roman" w:eastAsia="Times New Roman" w:hAnsi="Times New Roman"/>
          <w:b/>
          <w:bCs/>
          <w:sz w:val="32"/>
          <w:szCs w:val="32"/>
        </w:rPr>
        <w:t xml:space="preserve">Predicting Blood Glucose Abnormality from CBC and Demographics</w:t>
      </w:r>
    </w:p>
    <w:p>
      <w:pPr>
        <w:spacing w:after="600"/>
        <w:jc w:val="center"/>
      </w:pPr>
      <w:r>
        <w:rPr>
          <w:rFonts w:ascii="Times New Roman" w:cs="Times New Roman" w:eastAsia="Times New Roman" w:hAnsi="Times New Roman"/>
          <w:i/>
          <w:iCs/>
          <w:sz w:val="24"/>
          <w:szCs w:val="24"/>
        </w:rPr>
        <w:t xml:space="preserve">BMEN 600 — Midterm Research Plan (DRAFT)</w:t>
      </w:r>
    </w:p>
    <w:p>
      <w:pPr>
        <w:spacing w:after="400"/>
        <w:jc w:val="center"/>
      </w:pPr>
      <w:r>
        <w:rPr>
          <w:rFonts w:ascii="Times New Roman" w:cs="Times New Roman" w:eastAsia="Times New Roman" w:hAnsi="Times New Roman"/>
          <w:b/>
          <w:bCs/>
          <w:sz w:val="24"/>
          <w:szCs w:val="24"/>
        </w:rPr>
        <w:t xml:space="preserve">Team Vortex 600</w:t>
      </w:r>
    </w:p>
    <w:p>
      <w:pPr>
        <w:spacing w:after="400"/>
        <w:jc w:val="center"/>
      </w:pPr>
      <w:r>
        <w:rPr>
          <w:rFonts w:ascii="Times New Roman" w:cs="Times New Roman" w:eastAsia="Times New Roman" w:hAnsi="Times New Roman"/>
          <w:sz w:val="22"/>
          <w:szCs w:val="22"/>
        </w:rPr>
        <w:t xml:space="preserve">Submitted: October 16, 2026</w:t>
      </w:r>
    </w:p>
    <w:p>
      <w:pPr>
        <w:spacing w:after="100"/>
        <w:jc w:val="center"/>
      </w:pPr>
      <w:hyperlink w:history="1" r:id="rIdyorvbv-o3yhbggex01nll">
        <w:r>
          <w:rPr>
            <w:rStyle w:val="Hyperlink"/>
            <w:rFonts w:ascii="Times New Roman" w:cs="Times New Roman" w:eastAsia="Times New Roman" w:hAnsi="Times New Roman"/>
            <w:sz w:val="22"/>
            <w:szCs w:val="22"/>
          </w:rPr>
          <w:t xml:space="preserve">github.com/hamidsaeed13/VORTEX-BMEN-600-Project</w:t>
        </w:r>
      </w:hyperlink>
    </w:p>
    <w:p>
      <w:r>
        <w:br w:type="page"/>
      </w:r>
    </w:p>
    <w:p>
      <w:pPr>
        <w:pStyle w:val="Heading2"/>
        <w:spacing w:after="120" w:before="240"/>
      </w:pPr>
      <w:r>
        <w:rPr>
          <w:rFonts w:ascii="Times New Roman" w:cs="Times New Roman" w:eastAsia="Times New Roman" w:hAnsi="Times New Roman"/>
          <w:b/>
          <w:bCs/>
          <w:sz w:val="26"/>
          <w:szCs w:val="26"/>
        </w:rPr>
        <w:t xml:space="preserve">Section 1 — Introduction and Motivation</w:t>
      </w:r>
    </w:p>
    <w:p>
      <w:pPr>
        <w:spacing w:after="160" w:line="276"/>
      </w:pPr>
      <w:r>
        <w:rPr>
          <w:rFonts w:ascii="Times New Roman" w:cs="Times New Roman" w:eastAsia="Times New Roman" w:hAnsi="Times New Roman"/>
          <w:sz w:val="22"/>
          <w:szCs w:val="22"/>
        </w:rPr>
        <w:t xml:space="preserve">Clinical laboratories frequently order bundled panels of tests reflexively — for example, a Complete Blood Count (CBC) alongside blood group typing, hepatitis and HIV serologies, and a fasting blood glucose — regardless of whether each individual test is likely to change management for a given patient. The CBC is a useful anchor for this pattern: a five-hospital, five-country comparison of referral laboratories found it to be the single most commonly ordered test at four of five sites, and present in the top-25 list by volume at all five [1]. Diabetes illustrates the stakes of over- and under-testing together: an estimated 589 million adults live with diabetes worldwide, and 43% of cases are undiagnosed [2]; in the United States specifically, total diabetes prevalence was 15.8% of adults (11.3% diagnosed, 4.5% undiagnosed) over August 2021–August 2023, tracked on an ongoing basis by national surveillance [3], [4].</w:t>
      </w:r>
    </w:p>
    <w:p>
      <w:pPr>
        <w:spacing w:after="160" w:line="276"/>
      </w:pPr>
      <w:r>
        <w:rPr>
          <w:rFonts w:ascii="Times New Roman" w:cs="Times New Roman" w:eastAsia="Times New Roman" w:hAnsi="Times New Roman"/>
          <w:sz w:val="22"/>
          <w:szCs w:val="22"/>
        </w:rPr>
        <w:t xml:space="preserve">Our project investigates whether this same CBC — already drawn so often, including for patients where it has nothing to do with diabetes — combined with basic demographic information, can predict whether a costlier add-on test, blood glucose, is likely to return an abnormal result. If this signal exists, it can be used to risk-stratify test-ordering decisions: prioritizing glucose testing for patients who are more likely to have an abnormal result, and safely deferring it for patients who are very likely to be normal.</w:t>
      </w:r>
    </w:p>
    <w:p>
      <w:pPr>
        <w:spacing w:after="160" w:line="276"/>
      </w:pPr>
      <w:r>
        <w:rPr>
          <w:rFonts w:ascii="Times New Roman" w:cs="Times New Roman" w:eastAsia="Times New Roman" w:hAnsi="Times New Roman"/>
          <w:i/>
          <w:iCs/>
          <w:sz w:val="22"/>
          <w:szCs w:val="22"/>
        </w:rPr>
        <w:t xml:space="preserve">Research question: Using only CBC parameters and demographics, can we predict the probability that a patient's blood glucose result would be abnormal, at a confidence level high enough to responsibly inform test-ordering decisions, without materially increasing the risk of a missed diabetes diagnosis?</w:t>
      </w:r>
    </w:p>
    <w:p>
      <w:pPr>
        <w:spacing w:after="160" w:line="276"/>
      </w:pPr>
      <w:r>
        <w:rPr>
          <w:rFonts w:ascii="Times New Roman" w:cs="Times New Roman" w:eastAsia="Times New Roman" w:hAnsi="Times New Roman"/>
          <w:sz w:val="22"/>
          <w:szCs w:val="22"/>
        </w:rPr>
        <w:t xml:space="preserve">This term's contribution is a concrete feasibility assessment of that question on a large, public dataset (NHANES), with an explicit cost-asymmetry evaluation framing — a missed diagnosis costs far more than an unnecessary test — rather than a bespoke or costly new screening instrument.</w:t>
      </w:r>
    </w:p>
    <w:p>
      <w:pPr>
        <w:pStyle w:val="Heading2"/>
        <w:spacing w:after="120" w:before="240"/>
      </w:pPr>
      <w:r>
        <w:rPr>
          <w:rFonts w:ascii="Times New Roman" w:cs="Times New Roman" w:eastAsia="Times New Roman" w:hAnsi="Times New Roman"/>
          <w:b/>
          <w:bCs/>
          <w:sz w:val="26"/>
          <w:szCs w:val="26"/>
        </w:rPr>
        <w:t xml:space="preserve">Section 2 — Background and Research Gap</w:t>
      </w:r>
    </w:p>
    <w:p>
      <w:pPr>
        <w:spacing w:after="160" w:line="276"/>
      </w:pPr>
      <w:r>
        <w:rPr>
          <w:rFonts w:ascii="Times New Roman" w:cs="Times New Roman" w:eastAsia="Times New Roman" w:hAnsi="Times New Roman"/>
          <w:sz w:val="22"/>
          <w:szCs w:val="22"/>
        </w:rPr>
        <w:t xml:space="preserve">Diabetes affects an estimated 589 million adults worldwide, with 43% of cases undiagnosed [2], and United States surveillance over August 2021–August 2023 found a comparable pattern nationally: 15.8% total prevalence, 11.3% diagnosed, 4.5% undiagnosed [3], [4]. This undiagnosed gap, combined with how routinely a CBC is already drawn — the single most common test at four of five referral hospitals studied across five countries [1] — motivates the search for a CBC-based signal that can flag which patients most need a confirmatory glucose or HbA1c test.</w:t>
      </w:r>
    </w:p>
    <w:p>
      <w:pPr>
        <w:spacing w:after="160" w:line="276"/>
      </w:pPr>
      <w:r>
        <w:rPr>
          <w:rFonts w:ascii="Times New Roman" w:cs="Times New Roman" w:eastAsia="Times New Roman" w:hAnsi="Times New Roman"/>
          <w:sz w:val="22"/>
          <w:szCs w:val="22"/>
        </w:rPr>
        <w:t xml:space="preserve">A growing body of work has asked whether the CBC carries predictive signal for glycemic status. The closest precedent to our project is a 2026 retrospective study from a Chinese tertiary hospital that trained several machine learning models (logistic regression, LightGBM, and neural network architectures) on CBC parameters alone to flag an HbA1c-defined diabetes-risk label, achieving an AUROC of 0.821 in development and 0.791 on an independent, one-year-later temporal validation cohort (n=70,725 development, 26,650 validation), with LightGBM the best-performing model [5]. A similarly structured cohort study using hematological indices alongside demographics in roughly 9,000 Iranian adults found that a bootstrap-forest model achieved high discrimination, with age and WBC count the most influential predictors [6]; a related 2026 framework extends this hematological-indices approach with additional model comparisons [7]. These studies establish that CBC-derived features carry real, reproducible signal for glycemic risk, though all were developed on cohorts outside North America, and none evaluate the sensitivity/NPV operating points that a cost-asymmetric skip/order decision requires.</w:t>
      </w:r>
    </w:p>
    <w:p>
      <w:pPr>
        <w:spacing w:after="160" w:line="276"/>
      </w:pPr>
      <w:r>
        <w:rPr>
          <w:rFonts w:ascii="Times New Roman" w:cs="Times New Roman" w:eastAsia="Times New Roman" w:hAnsi="Times New Roman"/>
          <w:sz w:val="22"/>
          <w:szCs w:val="22"/>
        </w:rPr>
        <w:t xml:space="preserve">Individual CBC components have independent, longer-standing support, though the picture is mixed. Red cell distribution width (RDW) is associated with HbA1c directly in healthy, non-diabetic adults [8] and with incident diabetes over long-term follow-up [9]; a cohort of patients already diagnosed with type 2 diabetes, by contrast, found the opposite direction for a different outcome — higher RDW meant lower risk of poor glycemic control (OR 0.3, 95% CI 0.2–0.7, top vs. bottom RDW quartile) [20] — so RDW's relationship with glycemia may depend on whether the question is onset or ongoing control. White blood cell count predicts incident type 2 diabetes in a 10-year Korean cohort (adjusted HR 1.55, 95% CI 1.10–2.18, highest vs. lowest quartile, n=4,211) [10] and, at a higher level of evidence, in a 20-study meta-analysis (8,647 cases, 85,040 non-cases; combined RR 1.61, 95% CI 1.45–1.79, top vs. bottom tertile) — though the authors themselves flag publication bias and incomplete confounder control as likely inflating this estimate [11]. A single cohort study (n=866), however, found white-cell and neutrophil associations attenuated to non-significance after adjusting for family history, fasting glucose, and smoking, with no significant neutrophil:lymphocyte association at all [12] — this literature is broadly supportive but not fully consistent. Neutrophil-to-lymphocyte ratio was significantly elevated across prediabetes and diabetes in a separate four-group comparison, while platelet-to-lymphocyte ratio showed a more complex, non-monotonic pattern [13].</w:t>
      </w:r>
    </w:p>
    <w:p>
      <w:pPr>
        <w:spacing w:after="160" w:line="276"/>
      </w:pPr>
      <w:r>
        <w:rPr>
          <w:rFonts w:ascii="Times New Roman" w:cs="Times New Roman" w:eastAsia="Times New Roman" w:hAnsi="Times New Roman"/>
          <w:sz w:val="22"/>
          <w:szCs w:val="22"/>
        </w:rPr>
        <w:t xml:space="preserve">Two further studies motivate a non-laboratory baseline for comparison. A model using socio-demographic characteristics and self-reported symptoms (polyuria, polydipsia, delayed healing) — no lab data — reported 99.36% accuracy with a random forest [14], high enough to warrant caution about class-imbalance or evaluation artifacts, but a useful illustration of how much signal lives outside lab values. More directly comparable, a 2025 study built on the same NHANES source we use, training AutoML on demographic, anthropometric, dietary, and behavioral features (no CBC or other labs) to flag undiagnosed diabetes, reporting AUROC 0.909 with 70.3% sensitivity and 92.6% NPV [15] — a direct benchmark for our Section 4 evaluation, and the baseline our CBC+demographics model must beat to justify the added blood draw.</w:t>
      </w:r>
    </w:p>
    <w:p>
      <w:pPr>
        <w:spacing w:after="160" w:line="276"/>
      </w:pPr>
      <w:r>
        <w:rPr>
          <w:rFonts w:ascii="Times New Roman" w:cs="Times New Roman" w:eastAsia="Times New Roman" w:hAnsi="Times New Roman"/>
          <w:sz w:val="22"/>
          <w:szCs w:val="22"/>
        </w:rPr>
        <w:t xml:space="preserve">One important complication is that red cell and anemia-related abnormalities can themselves distort HbA1c measurement, independent of glycemic status — a systematic review of 12 studies found iron-deficiency anemia raises HbA1c values regardless of true glycemic control [16] — a confound our project must account for, since an apparent CBC–HbA1c association could partly reflect measurement artifact rather than true glycemic risk. Finally, reflex-testing protocols that use an initial, cheap test to decide whether a costlier second test is ordered have a demonstrated track record for reducing unnecessary testing without compromising diagnostic safety, including machine-learning-based reflex protocols for laboratory ordering generally [17] and a simpler, rule-based self-assessment risk score for diabetes screening without any lab draw at all [18].</w:t>
      </w:r>
    </w:p>
    <w:p>
      <w:pPr>
        <w:spacing w:after="160" w:line="276"/>
      </w:pPr>
      <w:r>
        <w:rPr>
          <w:rFonts w:ascii="Times New Roman" w:cs="Times New Roman" w:eastAsia="Times New Roman" w:hAnsi="Times New Roman"/>
          <w:sz w:val="22"/>
          <w:szCs w:val="22"/>
        </w:rPr>
        <w:t xml:space="preserve">The gap our project addresses is narrower than any single study above: rather than building a general-purpose diabetes risk model, we ask specifically whether CBC + demographics, applied to the publicly available NHANES cohort and evaluated at the sensitivity/NPV thresholds relevant to a skip/order decision rather than overall accuracy, can support a defensible opportunistic test-recommendation policy — directly extending the reflex-testing literature [17] with the CBC-based predictive signal established in [5]–[13].</w:t>
      </w:r>
    </w:p>
    <w:p>
      <w:pPr>
        <w:pStyle w:val="Heading2"/>
        <w:spacing w:after="120" w:before="240"/>
      </w:pPr>
      <w:r>
        <w:rPr>
          <w:rFonts w:ascii="Times New Roman" w:cs="Times New Roman" w:eastAsia="Times New Roman" w:hAnsi="Times New Roman"/>
          <w:b/>
          <w:bCs/>
          <w:sz w:val="26"/>
          <w:szCs w:val="26"/>
        </w:rPr>
        <w:t xml:space="preserve">Section 3 — Dataset and Responsible Use</w:t>
      </w:r>
    </w:p>
    <w:p>
      <w:pPr>
        <w:spacing w:after="160" w:line="276"/>
      </w:pPr>
      <w:r>
        <w:rPr>
          <w:rFonts w:ascii="Times New Roman" w:cs="Times New Roman" w:eastAsia="Times New Roman" w:hAnsi="Times New Roman"/>
          <w:sz w:val="22"/>
          <w:szCs w:val="22"/>
        </w:rPr>
        <w:t xml:space="preserve">Dataset identity and access. We use the National Health and Nutrition Examination Survey (NHANES), 2021–2023 cycle, administered by the National Center for Health Statistics (NCHS), a division of the U.S. Centers for Disease Control and Prevention [19]. NHANES is a nationally representative, cross-sectional survey of the non-institutionalized U.S. civilian population, combining household interviews with a standardized physical examination and laboratory blood draw at a Mobile Examination Center. All data were accessed from the public NHANES data portal (wwwn.cdc.gov/nchs/nhanes), a de-identified, public-use extract requiring no additional data use agreement.</w:t>
      </w:r>
    </w:p>
    <w:p>
      <w:pPr>
        <w:spacing w:after="160" w:line="276"/>
      </w:pPr>
      <w:r>
        <w:rPr>
          <w:rFonts w:ascii="Times New Roman" w:cs="Times New Roman" w:eastAsia="Times New Roman" w:hAnsi="Times New Roman"/>
          <w:sz w:val="22"/>
          <w:szCs w:val="22"/>
        </w:rPr>
        <w:t xml:space="preserve">The dataset as a Methods section would describe it. We draw five linked public-use components from the 2021–2023 cycle, joined on the shared participant identifier SEQN, where one record represents one examined NHANES participant: Demographics (age, sex, race/Hispanic origin, education, income-to-poverty ratio), Complete Blood Count (white blood cell count and five-part differential, red blood cell indices, hemoglobin, hematocrit, platelet count), Fasting Plasma Glucose (collected only on a randomly assigned fasting morning-session subsample), Glycohemoglobin (HbA1c, collected on the full examined sample), and the Diabetes questionnaire (self-reported prior diagnosis). After merging, our preliminary pull (Section 5) contains 11,933 participants with at least demographic and CBC data — a known structural feature of NHANES' two-stage subsampling design, not missing data in the usual sense.</w:t>
      </w:r>
    </w:p>
    <w:p>
      <w:pPr>
        <w:spacing w:after="160" w:line="276"/>
      </w:pPr>
      <w:r>
        <w:rPr>
          <w:rFonts w:ascii="Times New Roman" w:cs="Times New Roman" w:eastAsia="Times New Roman" w:hAnsi="Times New Roman"/>
          <w:sz w:val="22"/>
          <w:szCs w:val="22"/>
        </w:rPr>
        <w:t xml:space="preserve">Responsible use. NHANES data are public-use, de-identified, and released explicitly for secondary research use by the U.S. government; no additional data use agreement, institutional approval, or fee is required for the components we use. Because NHANES suppresses and recodes variables that could permit re-identification (e.g., broad age top-coding, geographic masking), re-identification risk is low, but we will not attempt to link any record back to an individual, nor combine it with any outside, potentially identifying data source. All analysis will occur on the public-use extract only; NHANES' restricted-use linked files (e.g., mortality linkage) are out of scope.</w:t>
      </w:r>
    </w:p>
    <w:p>
      <w:pPr>
        <w:spacing w:after="160" w:line="276"/>
      </w:pPr>
      <w:r>
        <w:rPr>
          <w:rFonts w:ascii="Times New Roman" w:cs="Times New Roman" w:eastAsia="Times New Roman" w:hAnsi="Times New Roman"/>
          <w:sz w:val="22"/>
          <w:szCs w:val="22"/>
        </w:rPr>
        <w:t xml:space="preserve">Known limitations and bias. NHANES is nationally representative only via complex survey weights, which our preliminary exploration (Section 5) does not yet apply — estimates reported before weighting describe our merged sample, not the US population. The fasting-glucose subsample (n = 3,672) is roughly half the HbA1c sample (n = 6,715), constraining which outcome definition is most feasible to model (Section 4). Self-reported diagnosis undercounts undiagnosed diabetes by construction. Clinical cut-points for the outcome were developed primarily in non-Hispanic white populations, so we will check whether model performance is uniform across race/ethnicity before treating any cut-point as universal.</w:t>
      </w:r>
    </w:p>
    <w:p>
      <w:pPr>
        <w:pStyle w:val="Heading2"/>
        <w:spacing w:after="120" w:before="240"/>
      </w:pPr>
      <w:r>
        <w:rPr>
          <w:rFonts w:ascii="Times New Roman" w:cs="Times New Roman" w:eastAsia="Times New Roman" w:hAnsi="Times New Roman"/>
          <w:b/>
          <w:bCs/>
          <w:sz w:val="26"/>
          <w:szCs w:val="26"/>
        </w:rPr>
        <w:t xml:space="preserve">Section 4 — Proposed Methods and Evaluation</w:t>
      </w:r>
    </w:p>
    <w:p>
      <w:pPr>
        <w:spacing w:after="160" w:line="276"/>
      </w:pPr>
      <w:r>
        <w:rPr>
          <w:rFonts w:ascii="Times New Roman" w:cs="Times New Roman" w:eastAsia="Times New Roman" w:hAnsi="Times New Roman"/>
          <w:sz w:val="22"/>
          <w:szCs w:val="22"/>
        </w:rPr>
        <w:t xml:space="preserve">Variables and groups. The predictor set consists of CBC parameters (white blood cell count and differential percentages, red blood cell count, hemoglobin, hematocrit, MCV, RDW, platelet count) and demographic covariates (age, sex, race/Hispanic origin, education, income-to-poverty ratio). The candidate outcome is binary — an abnormal glycemic result — with three possible operational definitions still open at this stage: fasting glucose ≥126 mg/dL, HbA1c ≥6.5%, or self-reported prior diabetes diagnosis. This is the single most consequential open decision in our analysis plan: each definition reflects a different clinical construct (a single fasting measurement vs. chronic average glycemic control vs. a historical diagnosis), carries a different usable sample size (n = 3,657 / 6,689 / 7,592 respectively, with CBC available — Section 5), and is subject to different confounds — notably, red cell and anemia-related abnormalities can bias HbA1c measurement independent of true glycemic status [16], which argues against treating HbA1c as an unquestioned ground-truth label. We will finalize this definition in consultation with the instructional team, documenting the clinical justification and trade-offs explicitly rather than defaulting to whichever maximizes sample size.</w:t>
      </w:r>
    </w:p>
    <w:p>
      <w:pPr>
        <w:spacing w:after="160" w:line="276"/>
      </w:pPr>
      <w:r>
        <w:rPr>
          <w:rFonts w:ascii="Times New Roman" w:cs="Times New Roman" w:eastAsia="Times New Roman" w:hAnsi="Times New Roman"/>
          <w:sz w:val="22"/>
          <w:szCs w:val="22"/>
        </w:rPr>
        <w:t xml:space="preserve">Cleaning and preprocessing. The five NHANES components are merged by SEQN with the demographics file as the base table, left-joining CBC, fasting glucose, HbA1c, and the diabetes questionnaire; because fasting glucose is collected only on a random subsample, the merge intentionally produces structural missingness rather than deleting incomplete rows. Each participant contributes exactly one row, avoiding duplication in the fit. Missingness has been characterized by variable (Section 5) and will next be characterized by demographic subgroup before finalizing an imputation strategy for CBC predictors, versus a complete-case approach for the outcome itself.</w:t>
      </w:r>
    </w:p>
    <w:p>
      <w:pPr>
        <w:spacing w:after="160" w:line="276"/>
      </w:pPr>
      <w:r>
        <w:rPr>
          <w:rFonts w:ascii="Times New Roman" w:cs="Times New Roman" w:eastAsia="Times New Roman" w:hAnsi="Times New Roman"/>
          <w:sz w:val="22"/>
          <w:szCs w:val="22"/>
        </w:rPr>
        <w:t xml:space="preserve">Modeling and tools. We are implementing the pipeline in Python (pandas, scikit-learn), comparing logistic regression, random forest, and gradient boosting classifiers — mirroring the model families used in the closest precedent study [5]. A first exploratory version already runs end-to-end from code/01_eda_cbc_glucose_demographics.ipynb through a new code/02_baseline_model_and_figures.ipynb (Section 5), so the path from raw NHANES files to preliminary metrics is reproducible from the repository alone.</w:t>
      </w:r>
    </w:p>
    <w:p>
      <w:pPr>
        <w:spacing w:after="160" w:line="276"/>
      </w:pPr>
      <w:r>
        <w:rPr>
          <w:rFonts w:ascii="Times New Roman" w:cs="Times New Roman" w:eastAsia="Times New Roman" w:hAnsi="Times New Roman"/>
          <w:sz w:val="22"/>
          <w:szCs w:val="22"/>
        </w:rPr>
        <w:t xml:space="preserve">Evaluation and avoiding misleading results. Because an unnecessary glucose test is inexpensive relative to the harm of a missed diagnosis, we evaluate models at multiple decision thresholds and report sensitivity and NPV at each rather than a single accuracy or AUROC figure — a first exploratory pass is already in Section 5, directly comparable to the benchmark in [15]. A demographics-only ablation, motivated by [14] and [15], is likewise already implemented and will be refined with full cross-validation for the final report. Going forward we will (a) keep evaluation at the one-row-per-participant level set at merge time, so no participant's data leaks across folds, (b) use stratified k-fold cross-validation with the full preprocessing pipeline refit within each fold, and (c) report bootstrap or cross-validation confidence intervals rather than a single point estimate, so the variability from our modest sample size (Section 3) is visible. We will also benchmark the reduction in unnecessary glucose orders against an order-for-everyone baseline, following the reflex-testing cost framing in [1], [17].</w:t>
      </w:r>
    </w:p>
    <w:p>
      <w:pPr>
        <w:pStyle w:val="Heading2"/>
        <w:spacing w:after="120" w:before="240"/>
      </w:pPr>
      <w:r>
        <w:rPr>
          <w:rFonts w:ascii="Times New Roman" w:cs="Times New Roman" w:eastAsia="Times New Roman" w:hAnsi="Times New Roman"/>
          <w:b/>
          <w:bCs/>
          <w:sz w:val="26"/>
          <w:szCs w:val="26"/>
        </w:rPr>
        <w:t xml:space="preserve">Section 5 — Preliminary Results</w:t>
      </w:r>
    </w:p>
    <w:p>
      <w:pPr>
        <w:spacing w:after="160" w:line="276"/>
      </w:pPr>
      <w:r>
        <w:rPr>
          <w:rFonts w:ascii="Times New Roman" w:cs="Times New Roman" w:eastAsia="Times New Roman" w:hAnsi="Times New Roman"/>
          <w:sz w:val="22"/>
          <w:szCs w:val="22"/>
        </w:rPr>
        <w:t xml:space="preserve">Table 1 summarizes the usable sample size by candidate outcome definition, and Figure 1 reports a first exploratory baseline model fit on the merged NHANES 2021–2023 extract (11,933 participants with demographic + CBC data).</w:t>
      </w:r>
    </w:p>
    <w:p>
      <w:pPr>
        <w:spacing w:after="100" w:line="276"/>
      </w:pPr>
      <w:r>
        <w:rPr>
          <w:rFonts w:ascii="Times New Roman" w:cs="Times New Roman" w:eastAsia="Times New Roman" w:hAnsi="Times New Roman"/>
          <w:b/>
          <w:bCs/>
          <w:sz w:val="22"/>
          <w:szCs w:val="22"/>
        </w:rPr>
        <w:t xml:space="preserve">Table 1. Usable sample size by candidate outcome definition.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600"/>
        <w:gridCol w:w="2600"/>
      </w:tblGrid>
      <w:tr>
        <w:trPr>
          <w:tblHeader/>
        </w:trPr>
        <w:tc>
          <w:tcPr>
            <w:tcW w:type="dxa" w:w="3200"/>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Outcome definition</w:t>
            </w:r>
          </w:p>
        </w:tc>
        <w:tc>
          <w:tcPr>
            <w:tcW w:type="dxa" w:w="1800"/>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 available</w:t>
            </w:r>
          </w:p>
        </w:tc>
        <w:tc>
          <w:tcPr>
            <w:tcW w:type="dxa" w:w="2600"/>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 of merged sample</w:t>
            </w:r>
          </w:p>
        </w:tc>
        <w:tc>
          <w:tcPr>
            <w:tcW w:type="dxa" w:w="2600"/>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 with CBC + label</w:t>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CBC panel</w:t>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7,593</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63.6%</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w:t>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Fasting glucose</w:t>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3,672</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30.8%</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3,657</w:t>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HbA1c</w:t>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6,715</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56.3%</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6,689</w:t>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Self-reported diabetes</w:t>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11,736</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98.3%</w:t>
            </w:r>
          </w:p>
        </w:tc>
        <w:tc>
          <w:tcPr>
            <w:tcW w:type="dxa" w:w="2600"/>
            <w:tcMar>
              <w:top w:type="dxa" w:w="60"/>
              <w:left w:type="dxa" w:w="100"/>
              <w:bottom w:type="dxa" w:w="60"/>
              <w:right w:type="dxa" w:w="100"/>
            </w:tcMar>
          </w:tcPr>
          <w:p>
            <w:r>
              <w:rPr>
                <w:rFonts w:ascii="Times New Roman" w:cs="Times New Roman" w:eastAsia="Times New Roman" w:hAnsi="Times New Roman"/>
                <w:sz w:val="20"/>
                <w:szCs w:val="20"/>
              </w:rPr>
              <w:t xml:space="preserve">7,592</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As a first look at the data (full distributions in code/01_eda_cbc_glucose_demographics.ipynb), CBC predictor values shift with HbA1c-defined glycemic status in the direction the literature above predicts for at least two parameters — white blood cell count and RDW both trend upward from normal to diabetes status — though the separation is modest relative to within-group spread, consistent with the mixed-strength associations reported in Section 2.</w:t>
      </w:r>
    </w:p>
    <w:p>
      <w:pPr>
        <w:spacing w:after="160" w:line="276"/>
      </w:pPr>
      <w:r>
        <w:rPr>
          <w:rFonts w:ascii="Times New Roman" w:cs="Times New Roman" w:eastAsia="Times New Roman" w:hAnsi="Times New Roman"/>
          <w:sz w:val="22"/>
          <w:szCs w:val="22"/>
        </w:rPr>
        <w:t xml:space="preserve">As a more direct test of the research question, code/02_baseline_model_and_figures.ipynb fits three classifiers on the subset with a complete CBC panel and HbA1c (n = 6,678; 717, or 10.7%, meet an HbA1c ≥ 6.5% exploratory label), on a 75/25 stratified train/test split (5,008 / 1,670): a demographics-only logistic regression, a CBC+demographics logistic regression, and a CBC+demographics random forest. Test-set AUROC rose from 0.743 (demographics only) to 0.783 (logistic, CBC+demographics) to 0.811 (random forest, CBC+demographics) — Figure 1 — direct evidence from our own data that CBC adds predictive value over demographics alone, matching the direction of the NHANES-based benchmark in [15]. For the random forest, NPV stayed high (89–99%) across every threshold tested; e.g., at a threshold flagging 450 of 1,670 test participants (27%), sensitivity was 67.6%, specificity 77.9%, and NPV 95.2% (full table in the notebook).</w:t>
      </w:r>
    </w:p>
    <w:p>
      <w:pPr>
        <w:spacing w:after="6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3815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0"/>
          <w:szCs w:val="20"/>
        </w:rPr>
        <w:t xml:space="preserve">Figure 1. ROC curves on held-out test data for a demographics-only model vs. two CBC+demographics models, predicting an exploratory HbA1c ≥ 6.5% label.</w:t>
      </w:r>
    </w:p>
    <w:p>
      <w:pPr>
        <w:spacing w:after="160" w:line="276"/>
      </w:pPr>
      <w:r>
        <w:rPr>
          <w:rFonts w:ascii="Times New Roman" w:cs="Times New Roman" w:eastAsia="Times New Roman" w:hAnsi="Times New Roman"/>
          <w:sz w:val="22"/>
          <w:szCs w:val="22"/>
        </w:rPr>
        <w:t xml:space="preserve">What we learned. CBC-based signal measurably improves on a demographics-only baseline in our own data, not just in the cited literature — encouraging feasibility evidence for the research question itself. It also sharpens two constraints: (1) the outcome-definition choice (Section 4) remains genuinely open — the result above uses only the HbA1c ≥ 6.5% exploratory label, not a final decision; and (2) feature importances place age far ahead of any single CBC parameter (WBC, MCV, RDW, platelet, RBC each contribute modestly), reinforcing that a multivariable model, not a single-variable rule, is necessary.</w:t>
      </w:r>
    </w:p>
    <w:p>
      <w:pPr>
        <w:spacing w:after="160" w:line="276"/>
      </w:pPr>
      <w:r>
        <w:rPr>
          <w:rFonts w:ascii="Times New Roman" w:cs="Times New Roman" w:eastAsia="Times New Roman" w:hAnsi="Times New Roman"/>
          <w:sz w:val="22"/>
          <w:szCs w:val="22"/>
        </w:rPr>
        <w:t xml:space="preserve">Remaining limitations. We have not applied NHANES survey weights (Section 3), so these results describe our analytic sample, not the US population. The target label is exploratory, not decided (Section 4). The baseline model has not been validated with cross-validation or bootstrap confidence intervals, compared against a single-variable rule, or paired with a cost-weighted decision analysis — all planned before the final report (full list in the notebook's "Next steps").</w:t>
      </w:r>
    </w:p>
    <w:p>
      <w:pPr>
        <w:pStyle w:val="Heading2"/>
        <w:spacing w:after="120" w:before="240"/>
      </w:pPr>
      <w:r>
        <w:rPr>
          <w:rFonts w:ascii="Times New Roman" w:cs="Times New Roman" w:eastAsia="Times New Roman" w:hAnsi="Times New Roman"/>
          <w:b/>
          <w:bCs/>
          <w:sz w:val="26"/>
          <w:szCs w:val="26"/>
        </w:rPr>
        <w:t xml:space="preserve">Section 6 — Teamwork and Project Plan</w:t>
      </w:r>
    </w:p>
    <w:p>
      <w:pPr>
        <w:spacing w:after="160" w:line="276"/>
      </w:pPr>
      <w:r>
        <w:rPr>
          <w:rFonts w:ascii="Times New Roman" w:cs="Times New Roman" w:eastAsia="Times New Roman" w:hAnsi="Times New Roman"/>
          <w:sz w:val="22"/>
          <w:szCs w:val="22"/>
        </w:rPr>
        <w:t xml:space="preserve">Our workstream plan assigns a lead and supporting members to each major deliverable, with standing weekly roles — a Project Manager (deadlines/check-ins), a Coordinator (scheduling), an Editor (writing review), and a Reviewer (methods/source verification) — running every week regardless of which deliverable is active.</w:t>
      </w:r>
    </w:p>
    <w:p>
      <w:pPr>
        <w:spacing w:after="160" w:line="276"/>
      </w:pPr>
      <w:r>
        <w:rPr>
          <w:rFonts w:ascii="Times New Roman" w:cs="Times New Roman" w:eastAsia="Times New Roman" w:hAnsi="Times New Roman"/>
          <w:sz w:val="22"/>
          <w:szCs w:val="22"/>
        </w:rPr>
        <w:t xml:space="preserve">From this Midterm Research Plan through the final submission (Dec. 4), the major milestones are:</w:t>
      </w:r>
    </w:p>
    <w:p>
      <w:pPr>
        <w:pStyle w:val="ListParagraph"/>
        <w:numPr>
          <w:ilvl w:val="0"/>
          <w:numId w:val="1"/>
        </w:numPr>
        <w:spacing w:after="160" w:line="276"/>
      </w:pPr>
      <w:r>
        <w:rPr>
          <w:rFonts w:ascii="Times New Roman" w:cs="Times New Roman" w:eastAsia="Times New Roman" w:hAnsi="Times New Roman"/>
          <w:sz w:val="22"/>
          <w:szCs w:val="22"/>
        </w:rPr>
        <w:t xml:space="preserve">Oct 19–23: finalize the target-label decision (Section 4) and apply NHANES survey weights; begin G. Assignment 3 (End-User/Stakeholder Analysis).</w:t>
      </w:r>
    </w:p>
    <w:p>
      <w:pPr>
        <w:pStyle w:val="ListParagraph"/>
        <w:numPr>
          <w:ilvl w:val="0"/>
          <w:numId w:val="1"/>
        </w:numPr>
        <w:spacing w:after="160" w:line="276"/>
      </w:pPr>
      <w:r>
        <w:rPr>
          <w:rFonts w:ascii="Times New Roman" w:cs="Times New Roman" w:eastAsia="Times New Roman" w:hAnsi="Times New Roman"/>
          <w:sz w:val="22"/>
          <w:szCs w:val="22"/>
        </w:rPr>
        <w:t xml:space="preserve">Oct 26–Nov 6: extend the baseline models in code/02_baseline_model_and_figures.ipynb with full cross-validation and threshold analysis; begin G. Assignment 4 (Failure Modes + Analysis).</w:t>
      </w:r>
    </w:p>
    <w:p>
      <w:pPr>
        <w:pStyle w:val="ListParagraph"/>
        <w:numPr>
          <w:ilvl w:val="0"/>
          <w:numId w:val="1"/>
        </w:numPr>
        <w:spacing w:after="160" w:line="276"/>
      </w:pPr>
      <w:r>
        <w:rPr>
          <w:rFonts w:ascii="Times New Roman" w:cs="Times New Roman" w:eastAsia="Times New Roman" w:hAnsi="Times New Roman"/>
          <w:sz w:val="22"/>
          <w:szCs w:val="22"/>
        </w:rPr>
        <w:t xml:space="preserve">Nov 9–20: complete the sensitivity/NPV evaluation across thresholds with confidence intervals; G. Assignment 5 (Ethics and Regulations).</w:t>
      </w:r>
    </w:p>
    <w:p>
      <w:pPr>
        <w:pStyle w:val="ListParagraph"/>
        <w:numPr>
          <w:ilvl w:val="0"/>
          <w:numId w:val="1"/>
        </w:numPr>
        <w:spacing w:after="160" w:line="276"/>
      </w:pPr>
      <w:r>
        <w:rPr>
          <w:rFonts w:ascii="Times New Roman" w:cs="Times New Roman" w:eastAsia="Times New Roman" w:hAnsi="Times New Roman"/>
          <w:sz w:val="22"/>
          <w:szCs w:val="22"/>
        </w:rPr>
        <w:t xml:space="preserve">Nov 23–27: G. Assignment 6 (Design Critique); translate model output into a draft test-recommendation policy.</w:t>
      </w:r>
    </w:p>
    <w:p>
      <w:pPr>
        <w:pStyle w:val="ListParagraph"/>
        <w:numPr>
          <w:ilvl w:val="0"/>
          <w:numId w:val="1"/>
        </w:numPr>
        <w:spacing w:after="160" w:line="276"/>
      </w:pPr>
      <w:r>
        <w:rPr>
          <w:rFonts w:ascii="Times New Roman" w:cs="Times New Roman" w:eastAsia="Times New Roman" w:hAnsi="Times New Roman"/>
          <w:sz w:val="22"/>
          <w:szCs w:val="22"/>
        </w:rPr>
        <w:t xml:space="preserve">Nov 30–Dec 4: Final Report and final presentation, integrating all prior workstreams.</w:t>
      </w:r>
    </w:p>
    <w:p>
      <w:pPr>
        <w:spacing w:after="160" w:line="276"/>
      </w:pPr>
      <w:r>
        <w:rPr>
          <w:rFonts w:ascii="Times New Roman" w:cs="Times New Roman" w:eastAsia="Times New Roman" w:hAnsi="Times New Roman"/>
          <w:sz w:val="22"/>
          <w:szCs w:val="22"/>
        </w:rPr>
        <w:t xml:space="preserve">Each literature-review and section-review pass follows the standing-role pattern in the Team Contract: the assigned lead integrates evidence into their section, the Editor reviews for clarity and consistency, the Reviewer fact-checks sources and verifies methods, and all other members read the draft and challenge assumptions before anything is submitted.</w:t>
      </w:r>
    </w:p>
    <w:p>
      <w:pPr>
        <w:pStyle w:val="Heading2"/>
        <w:spacing w:after="120" w:before="240"/>
      </w:pPr>
      <w:r>
        <w:rPr>
          <w:rFonts w:ascii="Times New Roman" w:cs="Times New Roman" w:eastAsia="Times New Roman" w:hAnsi="Times New Roman"/>
          <w:b/>
          <w:bCs/>
          <w:sz w:val="26"/>
          <w:szCs w:val="26"/>
        </w:rPr>
        <w:t xml:space="preserve">Data and Code Availability</w:t>
      </w:r>
    </w:p>
    <w:p>
      <w:pPr>
        <w:spacing w:after="160" w:line="276"/>
      </w:pPr>
      <w:r>
        <w:rPr>
          <w:rFonts w:ascii="Times New Roman" w:cs="Times New Roman" w:eastAsia="Times New Roman" w:hAnsi="Times New Roman"/>
          <w:sz w:val="22"/>
          <w:szCs w:val="22"/>
        </w:rPr>
        <w:t xml:space="preserve">Dataset source: NHANES 2021–2023 cycle, CDC/NCHS, publicly available at wwwn.cdc.gov/nchs/nhanes (de-identified public-use files; no data use agreement or restriction applies).</w:t>
      </w:r>
    </w:p>
    <w:p>
      <w:pPr>
        <w:spacing w:after="160" w:line="276"/>
      </w:pPr>
      <w:r>
        <w:rPr>
          <w:rFonts w:ascii="Times New Roman" w:cs="Times New Roman" w:eastAsia="Times New Roman" w:hAnsi="Times New Roman"/>
          <w:sz w:val="22"/>
          <w:szCs w:val="22"/>
        </w:rPr>
        <w:t xml:space="preserve">GitHub repository: </w:t>
      </w:r>
      <w:r>
        <w:rPr>
          <w:rFonts w:ascii="Times New Roman" w:cs="Times New Roman" w:eastAsia="Times New Roman" w:hAnsi="Times New Roman"/>
          <w:sz w:val="22"/>
          <w:szCs w:val="22"/>
        </w:rPr>
        <w:t xml:space="preserve">https://github.com/hamidsaeed13/VORTEX-BMEN-600-Project</w:t>
      </w:r>
    </w:p>
    <w:p>
      <w:pPr>
        <w:pStyle w:val="ListParagraph"/>
        <w:numPr>
          <w:ilvl w:val="0"/>
          <w:numId w:val="1"/>
        </w:numPr>
        <w:spacing w:after="160" w:line="276"/>
      </w:pPr>
      <w:r>
        <w:rPr>
          <w:rFonts w:ascii="Times New Roman" w:cs="Times New Roman" w:eastAsia="Times New Roman" w:hAnsi="Times New Roman"/>
          <w:sz w:val="22"/>
          <w:szCs w:val="22"/>
        </w:rPr>
        <w:t xml:space="preserve">README.md — front page with the research question, dataset access instructions, and a map of the repository.</w:t>
      </w:r>
    </w:p>
    <w:p>
      <w:pPr>
        <w:pStyle w:val="ListParagraph"/>
        <w:numPr>
          <w:ilvl w:val="0"/>
          <w:numId w:val="1"/>
        </w:numPr>
        <w:spacing w:after="160" w:line="276"/>
      </w:pPr>
      <w:r>
        <w:rPr>
          <w:rFonts w:ascii="Times New Roman" w:cs="Times New Roman" w:eastAsia="Times New Roman" w:hAnsi="Times New Roman"/>
          <w:sz w:val="22"/>
          <w:szCs w:val="22"/>
        </w:rPr>
        <w:t xml:space="preserve">code/01_eda_cbc_glucose_demographics.ipynb — loads the five NHANES components, merges them on SEQN, and produces the coverage table, demographic/CBC distribution figures, and descriptive statistics.</w:t>
      </w:r>
    </w:p>
    <w:p>
      <w:pPr>
        <w:pStyle w:val="ListParagraph"/>
        <w:numPr>
          <w:ilvl w:val="0"/>
          <w:numId w:val="1"/>
        </w:numPr>
        <w:spacing w:after="160" w:line="276"/>
      </w:pPr>
      <w:r>
        <w:rPr>
          <w:rFonts w:ascii="Times New Roman" w:cs="Times New Roman" w:eastAsia="Times New Roman" w:hAnsi="Times New Roman"/>
          <w:sz w:val="22"/>
          <w:szCs w:val="22"/>
        </w:rPr>
        <w:t xml:space="preserve">code/02_baseline_model_and_figures.ipynb — the exploratory baseline models, ROC curves, and threshold table reported in Section 5.</w:t>
      </w:r>
    </w:p>
    <w:p>
      <w:pPr>
        <w:pStyle w:val="ListParagraph"/>
        <w:numPr>
          <w:ilvl w:val="0"/>
          <w:numId w:val="1"/>
        </w:numPr>
        <w:spacing w:after="160" w:line="276"/>
      </w:pPr>
      <w:r>
        <w:rPr>
          <w:rFonts w:ascii="Times New Roman" w:cs="Times New Roman" w:eastAsia="Times New Roman" w:hAnsi="Times New Roman"/>
          <w:sz w:val="22"/>
          <w:szCs w:val="22"/>
        </w:rPr>
        <w:t xml:space="preserve">Software and setup: Python 3 run via Jupyter; core packages pandas, numpy, matplotlib, and scikit-learn.</w:t>
      </w:r>
    </w:p>
    <w:p>
      <w:pPr>
        <w:pStyle w:val="ListParagraph"/>
        <w:numPr>
          <w:ilvl w:val="0"/>
          <w:numId w:val="1"/>
        </w:numPr>
        <w:spacing w:after="160" w:line="276"/>
      </w:pPr>
      <w:r>
        <w:rPr>
          <w:rFonts w:ascii="Times New Roman" w:cs="Times New Roman" w:eastAsia="Times New Roman" w:hAnsi="Times New Roman"/>
          <w:sz w:val="22"/>
          <w:szCs w:val="22"/>
        </w:rPr>
        <w:t xml:space="preserve">Organized files: data/raw/ (NHANES .xpt + .htm codebooks), code/ (notebooks), literature_review/ (source papers for Section 2, with a README documenting exactly what was verified against each one), Team Contract.pdf and Team_Workstream_Plan.xlsx (team process documents).</w:t>
      </w:r>
    </w:p>
    <w:p>
      <w:pPr>
        <w:pStyle w:val="Heading2"/>
        <w:spacing w:after="120" w:before="240"/>
      </w:pPr>
      <w:r>
        <w:rPr>
          <w:rFonts w:ascii="Times New Roman" w:cs="Times New Roman" w:eastAsia="Times New Roman" w:hAnsi="Times New Roman"/>
          <w:b/>
          <w:bCs/>
          <w:sz w:val="26"/>
          <w:szCs w:val="26"/>
        </w:rPr>
        <w:t xml:space="preserve">AI-Assisted Work</w:t>
      </w:r>
    </w:p>
    <w:p>
      <w:pPr>
        <w:spacing w:after="160" w:line="276"/>
      </w:pPr>
      <w:r>
        <w:rPr>
          <w:rFonts w:ascii="Times New Roman" w:cs="Times New Roman" w:eastAsia="Times New Roman" w:hAnsi="Times New Roman"/>
          <w:sz w:val="22"/>
          <w:szCs w:val="22"/>
        </w:rPr>
        <w:t xml:space="preserve">Team members used AI tools (including Claude Code, ChatGPT, and Consensus) to support literature search and triage, drafting, data-analysis code, and troubleshooting, consistent with the Team Contract's expectation to use AI as a supporting tool rather than a replacement for the team's own judgment. Every AI-suggested scholarly source was checked for legitimacy against the publisher or an independent index (PubMed/Europe PMC), and every specific statistic or finding quoted in Section 2 was cross-checked against that source's actual full text rather than taken from an abstract summary — see literature_review/README.md for exactly what was verified, what was corrected from an earlier draft pass, and which four sources could not be independently verified and are therefore cited only at the level of their title. Per the Team Contract's standing roles, the Reviewer is responsible for a final fact-check of AI-assisted analyses and sources before submission, and all code in the repository, including the new baseline-model notebook, is runnable directly from the committed files.</w:t>
      </w:r>
    </w:p>
    <w:p>
      <w:pPr>
        <w:pStyle w:val="Heading2"/>
        <w:spacing w:after="120" w:before="240"/>
      </w:pPr>
      <w:r>
        <w:rPr>
          <w:rFonts w:ascii="Times New Roman" w:cs="Times New Roman" w:eastAsia="Times New Roman" w:hAnsi="Times New Roman"/>
          <w:b/>
          <w:bCs/>
          <w:sz w:val="26"/>
          <w:szCs w:val="26"/>
        </w:rPr>
        <w:t xml:space="preserve">Author Contributions</w:t>
      </w:r>
    </w:p>
    <w:p>
      <w:pPr>
        <w:spacing w:after="160" w:line="276"/>
      </w:pPr>
      <w:r>
        <w:rPr>
          <w:rFonts w:ascii="Times New Roman" w:cs="Times New Roman" w:eastAsia="Times New Roman" w:hAnsi="Times New Roman"/>
          <w:sz w:val="22"/>
          <w:szCs w:val="22"/>
        </w:rPr>
        <w:t xml:space="preserve">[Stated here by standing role rather than by name for this draft; before final submission this section should name each team member's specific contribution, per the rubric's requirement.] The Project Manager defined the research question and problem statement, acquired and merged the NHANES dataset, authored this Research Plan draft, implemented the preliminary baseline model (Section 5), and conducted the literature search and full-text verification for Section 2. The Coordinator contributed descriptive-statistics analysis incorporated into Section 5. The Editor is to review this draft for clarity and consistency prior to submission, per standing role. The Reviewer is to fact-check sources and verify methods prior to submission, per standing role. The Presentation Lead's contribution to this document is to be added.</w:t>
      </w:r>
    </w:p>
    <w:p>
      <w:r>
        <w:br w:type="page"/>
      </w:r>
    </w:p>
    <w:p>
      <w:pPr>
        <w:pStyle w:val="Heading2"/>
        <w:spacing w:after="120" w:before="240"/>
      </w:pPr>
      <w:r>
        <w:rPr>
          <w:rFonts w:ascii="Times New Roman" w:cs="Times New Roman" w:eastAsia="Times New Roman" w:hAnsi="Times New Roman"/>
          <w:b/>
          <w:bCs/>
          <w:sz w:val="26"/>
          <w:szCs w:val="26"/>
        </w:rPr>
        <w:t xml:space="preserve">References</w:t>
      </w:r>
    </w:p>
    <w:p>
      <w:pPr>
        <w:spacing w:after="120" w:line="264"/>
        <w:ind w:left="360" w:hanging="360"/>
      </w:pPr>
      <w:r>
        <w:rPr>
          <w:rFonts w:ascii="Times New Roman" w:cs="Times New Roman" w:eastAsia="Times New Roman" w:hAnsi="Times New Roman"/>
          <w:sz w:val="20"/>
          <w:szCs w:val="20"/>
        </w:rPr>
        <w:t xml:space="preserve">[1]	S. Horton, K. A. Fleming, M. Kuti, L.-M. Looi, S. A. Pai, S. Sayed, and M. L. Wilson, "The Top 25 Laboratory Tests by Volume and Revenue in Five Different Countries," Am. J. Clin. Pathol., vol. 151, no. 5, pp. 446–451, Apr. 2019, doi: 10.1093/ajcp/aqy165.</w:t>
      </w:r>
    </w:p>
    <w:p>
      <w:pPr>
        <w:spacing w:after="120" w:line="264"/>
        <w:ind w:left="360" w:hanging="360"/>
      </w:pPr>
      <w:r>
        <w:rPr>
          <w:rFonts w:ascii="Times New Roman" w:cs="Times New Roman" w:eastAsia="Times New Roman" w:hAnsi="Times New Roman"/>
          <w:sz w:val="20"/>
          <w:szCs w:val="20"/>
        </w:rPr>
        <w:t xml:space="preserve">[2]	International Diabetes Federation, IDF Diabetes Atlas, 11th ed. Brussels, Belgium: International Diabetes Federation, 2025. [Online]. Available: https://diabetesatlas.org</w:t>
      </w:r>
    </w:p>
    <w:p>
      <w:pPr>
        <w:spacing w:after="120" w:line="264"/>
        <w:ind w:left="360" w:hanging="360"/>
      </w:pPr>
      <w:r>
        <w:rPr>
          <w:rFonts w:ascii="Times New Roman" w:cs="Times New Roman" w:eastAsia="Times New Roman" w:hAnsi="Times New Roman"/>
          <w:sz w:val="20"/>
          <w:szCs w:val="20"/>
        </w:rPr>
        <w:t xml:space="preserve">[3]	J. A. Gwira, C. D. Fryar, and Q. Gu, "Prevalence of total, diagnosed, and undiagnosed diabetes in adults: United States, August 2021–August 2023," National Center for Health Statistics, Hyattsville, MD, NCHS Data Brief 516, Nov. 2024, doi: 10.15620/cdc/165794.</w:t>
      </w:r>
    </w:p>
    <w:p>
      <w:pPr>
        <w:spacing w:after="120" w:line="264"/>
        <w:ind w:left="360" w:hanging="360"/>
      </w:pPr>
      <w:r>
        <w:rPr>
          <w:rFonts w:ascii="Times New Roman" w:cs="Times New Roman" w:eastAsia="Times New Roman" w:hAnsi="Times New Roman"/>
          <w:sz w:val="20"/>
          <w:szCs w:val="20"/>
        </w:rPr>
        <w:t xml:space="preserve">[4]	Centers for Disease Control and Prevention, "A U.S. Report Card," Diabetes. [Online]. Available: https://www.cdc.gov/diabetes/communication-resources/diabetes-statistics.html</w:t>
      </w:r>
    </w:p>
    <w:p>
      <w:pPr>
        <w:spacing w:after="120" w:line="264"/>
        <w:ind w:left="360" w:hanging="360"/>
      </w:pPr>
      <w:r>
        <w:rPr>
          <w:rFonts w:ascii="Times New Roman" w:cs="Times New Roman" w:eastAsia="Times New Roman" w:hAnsi="Times New Roman"/>
          <w:sz w:val="20"/>
          <w:szCs w:val="20"/>
        </w:rPr>
        <w:t xml:space="preserve">[5]	X. Guo, N. Zhang, B. Li, X. Yu, J. Guo, and G. Dan, "Using machine learning to identify individuals at elevated risk of diabetes from low-cost complete blood count data for opportunistic screening," Sci. Rep., vol. 16, Art. no. 29445, 2026, doi: 10.1038/s41598-026-59213-3.</w:t>
      </w:r>
    </w:p>
    <w:p>
      <w:pPr>
        <w:spacing w:after="120" w:line="264"/>
        <w:ind w:left="360" w:hanging="360"/>
      </w:pPr>
      <w:r>
        <w:rPr>
          <w:rFonts w:ascii="Times New Roman" w:cs="Times New Roman" w:eastAsia="Times New Roman" w:hAnsi="Times New Roman"/>
          <w:sz w:val="20"/>
          <w:szCs w:val="20"/>
        </w:rPr>
        <w:t xml:space="preserve">[6]	A. Mansoori et al., "Prediction of type 2 diabetes mellitus using hematological factors based on machine learning approaches: a cohort study analysis," Sci. Rep., vol. 12, Jan. 2022, doi: 10.1038/s41598-022-27340-2.</w:t>
      </w:r>
    </w:p>
    <w:p>
      <w:pPr>
        <w:spacing w:after="120" w:line="264"/>
        <w:ind w:left="360" w:hanging="360"/>
      </w:pPr>
      <w:r>
        <w:rPr>
          <w:rFonts w:ascii="Times New Roman" w:cs="Times New Roman" w:eastAsia="Times New Roman" w:hAnsi="Times New Roman"/>
          <w:sz w:val="20"/>
          <w:szCs w:val="20"/>
        </w:rPr>
        <w:t xml:space="preserve">[7]	N. Kamkar, S. Behzadi, V. Mahdavizadeh, M. Maali Tafti, A. Mansoori, M. Poudineh, H. Esmaily, and M. Ghayour-Mobarhan, "A machine learning-based framework for predicting type 2 diabetes mellitus using hematological indices," Am. Heart J. Plus, 2026, doi: 10.1016/j.ahjo.2026.100854.</w:t>
      </w:r>
    </w:p>
    <w:p>
      <w:pPr>
        <w:spacing w:after="120" w:line="264"/>
        <w:ind w:left="360" w:hanging="360"/>
      </w:pPr>
      <w:r>
        <w:rPr>
          <w:rFonts w:ascii="Times New Roman" w:cs="Times New Roman" w:eastAsia="Times New Roman" w:hAnsi="Times New Roman"/>
          <w:sz w:val="20"/>
          <w:szCs w:val="20"/>
        </w:rPr>
        <w:t xml:space="preserve">[8]	V. Veeranna, S. K. Zalawadiya, S. S. Panaich, K. Ramesh, and L. Afonso, "The Association of Red Cell Distribution Width with Glycated Hemoglobin among Healthy Adults without Diabetes Mellitus," Cardiology, vol. 122, no. 2, pp. 129–132, 2012, doi: 10.1159/000339225.</w:t>
      </w:r>
    </w:p>
    <w:p>
      <w:pPr>
        <w:spacing w:after="120" w:line="264"/>
        <w:ind w:left="360" w:hanging="360"/>
      </w:pPr>
      <w:r>
        <w:rPr>
          <w:rFonts w:ascii="Times New Roman" w:cs="Times New Roman" w:eastAsia="Times New Roman" w:hAnsi="Times New Roman"/>
          <w:sz w:val="20"/>
          <w:szCs w:val="20"/>
        </w:rPr>
        <w:t xml:space="preserve">[9]	G. Engström, J. G. Smith, M. Persson, P. M. Nilsson, O. Melander, and B. Hedblad, "Red cell distribution width, haemoglobin A1c and incidence of diabetes mellitus," J. Intern. Med., vol. 276, no. 2, pp. 174–183, Aug. 2014, doi: 10.1111/joim.12188.</w:t>
      </w:r>
    </w:p>
    <w:p>
      <w:pPr>
        <w:spacing w:after="120" w:line="264"/>
        <w:ind w:left="360" w:hanging="360"/>
      </w:pPr>
      <w:r>
        <w:rPr>
          <w:rFonts w:ascii="Times New Roman" w:cs="Times New Roman" w:eastAsia="Times New Roman" w:hAnsi="Times New Roman"/>
          <w:sz w:val="20"/>
          <w:szCs w:val="20"/>
        </w:rPr>
        <w:t xml:space="preserve">[10]	J.-M. Park, H. S. Lee, J.-Y. Park, D.-H. Jung, and J.-W. Lee, "White Blood Cell Count as a Predictor of Incident Type 2 Diabetes Mellitus Among Non-Obese Adults: A Longitudinal 10-Year Analysis of the Korean Genome and Epidemiology Study," J. Inflamm. Res., vol. 14, pp. 1235–1242, Apr. 2021, doi: 10.2147/JIR.S300026.</w:t>
      </w:r>
    </w:p>
    <w:p>
      <w:pPr>
        <w:spacing w:after="120" w:line="264"/>
        <w:ind w:left="360" w:hanging="360"/>
      </w:pPr>
      <w:r>
        <w:rPr>
          <w:rFonts w:ascii="Times New Roman" w:cs="Times New Roman" w:eastAsia="Times New Roman" w:hAnsi="Times New Roman"/>
          <w:sz w:val="20"/>
          <w:szCs w:val="20"/>
        </w:rPr>
        <w:t xml:space="preserve">[11]	E. Gkrania-Klotsas et al., "Differential white blood cell count and type 2 diabetes: Systematic review and meta-analysis of cross-sectional and prospective studies," PLoS ONE, vol. 5, no. 10, Art. no. e13405, Oct. 2010, doi: 10.1371/journal.pone.0013405.</w:t>
      </w:r>
    </w:p>
    <w:p>
      <w:pPr>
        <w:spacing w:after="120" w:line="264"/>
        <w:ind w:left="360" w:hanging="360"/>
      </w:pPr>
      <w:r>
        <w:rPr>
          <w:rFonts w:ascii="Times New Roman" w:cs="Times New Roman" w:eastAsia="Times New Roman" w:hAnsi="Times New Roman"/>
          <w:sz w:val="20"/>
          <w:szCs w:val="20"/>
        </w:rPr>
        <w:t xml:space="preserve">[12]	C. Lorenzo, A. J. Hanley, and S. M. Haffner, "Differential white cell count and incident type 2 diabetes: The Insulin Resistance Atherosclerosis Study," Diabetologia, vol. 57, no. 1, pp. 83–92, Jan. 2014, doi: 10.1007/s00125-013-3080-0.</w:t>
      </w:r>
    </w:p>
    <w:p>
      <w:pPr>
        <w:spacing w:after="120" w:line="264"/>
        <w:ind w:left="360" w:hanging="360"/>
      </w:pPr>
      <w:r>
        <w:rPr>
          <w:rFonts w:ascii="Times New Roman" w:cs="Times New Roman" w:eastAsia="Times New Roman" w:hAnsi="Times New Roman"/>
          <w:sz w:val="20"/>
          <w:szCs w:val="20"/>
        </w:rPr>
        <w:t xml:space="preserve">[13]	C. Mertoglu and M. Gunay, "Neutrophil-Lymphocyte ratio and Platelet-Lymphocyte ratio as useful predictive markers of prediabetes and diabetes mellitus," Diabetes Metab. Syndr., vol. 11, suppl. 1, pp. S127–S131, Nov. 2017, doi: 10.1016/j.dsx.2016.12.021.</w:t>
      </w:r>
    </w:p>
    <w:p>
      <w:pPr>
        <w:spacing w:after="120" w:line="264"/>
        <w:ind w:left="360" w:hanging="360"/>
      </w:pPr>
      <w:r>
        <w:rPr>
          <w:rFonts w:ascii="Times New Roman" w:cs="Times New Roman" w:eastAsia="Times New Roman" w:hAnsi="Times New Roman"/>
          <w:sz w:val="20"/>
          <w:szCs w:val="20"/>
        </w:rPr>
        <w:t xml:space="preserve">[14]	Md. A. Rahman, L. F. Abdulrazak, Md. M. Ali, I. Mahmud, K. Ahmed, and F. M. Bui, "Machine Learning-Based Approach for Predicting Diabetes Employing Socio-Demographic Characteristics," Algorithms, vol. 16, no. 11, Art. no. 503, 2023, doi: 10.3390/a16110503.</w:t>
      </w:r>
    </w:p>
    <w:p>
      <w:pPr>
        <w:spacing w:after="120" w:line="264"/>
        <w:ind w:left="360" w:hanging="360"/>
      </w:pPr>
      <w:r>
        <w:rPr>
          <w:rFonts w:ascii="Times New Roman" w:cs="Times New Roman" w:eastAsia="Times New Roman" w:hAnsi="Times New Roman"/>
          <w:sz w:val="20"/>
          <w:szCs w:val="20"/>
        </w:rPr>
        <w:t xml:space="preserve">[15]	J. Liu, F. Ssewamala, R. An, and M. Ji, "Use of automated machine learning to detect undiagnosed diabetes in US adults: Development and validation study," JMIR AI, vol. 4, Art. no. e68260, Oct. 2025, doi: 10.2196/68260.</w:t>
      </w:r>
    </w:p>
    <w:p>
      <w:pPr>
        <w:spacing w:after="120" w:line="264"/>
        <w:ind w:left="360" w:hanging="360"/>
      </w:pPr>
      <w:r>
        <w:rPr>
          <w:rFonts w:ascii="Times New Roman" w:cs="Times New Roman" w:eastAsia="Times New Roman" w:hAnsi="Times New Roman"/>
          <w:sz w:val="20"/>
          <w:szCs w:val="20"/>
        </w:rPr>
        <w:t xml:space="preserve">[16]	E. English, I. Idris, G. Smith, K. Dhatariya, E. S. Kilpatrick, and W. G. John, "The effect of anaemia and abnormalities of erythrocyte indices on HbA1c analysis: A systematic review," Diabetologia, vol. 58, no. 7, pp. 1409–1421, Jul. 2015, doi: 10.1007/s00125-015-3599-3.</w:t>
      </w:r>
    </w:p>
    <w:p>
      <w:pPr>
        <w:spacing w:after="120" w:line="264"/>
        <w:ind w:left="360" w:hanging="360"/>
      </w:pPr>
      <w:r>
        <w:rPr>
          <w:rFonts w:ascii="Times New Roman" w:cs="Times New Roman" w:eastAsia="Times New Roman" w:hAnsi="Times New Roman"/>
          <w:sz w:val="20"/>
          <w:szCs w:val="20"/>
        </w:rPr>
        <w:t xml:space="preserve">[17]	M. McDermott, A. Dighe, P. Szolovits, Y. Luo, and J. Baron, "Using Machine Learning to Develop Smart Reflex Testing Protocols," arXiv:2302.00794, Feb. 2023.</w:t>
      </w:r>
    </w:p>
    <w:p>
      <w:pPr>
        <w:spacing w:after="120" w:line="264"/>
        <w:ind w:left="360" w:hanging="360"/>
      </w:pPr>
      <w:r>
        <w:rPr>
          <w:rFonts w:ascii="Times New Roman" w:cs="Times New Roman" w:eastAsia="Times New Roman" w:hAnsi="Times New Roman"/>
          <w:sz w:val="20"/>
          <w:szCs w:val="20"/>
        </w:rPr>
        <w:t xml:space="preserve">[18]	H. Bang et al., "Development and validation of a patient self-assessment score for diabetes risk," Ann. Intern. Med., vol. 151, no. 11, pp. 775–783, Dec. 2009, doi: 10.7326/0003-4819-151-11-200912010-00005.</w:t>
      </w:r>
    </w:p>
    <w:p>
      <w:pPr>
        <w:spacing w:after="120" w:line="264"/>
        <w:ind w:left="360" w:hanging="360"/>
      </w:pPr>
      <w:r>
        <w:rPr>
          <w:rFonts w:ascii="Times New Roman" w:cs="Times New Roman" w:eastAsia="Times New Roman" w:hAnsi="Times New Roman"/>
          <w:sz w:val="20"/>
          <w:szCs w:val="20"/>
        </w:rPr>
        <w:t xml:space="preserve">[19]	Centers for Disease Control and Prevention, National Center for Health Statistics, "National Health and Nutrition Examination Survey, 2021–2023." [Online]. Available: https://wwwn.cdc.gov/nchs/nhanes/</w:t>
      </w:r>
    </w:p>
    <w:p>
      <w:pPr>
        <w:spacing w:after="120" w:line="264"/>
        <w:ind w:left="360" w:hanging="360"/>
      </w:pPr>
      <w:r>
        <w:rPr>
          <w:rFonts w:ascii="Times New Roman" w:cs="Times New Roman" w:eastAsia="Times New Roman" w:hAnsi="Times New Roman"/>
          <w:sz w:val="20"/>
          <w:szCs w:val="20"/>
        </w:rPr>
        <w:t xml:space="preserve">[20]	Y. Yin, S. Ye, H. Wang, B. Li, A. Wang, W. Yan, J. Dou, and Y. Mu, "Red blood cell distribution width and the risk of being in poor glycemic control among patients with established type 2 diabetes," Ther. Clin. Risk Manag., vol. 14, pp. 265–273, 2018, doi: 10.2147/TCRM.S155753.</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orvbv-o3yhbggex01nll" Type="http://schemas.openxmlformats.org/officeDocument/2006/relationships/hyperlink" Target="https://github.com/hamidsaeed13/VORTEX-BMEN-600-Project" TargetMode="External"/><Relationship Id="rId9" Type="http://schemas.openxmlformats.org/officeDocument/2006/relationships/image" Target="media/b688ab81d16b7423e00c5bd560296c74e839a2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2026-10-15T05:48:46.755Z</dcterms:created>
  <dcterms:modified xsi:type="dcterms:W3CDTF">2026-10-15T05:48:46.756Z</dcterms:modified>
</cp:coreProperties>
</file>

<file path=docProps/custom.xml><?xml version="1.0" encoding="utf-8"?>
<Properties xmlns="http://schemas.openxmlformats.org/officeDocument/2006/custom-properties" xmlns:vt="http://schemas.openxmlformats.org/officeDocument/2006/docPropsVTypes"/>
</file>