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669" w:rsidRPr="00907618" w:rsidRDefault="00425669" w:rsidP="00FA12D8">
      <w:pPr>
        <w:spacing w:line="480" w:lineRule="auto"/>
        <w:rPr>
          <w:sz w:val="30"/>
          <w:szCs w:val="30"/>
        </w:rPr>
      </w:pPr>
      <w:r w:rsidRPr="00907618">
        <w:rPr>
          <w:sz w:val="30"/>
          <w:szCs w:val="30"/>
        </w:rPr>
        <w:t>Abstract</w:t>
      </w:r>
    </w:p>
    <w:p w:rsidR="00425669" w:rsidRPr="00907618" w:rsidRDefault="00425669" w:rsidP="00FA12D8">
      <w:pPr>
        <w:spacing w:line="480" w:lineRule="auto"/>
        <w:rPr>
          <w:sz w:val="30"/>
          <w:szCs w:val="30"/>
        </w:rPr>
      </w:pPr>
      <w:r w:rsidRPr="00907618">
        <w:rPr>
          <w:sz w:val="30"/>
          <w:szCs w:val="30"/>
        </w:rPr>
        <w:t>During the coronavirus pandemic, religious misinformation has been found on social media platforms causing fear, confusion, and polluting the Middle East and North Africa (MENA) regions online sphere. Exploring cases of religious clickbait in the form of false hadiths and viral religious advice from religious figures entrenched in the MENAs political elite, this essay discusses how new dynamics for religion in the age of the Internet are contributing to a uniquely regional and religious form of misinformation. This essay looks at how the phenomenon of religious misinformation is a defining characteristic of the MENAs online sphere, becoming even more acute during the COVID19 pandemic.</w:t>
      </w:r>
    </w:p>
    <w:p w:rsidR="00425669" w:rsidRPr="00907618" w:rsidRDefault="00425669" w:rsidP="00FA12D8">
      <w:pPr>
        <w:spacing w:line="480" w:lineRule="auto"/>
        <w:rPr>
          <w:sz w:val="30"/>
          <w:szCs w:val="30"/>
        </w:rPr>
      </w:pPr>
    </w:p>
    <w:p w:rsidR="00425669" w:rsidRPr="00907618" w:rsidRDefault="00425669" w:rsidP="00FA12D8">
      <w:pPr>
        <w:spacing w:line="480" w:lineRule="auto"/>
        <w:rPr>
          <w:sz w:val="30"/>
          <w:szCs w:val="30"/>
        </w:rPr>
      </w:pPr>
      <w:r w:rsidRPr="00907618">
        <w:rPr>
          <w:sz w:val="30"/>
          <w:szCs w:val="30"/>
        </w:rPr>
        <w:t>Keywords</w:t>
      </w:r>
    </w:p>
    <w:p w:rsidR="00425669" w:rsidRPr="00907618" w:rsidRDefault="00425669" w:rsidP="00FA12D8">
      <w:pPr>
        <w:spacing w:line="480" w:lineRule="auto"/>
        <w:rPr>
          <w:sz w:val="30"/>
          <w:szCs w:val="30"/>
        </w:rPr>
      </w:pPr>
      <w:r w:rsidRPr="00907618">
        <w:rPr>
          <w:sz w:val="30"/>
          <w:szCs w:val="30"/>
        </w:rPr>
        <w:t>religious misinformation, the MENA region, digital religion</w:t>
      </w:r>
    </w:p>
    <w:p w:rsidR="00425669" w:rsidRPr="00907618" w:rsidRDefault="00425669" w:rsidP="00FA12D8">
      <w:pPr>
        <w:spacing w:line="480" w:lineRule="auto"/>
        <w:rPr>
          <w:sz w:val="30"/>
          <w:szCs w:val="30"/>
        </w:rPr>
      </w:pPr>
    </w:p>
    <w:p w:rsidR="00425669" w:rsidRPr="00907618" w:rsidRDefault="00425669" w:rsidP="00FA12D8">
      <w:pPr>
        <w:spacing w:line="480" w:lineRule="auto"/>
        <w:rPr>
          <w:sz w:val="30"/>
          <w:szCs w:val="30"/>
        </w:rPr>
      </w:pPr>
      <w:r w:rsidRPr="00907618">
        <w:rPr>
          <w:sz w:val="30"/>
          <w:szCs w:val="30"/>
        </w:rPr>
        <w:t xml:space="preserve"> </w:t>
      </w:r>
    </w:p>
    <w:p w:rsidR="00425669" w:rsidRPr="00907618" w:rsidRDefault="00425669" w:rsidP="00FA12D8">
      <w:pPr>
        <w:spacing w:line="480" w:lineRule="auto"/>
        <w:rPr>
          <w:sz w:val="30"/>
          <w:szCs w:val="30"/>
        </w:rPr>
      </w:pPr>
      <w:r w:rsidRPr="00907618">
        <w:rPr>
          <w:sz w:val="30"/>
          <w:szCs w:val="30"/>
        </w:rPr>
        <w:t>Introduction</w:t>
      </w:r>
    </w:p>
    <w:p w:rsidR="00425669" w:rsidRPr="00907618" w:rsidRDefault="00425669" w:rsidP="00FA12D8">
      <w:pPr>
        <w:spacing w:line="480" w:lineRule="auto"/>
        <w:rPr>
          <w:sz w:val="30"/>
          <w:szCs w:val="30"/>
        </w:rPr>
      </w:pPr>
      <w:r w:rsidRPr="00907618">
        <w:rPr>
          <w:sz w:val="30"/>
          <w:szCs w:val="30"/>
        </w:rPr>
        <w:t xml:space="preserve">COVID19s impact on online communications assumes multiple shapes and forms. Within the Middle East and North Africa (MENA) region, </w:t>
      </w:r>
      <w:r w:rsidRPr="00907618">
        <w:rPr>
          <w:sz w:val="30"/>
          <w:szCs w:val="30"/>
        </w:rPr>
        <w:lastRenderedPageBreak/>
        <w:t>longstanding issues of communication contribute to the infodemic that has been emerging alongside this pandemic. Aggressive censorship regimes and a deficit of public trust in governments and authorities make the pursuit of credible sources for news and information difficult. Characteristic within the MENA regions infodemic is the phenomenon of religious misinformation persisting through social media. While not unique to the COVID19 pandemic, its impact has become much more acute during this period. It underlines a characteristic of the regions information space that deserves further examination.</w:t>
      </w:r>
    </w:p>
    <w:p w:rsidR="00425669" w:rsidRPr="00907618" w:rsidRDefault="00425669" w:rsidP="00FA12D8">
      <w:pPr>
        <w:spacing w:line="480" w:lineRule="auto"/>
        <w:rPr>
          <w:sz w:val="30"/>
          <w:szCs w:val="30"/>
        </w:rPr>
      </w:pPr>
      <w:r w:rsidRPr="00907618">
        <w:rPr>
          <w:sz w:val="30"/>
          <w:szCs w:val="30"/>
        </w:rPr>
        <w:t xml:space="preserve">Over the last few years, researchers have scrambled to examine different types of misinformation in relation to politics, health, and science. However, very little has been explored in terms of the phenomenon of religious misinformation and its unique hold within the regions online public sphere. Religious misinformation presents misleading guidance, misinterpreting scriptures or religious records, or the false claim of divine power or knowledge. Religious misinformation draws on fear, emotional appeals, or the credibility of religious authority to persuade the recipient of these various messages. Unlike its other forms, religious misinformation is harder to factcheck and requires a deeper knowledge of religion and its sociopolitical </w:t>
      </w:r>
      <w:r w:rsidRPr="00907618">
        <w:rPr>
          <w:sz w:val="30"/>
          <w:szCs w:val="30"/>
        </w:rPr>
        <w:lastRenderedPageBreak/>
        <w:t>context to discern.</w:t>
      </w:r>
    </w:p>
    <w:p w:rsidR="00425669" w:rsidRPr="00907618" w:rsidRDefault="00425669" w:rsidP="00FA12D8">
      <w:pPr>
        <w:spacing w:line="480" w:lineRule="auto"/>
        <w:rPr>
          <w:sz w:val="30"/>
          <w:szCs w:val="30"/>
        </w:rPr>
      </w:pPr>
      <w:r w:rsidRPr="00907618">
        <w:rPr>
          <w:sz w:val="30"/>
          <w:szCs w:val="30"/>
        </w:rPr>
        <w:t xml:space="preserve"> </w:t>
      </w:r>
    </w:p>
    <w:p w:rsidR="00425669" w:rsidRPr="00907618" w:rsidRDefault="00425669" w:rsidP="00FA12D8">
      <w:pPr>
        <w:spacing w:line="480" w:lineRule="auto"/>
        <w:rPr>
          <w:sz w:val="30"/>
          <w:szCs w:val="30"/>
        </w:rPr>
      </w:pPr>
      <w:r w:rsidRPr="00907618">
        <w:rPr>
          <w:sz w:val="30"/>
          <w:szCs w:val="30"/>
        </w:rPr>
        <w:t>The use of religious misinformation draws upon a powerful appeal on the role of Islam, which is deeply entrenched in the culture, society, and politics of the region. Within the MENA region, Islam has long been studied as a unifying or divisive force in Muslimmajority countries. It has been mostly studied from a political point of view to scrutinize its role in political movements in the region (Alimardani &amp; Milan, 2018; Munson, 1988). However, what has not been explored are the possible ways of misusing Islam to create, promote, and amplify online misinformation. What we argue is that COVID19 has underlined a unique condition for online communication in the region: the dangers and appeals of religious misinformation.</w:t>
      </w:r>
    </w:p>
    <w:p w:rsidR="00425669" w:rsidRPr="00907618" w:rsidRDefault="00425669" w:rsidP="00FA12D8">
      <w:pPr>
        <w:spacing w:line="480" w:lineRule="auto"/>
        <w:rPr>
          <w:sz w:val="30"/>
          <w:szCs w:val="30"/>
        </w:rPr>
      </w:pPr>
      <w:r w:rsidRPr="00907618">
        <w:rPr>
          <w:sz w:val="30"/>
          <w:szCs w:val="30"/>
        </w:rPr>
        <w:t>The spread of COVID19 religious misinformation has not been unique to the MENA region. Across the world, actors promote religious remedies and give the false hope of divine immunity to true believers attending centers of worship. We saw examples of figures using their religious authority to encourage people to drink cow urine in India, visit churches in the United States on Easter, and attend Holy</w:t>
      </w:r>
    </w:p>
    <w:p w:rsidR="00425669" w:rsidRPr="00907618" w:rsidRDefault="00425669" w:rsidP="00FA12D8">
      <w:pPr>
        <w:spacing w:line="480" w:lineRule="auto"/>
        <w:rPr>
          <w:sz w:val="30"/>
          <w:szCs w:val="30"/>
        </w:rPr>
      </w:pPr>
    </w:p>
    <w:p w:rsidR="00425669" w:rsidRPr="00907618" w:rsidRDefault="00425669" w:rsidP="00FA12D8">
      <w:pPr>
        <w:spacing w:line="480" w:lineRule="auto"/>
        <w:rPr>
          <w:sz w:val="30"/>
          <w:szCs w:val="30"/>
        </w:rPr>
      </w:pPr>
      <w:r w:rsidRPr="00907618">
        <w:rPr>
          <w:sz w:val="30"/>
          <w:szCs w:val="30"/>
        </w:rPr>
        <w:t>University of Oxford, UK</w:t>
      </w:r>
    </w:p>
    <w:p w:rsidR="00425669" w:rsidRPr="00907618" w:rsidRDefault="00425669" w:rsidP="00FA12D8">
      <w:pPr>
        <w:spacing w:line="480" w:lineRule="auto"/>
        <w:rPr>
          <w:sz w:val="30"/>
          <w:szCs w:val="30"/>
        </w:rPr>
      </w:pPr>
      <w:r w:rsidRPr="00907618">
        <w:rPr>
          <w:sz w:val="30"/>
          <w:szCs w:val="30"/>
        </w:rPr>
        <w:t>Authors appear in alphabetical order.</w:t>
      </w:r>
    </w:p>
    <w:p w:rsidR="00425669" w:rsidRPr="00907618" w:rsidRDefault="00425669" w:rsidP="00FA12D8">
      <w:pPr>
        <w:spacing w:line="480" w:lineRule="auto"/>
        <w:rPr>
          <w:sz w:val="30"/>
          <w:szCs w:val="30"/>
        </w:rPr>
      </w:pPr>
      <w:r w:rsidRPr="00907618">
        <w:rPr>
          <w:sz w:val="30"/>
          <w:szCs w:val="30"/>
        </w:rPr>
        <w:t>Corresponding Author:</w:t>
      </w:r>
    </w:p>
    <w:p w:rsidR="00425669" w:rsidRPr="00907618" w:rsidRDefault="00425669" w:rsidP="00D461C6">
      <w:pPr>
        <w:spacing w:line="480" w:lineRule="auto"/>
        <w:rPr>
          <w:sz w:val="30"/>
          <w:szCs w:val="30"/>
        </w:rPr>
      </w:pPr>
      <w:r w:rsidRPr="00907618">
        <w:rPr>
          <w:sz w:val="30"/>
          <w:szCs w:val="30"/>
        </w:rPr>
        <w:t xml:space="preserve">Mahsa Alimardani, Oxford Internet Institute, University of Oxford, 1 St Giles, </w:t>
      </w:r>
    </w:p>
    <w:p w:rsidR="00425669" w:rsidRPr="00907618" w:rsidRDefault="00425669" w:rsidP="00FA12D8">
      <w:pPr>
        <w:spacing w:line="480" w:lineRule="auto"/>
        <w:rPr>
          <w:sz w:val="30"/>
          <w:szCs w:val="30"/>
        </w:rPr>
      </w:pPr>
      <w:r w:rsidRPr="00907618">
        <w:rPr>
          <w:sz w:val="30"/>
          <w:szCs w:val="30"/>
        </w:rPr>
        <w:t xml:space="preserve"> </w:t>
      </w:r>
    </w:p>
    <w:p w:rsidR="00425669" w:rsidRPr="00907618" w:rsidRDefault="00425669" w:rsidP="00FA12D8">
      <w:pPr>
        <w:spacing w:line="480" w:lineRule="auto"/>
        <w:rPr>
          <w:sz w:val="30"/>
          <w:szCs w:val="30"/>
        </w:rPr>
      </w:pPr>
    </w:p>
    <w:p w:rsidR="00425669" w:rsidRPr="00907618" w:rsidRDefault="00425669" w:rsidP="00FA12D8">
      <w:pPr>
        <w:spacing w:line="480" w:lineRule="auto"/>
        <w:rPr>
          <w:sz w:val="30"/>
          <w:szCs w:val="30"/>
        </w:rPr>
      </w:pPr>
      <w:r w:rsidRPr="00907618">
        <w:rPr>
          <w:sz w:val="30"/>
          <w:szCs w:val="30"/>
        </w:rPr>
        <w:t xml:space="preserve"> </w:t>
      </w:r>
    </w:p>
    <w:p w:rsidR="00425669" w:rsidRPr="00907618" w:rsidRDefault="00425669" w:rsidP="00FA12D8">
      <w:pPr>
        <w:spacing w:line="480" w:lineRule="auto"/>
        <w:rPr>
          <w:sz w:val="30"/>
          <w:szCs w:val="30"/>
        </w:rPr>
      </w:pPr>
      <w:r w:rsidRPr="00907618">
        <w:rPr>
          <w:sz w:val="30"/>
          <w:szCs w:val="30"/>
        </w:rPr>
        <w:t>Creative Commons CC BY: This article is distributed under the terms of the Creative Commons Attribution 4.0 License (https://creativecommons.org/licenses/by/4.0/) which permits any use, reproduction and distribution of the work without further permission</w:t>
      </w:r>
    </w:p>
    <w:p w:rsidR="00425669" w:rsidRPr="00907618" w:rsidRDefault="00425669" w:rsidP="00FA12D8">
      <w:pPr>
        <w:spacing w:line="480" w:lineRule="auto"/>
        <w:rPr>
          <w:sz w:val="30"/>
          <w:szCs w:val="30"/>
        </w:rPr>
      </w:pPr>
      <w:r w:rsidRPr="00907618">
        <w:rPr>
          <w:sz w:val="30"/>
          <w:szCs w:val="30"/>
        </w:rPr>
        <w:t>provided the original work is attributed as specified on the SAGE and Open Access pages (https://us.sagepub.com/enus/nam/openaccessatsage).</w:t>
      </w:r>
    </w:p>
    <w:p w:rsidR="00425669" w:rsidRPr="00907618" w:rsidRDefault="00425669" w:rsidP="00FA12D8">
      <w:pPr>
        <w:spacing w:line="480" w:lineRule="auto"/>
        <w:rPr>
          <w:sz w:val="30"/>
          <w:szCs w:val="30"/>
        </w:rPr>
      </w:pPr>
      <w:r w:rsidRPr="00907618">
        <w:rPr>
          <w:sz w:val="30"/>
          <w:szCs w:val="30"/>
        </w:rPr>
        <w:t xml:space="preserve"> </w:t>
      </w:r>
    </w:p>
    <w:p w:rsidR="00425669" w:rsidRPr="00907618" w:rsidRDefault="00F51DF7" w:rsidP="00FA12D8">
      <w:pPr>
        <w:spacing w:line="480" w:lineRule="auto"/>
        <w:rPr>
          <w:sz w:val="30"/>
          <w:szCs w:val="30"/>
        </w:rPr>
      </w:pPr>
      <w:r w:rsidRPr="00907618">
        <w:rPr>
          <w:sz w:val="30"/>
          <w:szCs w:val="30"/>
        </w:rPr>
        <w:t>2</w:t>
      </w:r>
      <w:r w:rsidRPr="00907618">
        <w:rPr>
          <w:sz w:val="30"/>
          <w:szCs w:val="30"/>
        </w:rPr>
        <w:tab/>
        <w:t xml:space="preserve">Social Media </w:t>
      </w:r>
      <w:r w:rsidR="00425669" w:rsidRPr="00907618">
        <w:rPr>
          <w:sz w:val="30"/>
          <w:szCs w:val="30"/>
        </w:rPr>
        <w:t xml:space="preserve"> Society</w:t>
      </w:r>
    </w:p>
    <w:p w:rsidR="00425669" w:rsidRPr="00907618" w:rsidRDefault="00425669" w:rsidP="00FA12D8">
      <w:pPr>
        <w:spacing w:line="480" w:lineRule="auto"/>
        <w:rPr>
          <w:sz w:val="30"/>
          <w:szCs w:val="30"/>
        </w:rPr>
      </w:pPr>
    </w:p>
    <w:p w:rsidR="00425669" w:rsidRPr="00907618" w:rsidRDefault="00425669" w:rsidP="00FA12D8">
      <w:pPr>
        <w:spacing w:line="480" w:lineRule="auto"/>
        <w:rPr>
          <w:sz w:val="30"/>
          <w:szCs w:val="30"/>
        </w:rPr>
      </w:pPr>
      <w:r w:rsidRPr="00907618">
        <w:rPr>
          <w:sz w:val="30"/>
          <w:szCs w:val="30"/>
        </w:rPr>
        <w:t xml:space="preserve"> </w:t>
      </w:r>
    </w:p>
    <w:p w:rsidR="00425669" w:rsidRPr="00907618" w:rsidRDefault="00425669" w:rsidP="00FA12D8">
      <w:pPr>
        <w:spacing w:line="480" w:lineRule="auto"/>
        <w:rPr>
          <w:sz w:val="30"/>
          <w:szCs w:val="30"/>
        </w:rPr>
      </w:pPr>
      <w:r w:rsidRPr="00907618">
        <w:rPr>
          <w:sz w:val="30"/>
          <w:szCs w:val="30"/>
        </w:rPr>
        <w:lastRenderedPageBreak/>
        <w:t>Communion, drinking from one spoon at the Greek Orthodox church. These religious directions were based on the notions that believers would be protected from contagion through their belief and sacred actions. In the MENA region, these religious appeals most often misused the appeal of Islam to promote dangerous remedies, theories, and behaviors for various intentions.</w:t>
      </w:r>
    </w:p>
    <w:p w:rsidR="00425669" w:rsidRPr="00907618" w:rsidRDefault="00425669" w:rsidP="00FA12D8">
      <w:pPr>
        <w:spacing w:line="480" w:lineRule="auto"/>
        <w:rPr>
          <w:sz w:val="30"/>
          <w:szCs w:val="30"/>
        </w:rPr>
      </w:pPr>
      <w:r w:rsidRPr="00907618">
        <w:rPr>
          <w:sz w:val="30"/>
          <w:szCs w:val="30"/>
        </w:rPr>
        <w:t>While Islam prohibits the spread of unverified information and rumors,1 Islamictailored religious misinformation has contributed to the regions infodemic. Actors promoting or creating religious misinformation in the MENA region find themselves with powerful tools and conditions to go viral online and ultimately further endanger public health. We certainly cannot state who is behind all COVID19 religious misinformation in the MENA region, but we can emphasize that they are produced by various types of actors in varying forms. The perpetrators of some of these messages are sometimes religious authorities with ties to ruling establishments, motivated by the aim to attract more followers or relevance during moments like a pandemic through social media. In other instances, these manipulations are promoted by content creators who fabricate, misinterpret, and misuse religious sculptures to attract followers for monetary gain.</w:t>
      </w:r>
    </w:p>
    <w:p w:rsidR="00425669" w:rsidRPr="00907618" w:rsidRDefault="00425669" w:rsidP="00FA12D8">
      <w:pPr>
        <w:spacing w:line="480" w:lineRule="auto"/>
        <w:rPr>
          <w:sz w:val="30"/>
          <w:szCs w:val="30"/>
        </w:rPr>
      </w:pPr>
    </w:p>
    <w:p w:rsidR="00425669" w:rsidRPr="00907618" w:rsidRDefault="00425669" w:rsidP="00FA12D8">
      <w:pPr>
        <w:spacing w:line="480" w:lineRule="auto"/>
        <w:rPr>
          <w:sz w:val="30"/>
          <w:szCs w:val="30"/>
        </w:rPr>
      </w:pPr>
      <w:r w:rsidRPr="00907618">
        <w:rPr>
          <w:sz w:val="30"/>
          <w:szCs w:val="30"/>
        </w:rPr>
        <w:t>Fake Religious Remedies</w:t>
      </w:r>
    </w:p>
    <w:p w:rsidR="00425669" w:rsidRPr="00907618" w:rsidRDefault="00425669" w:rsidP="00FA12D8">
      <w:pPr>
        <w:spacing w:line="480" w:lineRule="auto"/>
        <w:rPr>
          <w:sz w:val="30"/>
          <w:szCs w:val="30"/>
        </w:rPr>
      </w:pPr>
      <w:r w:rsidRPr="00907618">
        <w:rPr>
          <w:sz w:val="30"/>
          <w:szCs w:val="30"/>
        </w:rPr>
        <w:t xml:space="preserve">One of the problems of religious misinformation is authority, reflected intensely within Iran. Here, clerics occupy a central position in the approval of legislation guaranteed by the Constitution of the Islamic Republic based on the Revolutions interpretation of velayate faqih (translated as, the guardianship of the jurists). As a result, Shiite clergy sit at the center of decisionmaking in Iran. Preaching and advice on medical science, for example, have never remained out of bounds for this class of Irans religiouspolitical elite. These complex authority structures compounded problems of public trust. Within Iran, the Ministry of Health actively dismissed and diminished the threat of COVID19 as the initial cases were found (BBC Persian, 2020). This tarnished the credibility of the good advice and work the Ministry provided after the early denials. However, the statements of some clerics have further entangled notions of trust and authoritative advice on the virus. For example, a member of Irans Assembly of Experts,2 Ayatollah3 Mohammad Mehdi Mirbaqeri, has been involved in viral social media interviews questioning the need to lockdown or socially distance when such measures were not necessary for previous illnesses or </w:t>
      </w:r>
      <w:r w:rsidRPr="00907618">
        <w:rPr>
          <w:sz w:val="30"/>
          <w:szCs w:val="30"/>
        </w:rPr>
        <w:lastRenderedPageBreak/>
        <w:t>epidemics (Fars News Agency, 2020). Such advice places the authority of science and medicine in direct</w:t>
      </w:r>
    </w:p>
    <w:p w:rsidR="00425669" w:rsidRPr="00907618" w:rsidRDefault="00425669" w:rsidP="00FA12D8">
      <w:pPr>
        <w:spacing w:line="480" w:lineRule="auto"/>
        <w:rPr>
          <w:sz w:val="30"/>
          <w:szCs w:val="30"/>
        </w:rPr>
      </w:pPr>
      <w:r w:rsidRPr="00907618">
        <w:rPr>
          <w:sz w:val="30"/>
          <w:szCs w:val="30"/>
        </w:rPr>
        <w:t>competition with the authority of Irans religious elite.</w:t>
      </w:r>
    </w:p>
    <w:p w:rsidR="00425669" w:rsidRPr="00907618" w:rsidRDefault="00425669" w:rsidP="00FA12D8">
      <w:pPr>
        <w:spacing w:line="480" w:lineRule="auto"/>
        <w:rPr>
          <w:sz w:val="30"/>
          <w:szCs w:val="30"/>
        </w:rPr>
      </w:pPr>
      <w:r w:rsidRPr="00907618">
        <w:rPr>
          <w:sz w:val="30"/>
          <w:szCs w:val="30"/>
        </w:rPr>
        <w:t>Similarly, underlining the divide that exists between Irans medical authorities and clerical authorities is the fringe cleric, Ayatollah Tabrizian. Tabrizian has acquired a cult following as the father of Islamic medicine</w:t>
      </w:r>
      <w:r w:rsidR="002C3863" w:rsidRPr="00907618">
        <w:rPr>
          <w:sz w:val="30"/>
          <w:szCs w:val="30"/>
        </w:rPr>
        <w:t xml:space="preserve"> </w:t>
      </w:r>
      <w:r w:rsidRPr="00907618">
        <w:rPr>
          <w:sz w:val="30"/>
          <w:szCs w:val="30"/>
        </w:rPr>
        <w:t>a practice of medicine that rejects global medical science as a pillar of</w:t>
      </w:r>
    </w:p>
    <w:p w:rsidR="00425669" w:rsidRPr="00907618" w:rsidRDefault="00425669" w:rsidP="00FA12D8">
      <w:pPr>
        <w:spacing w:line="480" w:lineRule="auto"/>
        <w:rPr>
          <w:sz w:val="30"/>
          <w:szCs w:val="30"/>
        </w:rPr>
      </w:pPr>
      <w:r w:rsidRPr="00907618">
        <w:rPr>
          <w:sz w:val="30"/>
          <w:szCs w:val="30"/>
        </w:rPr>
        <w:t xml:space="preserve"> </w:t>
      </w:r>
    </w:p>
    <w:p w:rsidR="00425669" w:rsidRPr="00907618" w:rsidRDefault="00425669" w:rsidP="00FA12D8">
      <w:pPr>
        <w:spacing w:line="480" w:lineRule="auto"/>
        <w:rPr>
          <w:sz w:val="30"/>
          <w:szCs w:val="30"/>
        </w:rPr>
      </w:pPr>
      <w:r w:rsidRPr="00907618">
        <w:rPr>
          <w:sz w:val="30"/>
          <w:szCs w:val="30"/>
        </w:rPr>
        <w:t>western infiltration (Aramesh, 2018). As the COVID19 crisis unfolded in Iran, Tabrizian advised followers infected with the virus to swab their anuses with a piece of cotton dipped in violet oil, according to the dictates of his school of Islamic medicine. His remedy went viral on his Telegram channel of over 200,000 followers and beyond onto other Persian language social media, received as ridicule and prescription. Tabrizians example has helped amplify Islamophobia.</w:t>
      </w:r>
    </w:p>
    <w:p w:rsidR="00425669" w:rsidRPr="00907618" w:rsidRDefault="00425669" w:rsidP="00FA12D8">
      <w:pPr>
        <w:spacing w:line="480" w:lineRule="auto"/>
        <w:rPr>
          <w:sz w:val="30"/>
          <w:szCs w:val="30"/>
        </w:rPr>
      </w:pPr>
      <w:r w:rsidRPr="00907618">
        <w:rPr>
          <w:sz w:val="30"/>
          <w:szCs w:val="30"/>
        </w:rPr>
        <w:t xml:space="preserve">While some Iranian authorities denounce Tabrizians opinions against medical science as unIslamic (Iranian Students News Agency, 2020), he is largely allowed to maintain his platform and clerical title. Tabrizian and other Islamic Medicine proponents seem to be increasing their base of supporters in </w:t>
      </w:r>
      <w:r w:rsidRPr="00907618">
        <w:rPr>
          <w:sz w:val="30"/>
          <w:szCs w:val="30"/>
        </w:rPr>
        <w:lastRenderedPageBreak/>
        <w:t>Iran by taking advantage of sentiments of distrust toward the government and health system that have been mired in alleged corruption alongside the utility of social media. They are safeguarded by support they have within religious and governmental authorities (Aramesh, 2018). On the platforms Tabrizian thrives onTelegram and Aparatthere are no regulations on his religious misinformation. On Aparatthe Iranian alternative to YouTube content moderation rules strictly adhere to Irans censorship regulations (Center for Human Rights in Iran, 2017), leaving the official pages for Tabrizian to prescribe and promote remedies of Islamic Medicine unchecked. While the infodemic has elicited responses from many mainstream platforms to remove dangerous COVID19 information, Telegram has done very little in the way of content removals for dangerous COVID19 misinformation. Thus far, they have just offered a new feature of channel verification, without attempts to remove problematic content.</w:t>
      </w:r>
    </w:p>
    <w:p w:rsidR="00425669" w:rsidRPr="00907618" w:rsidRDefault="00425669" w:rsidP="00FA12D8">
      <w:pPr>
        <w:spacing w:line="480" w:lineRule="auto"/>
        <w:rPr>
          <w:sz w:val="30"/>
          <w:szCs w:val="30"/>
        </w:rPr>
      </w:pPr>
      <w:r w:rsidRPr="00907618">
        <w:rPr>
          <w:sz w:val="30"/>
          <w:szCs w:val="30"/>
        </w:rPr>
        <w:t>While we cannot say that the opposition of some clerics to medical advice has been a determining factor in the high infection and death rates in Iran, it has contributed to polarization in responses within an already fractured public struggling to find the right sources and authorities to follow for advice.</w:t>
      </w:r>
    </w:p>
    <w:p w:rsidR="00425669" w:rsidRPr="00907618" w:rsidRDefault="00425669" w:rsidP="00FA12D8">
      <w:pPr>
        <w:spacing w:line="480" w:lineRule="auto"/>
        <w:rPr>
          <w:sz w:val="30"/>
          <w:szCs w:val="30"/>
        </w:rPr>
      </w:pPr>
    </w:p>
    <w:p w:rsidR="00425669" w:rsidRPr="00907618" w:rsidRDefault="00425669" w:rsidP="00FA12D8">
      <w:pPr>
        <w:spacing w:line="480" w:lineRule="auto"/>
        <w:rPr>
          <w:sz w:val="30"/>
          <w:szCs w:val="30"/>
        </w:rPr>
      </w:pPr>
      <w:r w:rsidRPr="00907618">
        <w:rPr>
          <w:sz w:val="30"/>
          <w:szCs w:val="30"/>
        </w:rPr>
        <w:lastRenderedPageBreak/>
        <w:t>Fake Scriptures Go Viral</w:t>
      </w:r>
    </w:p>
    <w:p w:rsidR="00425669" w:rsidRPr="00907618" w:rsidRDefault="00425669" w:rsidP="00FA12D8">
      <w:pPr>
        <w:spacing w:line="480" w:lineRule="auto"/>
        <w:rPr>
          <w:sz w:val="30"/>
          <w:szCs w:val="30"/>
        </w:rPr>
      </w:pPr>
      <w:r w:rsidRPr="00907618">
        <w:rPr>
          <w:sz w:val="30"/>
          <w:szCs w:val="30"/>
        </w:rPr>
        <w:t>Islamic scholars have long dealt with verification within scriptures. Verification of sources is important to preserve the authenticity of the sayings of the Prophet Moh</w:t>
      </w:r>
      <w:bookmarkStart w:id="0" w:name="_GoBack"/>
      <w:bookmarkEnd w:id="0"/>
      <w:r w:rsidRPr="00907618">
        <w:rPr>
          <w:sz w:val="30"/>
          <w:szCs w:val="30"/>
        </w:rPr>
        <w:t>ammad. While the Quran and much Islamic scholarship are dedicated to information literacy, a problem of misinformation has riddled Islam for centuries (Ahmed, 2018). Among these problems is the spread of False Hadithsfabrications of retellings of the Prophets words and deeds. Because of this problem, Hadith scholars have developed rigid methods to ascertain authenticity.</w:t>
      </w:r>
    </w:p>
    <w:p w:rsidR="00425669" w:rsidRPr="00907618" w:rsidRDefault="00425669" w:rsidP="00FA12D8">
      <w:pPr>
        <w:spacing w:line="480" w:lineRule="auto"/>
        <w:rPr>
          <w:sz w:val="30"/>
          <w:szCs w:val="30"/>
        </w:rPr>
      </w:pPr>
      <w:r w:rsidRPr="00907618">
        <w:rPr>
          <w:sz w:val="30"/>
          <w:szCs w:val="30"/>
        </w:rPr>
        <w:t>A flood of Arabicspeaking YouTube videos prophesized that a divine sound would be heard on the night of the 15th of Ramadan 2020 based on a false Hadith. As the prophecy foretold, the sound would take 70,000 souls and leave 70,000</w:t>
      </w:r>
    </w:p>
    <w:p w:rsidR="00425669" w:rsidRPr="00907618" w:rsidRDefault="00425669" w:rsidP="00FA12D8">
      <w:pPr>
        <w:spacing w:line="480" w:lineRule="auto"/>
        <w:rPr>
          <w:sz w:val="30"/>
          <w:szCs w:val="30"/>
        </w:rPr>
      </w:pPr>
      <w:r w:rsidRPr="00907618">
        <w:rPr>
          <w:sz w:val="30"/>
          <w:szCs w:val="30"/>
        </w:rPr>
        <w:t xml:space="preserve"> </w:t>
      </w:r>
    </w:p>
    <w:p w:rsidR="00425669" w:rsidRPr="00907618" w:rsidRDefault="00425669" w:rsidP="00FA12D8">
      <w:pPr>
        <w:spacing w:line="480" w:lineRule="auto"/>
        <w:rPr>
          <w:sz w:val="30"/>
          <w:szCs w:val="30"/>
        </w:rPr>
      </w:pPr>
      <w:r w:rsidRPr="00907618">
        <w:rPr>
          <w:sz w:val="30"/>
          <w:szCs w:val="30"/>
        </w:rPr>
        <w:t>Alimardani and Elswah</w:t>
      </w:r>
      <w:r w:rsidRPr="00907618">
        <w:rPr>
          <w:sz w:val="30"/>
          <w:szCs w:val="30"/>
        </w:rPr>
        <w:tab/>
        <w:t>3</w:t>
      </w:r>
    </w:p>
    <w:p w:rsidR="00425669" w:rsidRPr="00907618" w:rsidRDefault="00425669" w:rsidP="00FA12D8">
      <w:pPr>
        <w:spacing w:line="480" w:lineRule="auto"/>
        <w:rPr>
          <w:sz w:val="30"/>
          <w:szCs w:val="30"/>
        </w:rPr>
      </w:pPr>
      <w:r w:rsidRPr="00907618">
        <w:rPr>
          <w:sz w:val="30"/>
          <w:szCs w:val="30"/>
        </w:rPr>
        <w:t xml:space="preserve"> </w:t>
      </w:r>
    </w:p>
    <w:p w:rsidR="00425669" w:rsidRPr="00907618" w:rsidRDefault="00425669" w:rsidP="00FA12D8">
      <w:pPr>
        <w:spacing w:line="480" w:lineRule="auto"/>
        <w:rPr>
          <w:sz w:val="30"/>
          <w:szCs w:val="30"/>
        </w:rPr>
      </w:pPr>
    </w:p>
    <w:p w:rsidR="00425669" w:rsidRPr="00907618" w:rsidRDefault="00425669" w:rsidP="00FA12D8">
      <w:pPr>
        <w:spacing w:line="480" w:lineRule="auto"/>
        <w:rPr>
          <w:sz w:val="30"/>
          <w:szCs w:val="30"/>
        </w:rPr>
      </w:pPr>
      <w:r w:rsidRPr="00907618">
        <w:rPr>
          <w:sz w:val="30"/>
          <w:szCs w:val="30"/>
        </w:rPr>
        <w:t xml:space="preserve">deaf. The prophecy built its claim on the basis that the rise of COVID19 is a sign that this is the year in which the sound will be heard. These videos relied </w:t>
      </w:r>
      <w:r w:rsidRPr="00907618">
        <w:rPr>
          <w:sz w:val="30"/>
          <w:szCs w:val="30"/>
        </w:rPr>
        <w:lastRenderedPageBreak/>
        <w:t>on fear to attract Arab YouTube users, who are encouraged by the video creators to share these videos. These videos were viewed millions of times and found their way to other platforms including WhatsApp. The virality and the fear induced by the videos among millions through Arabiconline spheres led the official Egyptian religious entity Al Azhar to release an official statement denouncing the videos as false (Mustafa, 2020).</w:t>
      </w:r>
    </w:p>
    <w:p w:rsidR="00425669" w:rsidRPr="00907618" w:rsidRDefault="00425669" w:rsidP="00FA12D8">
      <w:pPr>
        <w:spacing w:line="480" w:lineRule="auto"/>
        <w:rPr>
          <w:sz w:val="30"/>
          <w:szCs w:val="30"/>
        </w:rPr>
      </w:pPr>
      <w:r w:rsidRPr="00907618">
        <w:rPr>
          <w:sz w:val="30"/>
          <w:szCs w:val="30"/>
        </w:rPr>
        <w:t>To this date, these clickbait videos are available on YouTube channels and are still able to attract people and earn money. They were able to escape the platforms algorithms, and they have not been removed by content moderators. These videos, as like most forms of religious misinformation, seem communityfriendly, and to catch their falsehood, a moderator needs to be trained to understand the science of Hadith and the political economy of religious misinformation. These videosand the majority of religious misinformationare more likely to live longer on online platforms compared with other forms of misinformation that could be easily debunked.</w:t>
      </w:r>
    </w:p>
    <w:p w:rsidR="00EB2D2A" w:rsidRPr="00907618" w:rsidRDefault="00EB2D2A" w:rsidP="00FA12D8">
      <w:pPr>
        <w:spacing w:line="480" w:lineRule="auto"/>
        <w:rPr>
          <w:sz w:val="30"/>
          <w:szCs w:val="30"/>
        </w:rPr>
      </w:pPr>
    </w:p>
    <w:sectPr w:rsidR="00EB2D2A" w:rsidRPr="00907618" w:rsidSect="00425669">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F7536"/>
    <w:multiLevelType w:val="multilevel"/>
    <w:tmpl w:val="BB9E1F24"/>
    <w:lvl w:ilvl="0">
      <w:start w:val="1"/>
      <w:numFmt w:val="decimal"/>
      <w:lvlText w:val="%1."/>
      <w:lvlJc w:val="left"/>
      <w:pPr>
        <w:ind w:left="420" w:hanging="202"/>
      </w:pPr>
      <w:rPr>
        <w:rFonts w:ascii="Times New Roman" w:eastAsia="Times New Roman" w:hAnsi="Times New Roman" w:cs="Times New Roman" w:hint="default"/>
        <w:b/>
        <w:bCs/>
        <w:w w:val="100"/>
        <w:sz w:val="20"/>
        <w:szCs w:val="20"/>
        <w:lang w:val="en-US" w:eastAsia="en-US" w:bidi="ar-SA"/>
      </w:rPr>
    </w:lvl>
    <w:lvl w:ilvl="1">
      <w:start w:val="1"/>
      <w:numFmt w:val="decimal"/>
      <w:lvlText w:val="%1.%2"/>
      <w:lvlJc w:val="left"/>
      <w:pPr>
        <w:ind w:left="519" w:hanging="302"/>
      </w:pPr>
      <w:rPr>
        <w:rFonts w:ascii="Times New Roman" w:eastAsia="Times New Roman" w:hAnsi="Times New Roman" w:cs="Times New Roman" w:hint="default"/>
        <w:i/>
        <w:iCs/>
        <w:w w:val="100"/>
        <w:sz w:val="20"/>
        <w:szCs w:val="20"/>
        <w:lang w:val="en-US" w:eastAsia="en-US" w:bidi="ar-SA"/>
      </w:rPr>
    </w:lvl>
    <w:lvl w:ilvl="2">
      <w:start w:val="1"/>
      <w:numFmt w:val="decimal"/>
      <w:lvlText w:val="%1.%2.%3"/>
      <w:lvlJc w:val="left"/>
      <w:pPr>
        <w:ind w:left="670" w:hanging="452"/>
      </w:pPr>
      <w:rPr>
        <w:rFonts w:ascii="Times New Roman" w:eastAsia="Times New Roman" w:hAnsi="Times New Roman" w:cs="Times New Roman" w:hint="default"/>
        <w:w w:val="100"/>
        <w:sz w:val="20"/>
        <w:szCs w:val="20"/>
        <w:lang w:val="en-US" w:eastAsia="en-US" w:bidi="ar-SA"/>
      </w:rPr>
    </w:lvl>
    <w:lvl w:ilvl="3">
      <w:numFmt w:val="bullet"/>
      <w:lvlText w:val="•"/>
      <w:lvlJc w:val="left"/>
      <w:pPr>
        <w:ind w:left="680" w:hanging="452"/>
      </w:pPr>
      <w:rPr>
        <w:lang w:val="en-US" w:eastAsia="en-US" w:bidi="ar-SA"/>
      </w:rPr>
    </w:lvl>
    <w:lvl w:ilvl="4">
      <w:numFmt w:val="bullet"/>
      <w:lvlText w:val="•"/>
      <w:lvlJc w:val="left"/>
      <w:pPr>
        <w:ind w:left="1988" w:hanging="452"/>
      </w:pPr>
      <w:rPr>
        <w:lang w:val="en-US" w:eastAsia="en-US" w:bidi="ar-SA"/>
      </w:rPr>
    </w:lvl>
    <w:lvl w:ilvl="5">
      <w:numFmt w:val="bullet"/>
      <w:lvlText w:val="•"/>
      <w:lvlJc w:val="left"/>
      <w:pPr>
        <w:ind w:left="3297" w:hanging="452"/>
      </w:pPr>
      <w:rPr>
        <w:lang w:val="en-US" w:eastAsia="en-US" w:bidi="ar-SA"/>
      </w:rPr>
    </w:lvl>
    <w:lvl w:ilvl="6">
      <w:numFmt w:val="bullet"/>
      <w:lvlText w:val="•"/>
      <w:lvlJc w:val="left"/>
      <w:pPr>
        <w:ind w:left="4606" w:hanging="452"/>
      </w:pPr>
      <w:rPr>
        <w:lang w:val="en-US" w:eastAsia="en-US" w:bidi="ar-SA"/>
      </w:rPr>
    </w:lvl>
    <w:lvl w:ilvl="7">
      <w:numFmt w:val="bullet"/>
      <w:lvlText w:val="•"/>
      <w:lvlJc w:val="left"/>
      <w:pPr>
        <w:ind w:left="5915" w:hanging="452"/>
      </w:pPr>
      <w:rPr>
        <w:lang w:val="en-US" w:eastAsia="en-US" w:bidi="ar-SA"/>
      </w:rPr>
    </w:lvl>
    <w:lvl w:ilvl="8">
      <w:numFmt w:val="bullet"/>
      <w:lvlText w:val="•"/>
      <w:lvlJc w:val="left"/>
      <w:pPr>
        <w:ind w:left="7224" w:hanging="452"/>
      </w:pPr>
      <w:rPr>
        <w:lang w:val="en-US" w:eastAsia="en-US" w:bidi="ar-SA"/>
      </w:rPr>
    </w:lvl>
  </w:abstractNum>
  <w:abstractNum w:abstractNumId="1" w15:restartNumberingAfterBreak="0">
    <w:nsid w:val="67D10BE7"/>
    <w:multiLevelType w:val="hybridMultilevel"/>
    <w:tmpl w:val="AE464DA0"/>
    <w:lvl w:ilvl="0" w:tplc="77707EF0">
      <w:start w:val="1"/>
      <w:numFmt w:val="decimal"/>
      <w:lvlText w:val="%1."/>
      <w:lvlJc w:val="left"/>
      <w:pPr>
        <w:ind w:left="679" w:hanging="360"/>
        <w:jc w:val="right"/>
      </w:pPr>
      <w:rPr>
        <w:rFonts w:ascii="Times New Roman" w:eastAsia="Times New Roman" w:hAnsi="Times New Roman" w:cs="Times New Roman" w:hint="default"/>
        <w:color w:val="231F20"/>
        <w:spacing w:val="-1"/>
        <w:w w:val="100"/>
        <w:sz w:val="18"/>
        <w:szCs w:val="18"/>
        <w:lang w:val="en-US" w:eastAsia="en-US" w:bidi="ar-SA"/>
      </w:rPr>
    </w:lvl>
    <w:lvl w:ilvl="1" w:tplc="52A874B4">
      <w:numFmt w:val="bullet"/>
      <w:lvlText w:val="•"/>
      <w:lvlJc w:val="left"/>
      <w:pPr>
        <w:ind w:left="1138" w:hanging="360"/>
      </w:pPr>
      <w:rPr>
        <w:rFonts w:hint="default"/>
        <w:lang w:val="en-US" w:eastAsia="en-US" w:bidi="ar-SA"/>
      </w:rPr>
    </w:lvl>
    <w:lvl w:ilvl="2" w:tplc="859632E8">
      <w:numFmt w:val="bullet"/>
      <w:lvlText w:val="•"/>
      <w:lvlJc w:val="left"/>
      <w:pPr>
        <w:ind w:left="1597" w:hanging="360"/>
      </w:pPr>
      <w:rPr>
        <w:rFonts w:hint="default"/>
        <w:lang w:val="en-US" w:eastAsia="en-US" w:bidi="ar-SA"/>
      </w:rPr>
    </w:lvl>
    <w:lvl w:ilvl="3" w:tplc="74AA2648">
      <w:numFmt w:val="bullet"/>
      <w:lvlText w:val="•"/>
      <w:lvlJc w:val="left"/>
      <w:pPr>
        <w:ind w:left="2056" w:hanging="360"/>
      </w:pPr>
      <w:rPr>
        <w:rFonts w:hint="default"/>
        <w:lang w:val="en-US" w:eastAsia="en-US" w:bidi="ar-SA"/>
      </w:rPr>
    </w:lvl>
    <w:lvl w:ilvl="4" w:tplc="0C14B58A">
      <w:numFmt w:val="bullet"/>
      <w:lvlText w:val="•"/>
      <w:lvlJc w:val="left"/>
      <w:pPr>
        <w:ind w:left="2515" w:hanging="360"/>
      </w:pPr>
      <w:rPr>
        <w:rFonts w:hint="default"/>
        <w:lang w:val="en-US" w:eastAsia="en-US" w:bidi="ar-SA"/>
      </w:rPr>
    </w:lvl>
    <w:lvl w:ilvl="5" w:tplc="FB64D996">
      <w:numFmt w:val="bullet"/>
      <w:lvlText w:val="•"/>
      <w:lvlJc w:val="left"/>
      <w:pPr>
        <w:ind w:left="2974" w:hanging="360"/>
      </w:pPr>
      <w:rPr>
        <w:rFonts w:hint="default"/>
        <w:lang w:val="en-US" w:eastAsia="en-US" w:bidi="ar-SA"/>
      </w:rPr>
    </w:lvl>
    <w:lvl w:ilvl="6" w:tplc="F9500460">
      <w:numFmt w:val="bullet"/>
      <w:lvlText w:val="•"/>
      <w:lvlJc w:val="left"/>
      <w:pPr>
        <w:ind w:left="3433" w:hanging="360"/>
      </w:pPr>
      <w:rPr>
        <w:rFonts w:hint="default"/>
        <w:lang w:val="en-US" w:eastAsia="en-US" w:bidi="ar-SA"/>
      </w:rPr>
    </w:lvl>
    <w:lvl w:ilvl="7" w:tplc="3AB6C0F8">
      <w:numFmt w:val="bullet"/>
      <w:lvlText w:val="•"/>
      <w:lvlJc w:val="left"/>
      <w:pPr>
        <w:ind w:left="3892" w:hanging="360"/>
      </w:pPr>
      <w:rPr>
        <w:rFonts w:hint="default"/>
        <w:lang w:val="en-US" w:eastAsia="en-US" w:bidi="ar-SA"/>
      </w:rPr>
    </w:lvl>
    <w:lvl w:ilvl="8" w:tplc="6C7EA418">
      <w:numFmt w:val="bullet"/>
      <w:lvlText w:val="•"/>
      <w:lvlJc w:val="left"/>
      <w:pPr>
        <w:ind w:left="4351" w:hanging="360"/>
      </w:pPr>
      <w:rPr>
        <w:rFonts w:hint="default"/>
        <w:lang w:val="en-US" w:eastAsia="en-US" w:bidi="ar-SA"/>
      </w:rPr>
    </w:lvl>
  </w:abstractNum>
  <w:abstractNum w:abstractNumId="2" w15:restartNumberingAfterBreak="0">
    <w:nsid w:val="7A305367"/>
    <w:multiLevelType w:val="hybridMultilevel"/>
    <w:tmpl w:val="95CE705C"/>
    <w:lvl w:ilvl="0" w:tplc="F032473A">
      <w:start w:val="1"/>
      <w:numFmt w:val="decimal"/>
      <w:lvlText w:val="(%1)"/>
      <w:lvlJc w:val="left"/>
      <w:pPr>
        <w:ind w:left="498" w:hanging="280"/>
      </w:pPr>
      <w:rPr>
        <w:rFonts w:ascii="Times New Roman" w:eastAsia="Times New Roman" w:hAnsi="Times New Roman" w:cs="Times New Roman" w:hint="default"/>
        <w:spacing w:val="-1"/>
        <w:w w:val="100"/>
        <w:sz w:val="20"/>
        <w:szCs w:val="20"/>
        <w:lang w:val="en-US" w:eastAsia="en-US" w:bidi="ar-SA"/>
      </w:rPr>
    </w:lvl>
    <w:lvl w:ilvl="1" w:tplc="F32CA276">
      <w:numFmt w:val="bullet"/>
      <w:lvlText w:val="•"/>
      <w:lvlJc w:val="left"/>
      <w:pPr>
        <w:ind w:left="1434" w:hanging="280"/>
      </w:pPr>
      <w:rPr>
        <w:lang w:val="en-US" w:eastAsia="en-US" w:bidi="ar-SA"/>
      </w:rPr>
    </w:lvl>
    <w:lvl w:ilvl="2" w:tplc="174E7288">
      <w:numFmt w:val="bullet"/>
      <w:lvlText w:val="•"/>
      <w:lvlJc w:val="left"/>
      <w:pPr>
        <w:ind w:left="2368" w:hanging="280"/>
      </w:pPr>
      <w:rPr>
        <w:lang w:val="en-US" w:eastAsia="en-US" w:bidi="ar-SA"/>
      </w:rPr>
    </w:lvl>
    <w:lvl w:ilvl="3" w:tplc="5BFC32AE">
      <w:numFmt w:val="bullet"/>
      <w:lvlText w:val="•"/>
      <w:lvlJc w:val="left"/>
      <w:pPr>
        <w:ind w:left="3302" w:hanging="280"/>
      </w:pPr>
      <w:rPr>
        <w:lang w:val="en-US" w:eastAsia="en-US" w:bidi="ar-SA"/>
      </w:rPr>
    </w:lvl>
    <w:lvl w:ilvl="4" w:tplc="CCB8615C">
      <w:numFmt w:val="bullet"/>
      <w:lvlText w:val="•"/>
      <w:lvlJc w:val="left"/>
      <w:pPr>
        <w:ind w:left="4236" w:hanging="280"/>
      </w:pPr>
      <w:rPr>
        <w:lang w:val="en-US" w:eastAsia="en-US" w:bidi="ar-SA"/>
      </w:rPr>
    </w:lvl>
    <w:lvl w:ilvl="5" w:tplc="64B278A4">
      <w:numFmt w:val="bullet"/>
      <w:lvlText w:val="•"/>
      <w:lvlJc w:val="left"/>
      <w:pPr>
        <w:ind w:left="5171" w:hanging="280"/>
      </w:pPr>
      <w:rPr>
        <w:lang w:val="en-US" w:eastAsia="en-US" w:bidi="ar-SA"/>
      </w:rPr>
    </w:lvl>
    <w:lvl w:ilvl="6" w:tplc="A00C6E96">
      <w:numFmt w:val="bullet"/>
      <w:lvlText w:val="•"/>
      <w:lvlJc w:val="left"/>
      <w:pPr>
        <w:ind w:left="6105" w:hanging="280"/>
      </w:pPr>
      <w:rPr>
        <w:lang w:val="en-US" w:eastAsia="en-US" w:bidi="ar-SA"/>
      </w:rPr>
    </w:lvl>
    <w:lvl w:ilvl="7" w:tplc="E2684926">
      <w:numFmt w:val="bullet"/>
      <w:lvlText w:val="•"/>
      <w:lvlJc w:val="left"/>
      <w:pPr>
        <w:ind w:left="7039" w:hanging="280"/>
      </w:pPr>
      <w:rPr>
        <w:lang w:val="en-US" w:eastAsia="en-US" w:bidi="ar-SA"/>
      </w:rPr>
    </w:lvl>
    <w:lvl w:ilvl="8" w:tplc="8C540B28">
      <w:numFmt w:val="bullet"/>
      <w:lvlText w:val="•"/>
      <w:lvlJc w:val="left"/>
      <w:pPr>
        <w:ind w:left="7973" w:hanging="280"/>
      </w:pPr>
      <w:rPr>
        <w:lang w:val="en-US" w:eastAsia="en-US" w:bidi="ar-S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
    <w:abstractNumId w:val="2"/>
  </w:num>
  <w:num w:numId="4">
    <w:abstractNumId w:val="2"/>
    <w:lvlOverride w:ilvl="0">
      <w:startOverride w:val="1"/>
    </w:lvlOverride>
    <w:lvlOverride w:ilvl="1"/>
    <w:lvlOverride w:ilvl="2"/>
    <w:lvlOverride w:ilvl="3"/>
    <w:lvlOverride w:ilvl="4"/>
    <w:lvlOverride w:ilvl="5"/>
    <w:lvlOverride w:ilvl="6"/>
    <w:lvlOverride w:ilvl="7"/>
    <w:lvlOverride w:ilvl="8"/>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67C"/>
    <w:rsid w:val="00011812"/>
    <w:rsid w:val="0004284A"/>
    <w:rsid w:val="00061937"/>
    <w:rsid w:val="00063CF2"/>
    <w:rsid w:val="000717EA"/>
    <w:rsid w:val="00081B85"/>
    <w:rsid w:val="00094347"/>
    <w:rsid w:val="000B1739"/>
    <w:rsid w:val="000B6387"/>
    <w:rsid w:val="000D3F95"/>
    <w:rsid w:val="000E6302"/>
    <w:rsid w:val="000E7BEE"/>
    <w:rsid w:val="00115983"/>
    <w:rsid w:val="001233F3"/>
    <w:rsid w:val="00150D28"/>
    <w:rsid w:val="001625EE"/>
    <w:rsid w:val="00164CD8"/>
    <w:rsid w:val="00180BD7"/>
    <w:rsid w:val="001D0F18"/>
    <w:rsid w:val="001D34C3"/>
    <w:rsid w:val="001F6D68"/>
    <w:rsid w:val="00227A17"/>
    <w:rsid w:val="0023172E"/>
    <w:rsid w:val="00294890"/>
    <w:rsid w:val="002C0015"/>
    <w:rsid w:val="002C1F95"/>
    <w:rsid w:val="002C3863"/>
    <w:rsid w:val="002F4B27"/>
    <w:rsid w:val="00317C8A"/>
    <w:rsid w:val="00327A3F"/>
    <w:rsid w:val="00330E7A"/>
    <w:rsid w:val="00353B2F"/>
    <w:rsid w:val="00383715"/>
    <w:rsid w:val="0038720C"/>
    <w:rsid w:val="003B011B"/>
    <w:rsid w:val="003B1EEF"/>
    <w:rsid w:val="003F143F"/>
    <w:rsid w:val="003F4BDE"/>
    <w:rsid w:val="00403489"/>
    <w:rsid w:val="00424858"/>
    <w:rsid w:val="00425669"/>
    <w:rsid w:val="004348CF"/>
    <w:rsid w:val="00450F8F"/>
    <w:rsid w:val="004750DA"/>
    <w:rsid w:val="0048396E"/>
    <w:rsid w:val="00494E7B"/>
    <w:rsid w:val="004B50EA"/>
    <w:rsid w:val="004C4C1E"/>
    <w:rsid w:val="004E7BD8"/>
    <w:rsid w:val="005209DF"/>
    <w:rsid w:val="0053571C"/>
    <w:rsid w:val="00573F6B"/>
    <w:rsid w:val="00583565"/>
    <w:rsid w:val="005A2509"/>
    <w:rsid w:val="005A5344"/>
    <w:rsid w:val="005B6290"/>
    <w:rsid w:val="005C5F6F"/>
    <w:rsid w:val="005F4641"/>
    <w:rsid w:val="005F6869"/>
    <w:rsid w:val="006260E0"/>
    <w:rsid w:val="00664A84"/>
    <w:rsid w:val="00685B3C"/>
    <w:rsid w:val="006B704E"/>
    <w:rsid w:val="006E5F1C"/>
    <w:rsid w:val="006F1419"/>
    <w:rsid w:val="007049AB"/>
    <w:rsid w:val="00704C9D"/>
    <w:rsid w:val="00714679"/>
    <w:rsid w:val="007A25AE"/>
    <w:rsid w:val="007B3204"/>
    <w:rsid w:val="007C04B3"/>
    <w:rsid w:val="007D2171"/>
    <w:rsid w:val="007F14D8"/>
    <w:rsid w:val="008063BA"/>
    <w:rsid w:val="00814A92"/>
    <w:rsid w:val="008339FB"/>
    <w:rsid w:val="00845D66"/>
    <w:rsid w:val="00862C92"/>
    <w:rsid w:val="00880FC6"/>
    <w:rsid w:val="008916FE"/>
    <w:rsid w:val="008A65F9"/>
    <w:rsid w:val="008C3002"/>
    <w:rsid w:val="008D7464"/>
    <w:rsid w:val="009022EA"/>
    <w:rsid w:val="00907618"/>
    <w:rsid w:val="0093663D"/>
    <w:rsid w:val="0094523D"/>
    <w:rsid w:val="00984317"/>
    <w:rsid w:val="00991F2D"/>
    <w:rsid w:val="009978B3"/>
    <w:rsid w:val="009A067C"/>
    <w:rsid w:val="009B2117"/>
    <w:rsid w:val="009C4170"/>
    <w:rsid w:val="009E1B3D"/>
    <w:rsid w:val="009E7729"/>
    <w:rsid w:val="00A00D2A"/>
    <w:rsid w:val="00A26FA6"/>
    <w:rsid w:val="00A27028"/>
    <w:rsid w:val="00A55C72"/>
    <w:rsid w:val="00A61CB1"/>
    <w:rsid w:val="00A72CF5"/>
    <w:rsid w:val="00A73EC4"/>
    <w:rsid w:val="00A97738"/>
    <w:rsid w:val="00AA6282"/>
    <w:rsid w:val="00AB14CF"/>
    <w:rsid w:val="00AB1F84"/>
    <w:rsid w:val="00AB5B8C"/>
    <w:rsid w:val="00AC112A"/>
    <w:rsid w:val="00AD1295"/>
    <w:rsid w:val="00AE648A"/>
    <w:rsid w:val="00AF0F95"/>
    <w:rsid w:val="00B01422"/>
    <w:rsid w:val="00B07760"/>
    <w:rsid w:val="00B37B47"/>
    <w:rsid w:val="00B4329E"/>
    <w:rsid w:val="00B71871"/>
    <w:rsid w:val="00B84320"/>
    <w:rsid w:val="00B974A7"/>
    <w:rsid w:val="00BA0018"/>
    <w:rsid w:val="00BA6126"/>
    <w:rsid w:val="00BB365C"/>
    <w:rsid w:val="00BE7D32"/>
    <w:rsid w:val="00BF70D0"/>
    <w:rsid w:val="00C02D27"/>
    <w:rsid w:val="00C07C76"/>
    <w:rsid w:val="00C15928"/>
    <w:rsid w:val="00C40E0A"/>
    <w:rsid w:val="00C421FB"/>
    <w:rsid w:val="00C508B3"/>
    <w:rsid w:val="00C5515A"/>
    <w:rsid w:val="00C6535B"/>
    <w:rsid w:val="00C85F6E"/>
    <w:rsid w:val="00CC65E1"/>
    <w:rsid w:val="00CD2134"/>
    <w:rsid w:val="00CD37DA"/>
    <w:rsid w:val="00CD4871"/>
    <w:rsid w:val="00CE3F4F"/>
    <w:rsid w:val="00D461C6"/>
    <w:rsid w:val="00D52498"/>
    <w:rsid w:val="00D72332"/>
    <w:rsid w:val="00D748D0"/>
    <w:rsid w:val="00D84F9F"/>
    <w:rsid w:val="00D85C87"/>
    <w:rsid w:val="00D87CCA"/>
    <w:rsid w:val="00DA4E12"/>
    <w:rsid w:val="00DB3CBC"/>
    <w:rsid w:val="00E064CB"/>
    <w:rsid w:val="00E1611F"/>
    <w:rsid w:val="00E16376"/>
    <w:rsid w:val="00E63C39"/>
    <w:rsid w:val="00E679C1"/>
    <w:rsid w:val="00E74A35"/>
    <w:rsid w:val="00E902FF"/>
    <w:rsid w:val="00E91573"/>
    <w:rsid w:val="00EB2D2A"/>
    <w:rsid w:val="00EC439A"/>
    <w:rsid w:val="00F06EFC"/>
    <w:rsid w:val="00F10BE5"/>
    <w:rsid w:val="00F14BB3"/>
    <w:rsid w:val="00F171A0"/>
    <w:rsid w:val="00F41465"/>
    <w:rsid w:val="00F42685"/>
    <w:rsid w:val="00F51DF7"/>
    <w:rsid w:val="00F57F6C"/>
    <w:rsid w:val="00F731FD"/>
    <w:rsid w:val="00F7578A"/>
    <w:rsid w:val="00F75C11"/>
    <w:rsid w:val="00FA12D8"/>
    <w:rsid w:val="00FA277F"/>
    <w:rsid w:val="00FA6BEC"/>
    <w:rsid w:val="00FB67BB"/>
    <w:rsid w:val="00FD0A7B"/>
    <w:rsid w:val="00FD0D3D"/>
    <w:rsid w:val="00FD6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E775E"/>
  <w15:chartTrackingRefBased/>
  <w15:docId w15:val="{C9C39ABA-0228-4BE8-9001-6A5070DD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360" w:line="360"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D0F18"/>
    <w:pPr>
      <w:widowControl w:val="0"/>
      <w:autoSpaceDE w:val="0"/>
      <w:autoSpaceDN w:val="0"/>
      <w:spacing w:after="0" w:line="240" w:lineRule="auto"/>
    </w:pPr>
    <w:rPr>
      <w:rFonts w:eastAsia="Times New Roman" w:cs="Times New Roman"/>
      <w:sz w:val="22"/>
    </w:rPr>
  </w:style>
  <w:style w:type="paragraph" w:styleId="Heading1">
    <w:name w:val="heading 1"/>
    <w:basedOn w:val="Normal"/>
    <w:link w:val="Heading1Char"/>
    <w:uiPriority w:val="1"/>
    <w:qFormat/>
    <w:rsid w:val="001D0F18"/>
    <w:pPr>
      <w:spacing w:before="89"/>
      <w:ind w:left="418" w:hanging="201"/>
      <w:jc w:val="both"/>
      <w:outlineLvl w:val="0"/>
    </w:pPr>
    <w:rPr>
      <w:b/>
      <w:bCs/>
      <w:sz w:val="20"/>
      <w:szCs w:val="20"/>
    </w:rPr>
  </w:style>
  <w:style w:type="paragraph" w:styleId="Heading2">
    <w:name w:val="heading 2"/>
    <w:basedOn w:val="Normal"/>
    <w:next w:val="Normal"/>
    <w:link w:val="Heading2Char"/>
    <w:uiPriority w:val="1"/>
    <w:unhideWhenUsed/>
    <w:qFormat/>
    <w:rsid w:val="0042566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1"/>
    <w:unhideWhenUsed/>
    <w:qFormat/>
    <w:rsid w:val="0042566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D0F18"/>
    <w:rPr>
      <w:rFonts w:eastAsia="Times New Roman" w:cs="Times New Roman"/>
      <w:b/>
      <w:bCs/>
      <w:sz w:val="20"/>
      <w:szCs w:val="20"/>
    </w:rPr>
  </w:style>
  <w:style w:type="paragraph" w:customStyle="1" w:styleId="msonormal0">
    <w:name w:val="msonormal"/>
    <w:basedOn w:val="Normal"/>
    <w:rsid w:val="001D0F18"/>
    <w:pPr>
      <w:widowControl/>
      <w:autoSpaceDE/>
      <w:autoSpaceDN/>
      <w:spacing w:before="100" w:beforeAutospacing="1" w:after="100" w:afterAutospacing="1"/>
    </w:pPr>
    <w:rPr>
      <w:sz w:val="24"/>
      <w:szCs w:val="24"/>
    </w:rPr>
  </w:style>
  <w:style w:type="paragraph" w:styleId="Title">
    <w:name w:val="Title"/>
    <w:basedOn w:val="Normal"/>
    <w:link w:val="TitleChar"/>
    <w:uiPriority w:val="1"/>
    <w:qFormat/>
    <w:rsid w:val="001D0F18"/>
    <w:pPr>
      <w:spacing w:before="87"/>
      <w:ind w:left="530" w:right="529" w:firstLine="2"/>
      <w:jc w:val="center"/>
    </w:pPr>
    <w:rPr>
      <w:sz w:val="32"/>
      <w:szCs w:val="32"/>
    </w:rPr>
  </w:style>
  <w:style w:type="character" w:customStyle="1" w:styleId="TitleChar">
    <w:name w:val="Title Char"/>
    <w:basedOn w:val="DefaultParagraphFont"/>
    <w:link w:val="Title"/>
    <w:uiPriority w:val="1"/>
    <w:rsid w:val="001D0F18"/>
    <w:rPr>
      <w:rFonts w:eastAsia="Times New Roman" w:cs="Times New Roman"/>
      <w:sz w:val="32"/>
      <w:szCs w:val="32"/>
    </w:rPr>
  </w:style>
  <w:style w:type="paragraph" w:styleId="BodyText">
    <w:name w:val="Body Text"/>
    <w:basedOn w:val="Normal"/>
    <w:link w:val="BodyTextChar"/>
    <w:uiPriority w:val="1"/>
    <w:unhideWhenUsed/>
    <w:qFormat/>
    <w:rsid w:val="001D0F18"/>
    <w:pPr>
      <w:spacing w:before="82"/>
      <w:ind w:left="218"/>
      <w:jc w:val="both"/>
    </w:pPr>
    <w:rPr>
      <w:sz w:val="20"/>
      <w:szCs w:val="20"/>
    </w:rPr>
  </w:style>
  <w:style w:type="character" w:customStyle="1" w:styleId="BodyTextChar">
    <w:name w:val="Body Text Char"/>
    <w:basedOn w:val="DefaultParagraphFont"/>
    <w:link w:val="BodyText"/>
    <w:uiPriority w:val="1"/>
    <w:rsid w:val="001D0F18"/>
    <w:rPr>
      <w:rFonts w:eastAsia="Times New Roman" w:cs="Times New Roman"/>
      <w:sz w:val="20"/>
      <w:szCs w:val="20"/>
    </w:rPr>
  </w:style>
  <w:style w:type="paragraph" w:styleId="ListParagraph">
    <w:name w:val="List Paragraph"/>
    <w:basedOn w:val="Normal"/>
    <w:uiPriority w:val="1"/>
    <w:qFormat/>
    <w:rsid w:val="001D0F18"/>
    <w:pPr>
      <w:spacing w:before="82"/>
      <w:ind w:left="418" w:hanging="201"/>
      <w:jc w:val="both"/>
    </w:pPr>
  </w:style>
  <w:style w:type="paragraph" w:customStyle="1" w:styleId="TableParagraph">
    <w:name w:val="Table Paragraph"/>
    <w:basedOn w:val="Normal"/>
    <w:uiPriority w:val="1"/>
    <w:qFormat/>
    <w:rsid w:val="001D0F18"/>
    <w:pPr>
      <w:spacing w:line="195" w:lineRule="exact"/>
      <w:ind w:left="108"/>
    </w:pPr>
  </w:style>
  <w:style w:type="character" w:styleId="Hyperlink">
    <w:name w:val="Hyperlink"/>
    <w:basedOn w:val="DefaultParagraphFont"/>
    <w:uiPriority w:val="99"/>
    <w:semiHidden/>
    <w:unhideWhenUsed/>
    <w:rsid w:val="001D0F18"/>
    <w:rPr>
      <w:color w:val="0000FF"/>
      <w:u w:val="single"/>
    </w:rPr>
  </w:style>
  <w:style w:type="character" w:styleId="FollowedHyperlink">
    <w:name w:val="FollowedHyperlink"/>
    <w:basedOn w:val="DefaultParagraphFont"/>
    <w:uiPriority w:val="99"/>
    <w:semiHidden/>
    <w:unhideWhenUsed/>
    <w:rsid w:val="001D0F18"/>
    <w:rPr>
      <w:color w:val="800080"/>
      <w:u w:val="single"/>
    </w:rPr>
  </w:style>
  <w:style w:type="character" w:customStyle="1" w:styleId="Heading2Char">
    <w:name w:val="Heading 2 Char"/>
    <w:basedOn w:val="DefaultParagraphFont"/>
    <w:link w:val="Heading2"/>
    <w:uiPriority w:val="1"/>
    <w:rsid w:val="0042566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1"/>
    <w:rsid w:val="0042566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425669"/>
    <w:rPr>
      <w:rFonts w:ascii="Tahoma" w:hAnsi="Tahoma" w:cs="Tahoma"/>
      <w:sz w:val="16"/>
      <w:szCs w:val="16"/>
    </w:rPr>
  </w:style>
  <w:style w:type="character" w:customStyle="1" w:styleId="BalloonTextChar">
    <w:name w:val="Balloon Text Char"/>
    <w:basedOn w:val="DefaultParagraphFont"/>
    <w:link w:val="BalloonText"/>
    <w:uiPriority w:val="99"/>
    <w:semiHidden/>
    <w:rsid w:val="0042566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291013">
      <w:bodyDiv w:val="1"/>
      <w:marLeft w:val="0"/>
      <w:marRight w:val="0"/>
      <w:marTop w:val="0"/>
      <w:marBottom w:val="0"/>
      <w:divBdr>
        <w:top w:val="none" w:sz="0" w:space="0" w:color="auto"/>
        <w:left w:val="none" w:sz="0" w:space="0" w:color="auto"/>
        <w:bottom w:val="none" w:sz="0" w:space="0" w:color="auto"/>
        <w:right w:val="none" w:sz="0" w:space="0" w:color="auto"/>
      </w:divBdr>
    </w:div>
    <w:div w:id="51354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10</Pages>
  <Words>1668</Words>
  <Characters>9513</Characters>
  <Application>Microsoft Office Word</Application>
  <DocSecurity>0</DocSecurity>
  <Lines>79</Lines>
  <Paragraphs>22</Paragraphs>
  <ScaleCrop>false</ScaleCrop>
  <Company>Microsoft</Company>
  <LinksUpToDate>false</LinksUpToDate>
  <CharactersWithSpaces>11159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174</cp:revision>
  <dcterms:created xsi:type="dcterms:W3CDTF">2022-06-20T14:34:00Z</dcterms:created>
  <dcterms:modified xsi:type="dcterms:W3CDTF">2022-06-21T06:39:00Z</dcterms:modified>
</cp:coreProperties>
</file>