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Word_2A_Resume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 Instructional project 2A - Resume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file </w:t>
            </w:r>
            <w:r>
              <w:rPr>
                <w:sz/>
                <w:i/>
              </w:rPr>
              <w:rFonts/>
              <w:t xml:space="preserve">Student_Word_2A_Resume</w:t>
            </w:r>
            <w:r>
              <w:rPr>
                <w:sz/>
                <w:i/>
              </w:rPr>
              <w:rFonts/>
              <w:t xml:space="preserve">.docx</w:t>
            </w:r>
            <w:r>
              <w:rPr>
                <w:sz/>
              </w:rPr>
              <w:rFonts/>
              <w:t xml:space="preserve"> downloaded with this project.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Complete Activity 2.01.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Complete Activity 2.02.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Complete Activity 2.03.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Complete Activity 2.04.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Complete Activity 2.05.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Complete Activity 2.06.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Complete Activity 2.07. 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Complete Activity 2.08.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Complete Activity 2.09. 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Complete Activity 2.10. 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Complete Activity 2.11.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Save and close the file, and then submit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01/25/2022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GO22_WD_CH02_GRADER_2A_HW - Resume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2022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5d1692482424f1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ed32cb7870d74823" /></Relationships>
</file>

<file path=customXML/item3.xml><?xml version="1.0" encoding="utf-8"?>
<project>
  <id>InstructionDoc</id>
</project>
</file>

<file path=customXML/itemProps3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