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597"/>
          <w:sz w:val="40"/>
        </w:rPr>
        <w:t>PROMUEVE MÁS S.A.S.</w:t>
      </w:r>
    </w:p>
    <w:p>
      <w:pPr>
        <w:jc w:val="center"/>
      </w:pPr>
      <w:r>
        <w:rPr>
          <w:b/>
        </w:rPr>
        <w:t>DIRECCIÓN ADMINISTRATIVA Y FINANCIERA</w:t>
      </w:r>
    </w:p>
    <w:p/>
    <w:p/>
    <w:p/>
    <w:p>
      <w:pPr>
        <w:jc w:val="center"/>
      </w:pPr>
      <w:r>
        <w:rPr>
          <w:b/>
          <w:color w:val="203864"/>
          <w:sz w:val="38"/>
        </w:rPr>
        <w:t>INFORME TRIMESTRAL DE MONITOREO</w:t>
        <w:br/>
        <w:t>DE CIBERSEGURIDAD DE LA PÁGINA INSTITUCIONAL</w:t>
      </w:r>
    </w:p>
    <w:p>
      <w:pPr>
        <w:jc w:val="center"/>
      </w:pPr>
      <w:r>
        <w:rPr>
          <w:b/>
          <w:sz w:val="26"/>
        </w:rPr>
        <w:t>Diagnóstico externo, remediación y verificación técnica</w:t>
      </w:r>
    </w:p>
    <w:p>
      <w:pPr>
        <w:jc w:val="center"/>
      </w:pPr>
      <w:r>
        <w:rPr>
          <w:b/>
        </w:rPr>
        <w:t>Segundo trimestre de 2026 – Corte al 30 de junio de 2026</w:t>
      </w:r>
    </w:p>
    <w:p/>
    <w:p/>
    <w:p/>
    <w:p>
      <w:pPr>
        <w:jc w:val="center"/>
      </w:pPr>
      <w:r>
        <w:t>Elaborado por: Hamilton Quintero García</w:t>
        <w:br/>
        <w:t>Técnico Administrativo y Financiero</w:t>
      </w:r>
    </w:p>
    <w:p/>
    <w:p/>
    <w:p>
      <w:pPr>
        <w:jc w:val="center"/>
      </w:pPr>
      <w:r>
        <w:t>Manizales, Caldas</w:t>
        <w:br/>
        <w:t>Julio de 2026</w:t>
      </w:r>
    </w:p>
    <w:p>
      <w:r>
        <w:br w:type="page"/>
      </w:r>
    </w:p>
    <w:p>
      <w:pPr>
        <w:pStyle w:val="Heading1"/>
      </w:pPr>
      <w:r>
        <w:t>INFORMACIÓN GENERAL</w:t>
      </w:r>
    </w:p>
    <w:tbl>
      <w:tblPr>
        <w:tblStyle w:val="TableGrid"/>
        <w:tblW w:type="auto" w:w="0"/>
        <w:jc w:val="center"/>
        <w:tblLook w:firstColumn="1" w:firstRow="1" w:lastColumn="0" w:lastRow="0" w:noHBand="0" w:noVBand="1" w:val="04A0"/>
      </w:tblPr>
      <w:tblGrid>
        <w:gridCol w:w="4873"/>
        <w:gridCol w:w="4873"/>
      </w:tblGrid>
      <w:tr>
        <w:tc>
          <w:tcPr>
            <w:tcW w:type="dxa" w:w="4873"/>
            <w:vAlign w:val="center"/>
            <w:shd w:fill="2F5597"/>
          </w:tcPr>
          <w:p>
            <w:pPr>
              <w:spacing w:after="0"/>
              <w:jc w:val="left"/>
            </w:pPr>
            <w:r/>
            <w:r>
              <w:rPr>
                <w:rFonts w:ascii="Arial" w:hAnsi="Arial"/>
                <w:b/>
                <w:color w:val="FFFFFF"/>
                <w:sz w:val="17"/>
              </w:rPr>
              <w:t>Entidad</w:t>
            </w:r>
          </w:p>
        </w:tc>
        <w:tc>
          <w:tcPr>
            <w:tcW w:type="dxa" w:w="4873"/>
            <w:vAlign w:val="center"/>
          </w:tcPr>
          <w:p>
            <w:pPr>
              <w:spacing w:after="0"/>
              <w:jc w:val="left"/>
            </w:pPr>
            <w:r/>
            <w:r>
              <w:rPr>
                <w:rFonts w:ascii="Arial" w:hAnsi="Arial"/>
                <w:b w:val="0"/>
                <w:sz w:val="17"/>
              </w:rPr>
              <w:t>Promueve Más S.A.S.</w:t>
            </w:r>
          </w:p>
        </w:tc>
      </w:tr>
      <w:tr>
        <w:tc>
          <w:tcPr>
            <w:tcW w:type="dxa" w:w="4873"/>
            <w:vAlign w:val="center"/>
            <w:shd w:fill="2F5597"/>
          </w:tcPr>
          <w:p>
            <w:pPr>
              <w:spacing w:after="0"/>
              <w:jc w:val="left"/>
            </w:pPr>
            <w:r/>
            <w:r>
              <w:rPr>
                <w:rFonts w:ascii="Arial" w:hAnsi="Arial"/>
                <w:b/>
                <w:color w:val="FFFFFF"/>
                <w:sz w:val="17"/>
              </w:rPr>
              <w:t>Actividad</w:t>
            </w:r>
          </w:p>
        </w:tc>
        <w:tc>
          <w:tcPr>
            <w:tcW w:type="dxa" w:w="4873"/>
            <w:vAlign w:val="center"/>
          </w:tcPr>
          <w:p>
            <w:pPr>
              <w:spacing w:after="0"/>
              <w:jc w:val="left"/>
            </w:pPr>
            <w:r/>
            <w:r>
              <w:rPr>
                <w:rFonts w:ascii="Arial" w:hAnsi="Arial"/>
                <w:b w:val="0"/>
                <w:sz w:val="17"/>
              </w:rPr>
              <w:t>Monitoreo de ataques cibernéticos a la página institucional</w:t>
            </w:r>
          </w:p>
        </w:tc>
      </w:tr>
      <w:tr>
        <w:tc>
          <w:tcPr>
            <w:tcW w:type="dxa" w:w="4873"/>
            <w:vAlign w:val="center"/>
            <w:shd w:fill="2F5597"/>
          </w:tcPr>
          <w:p>
            <w:pPr>
              <w:spacing w:after="0"/>
              <w:jc w:val="left"/>
            </w:pPr>
            <w:r/>
            <w:r>
              <w:rPr>
                <w:rFonts w:ascii="Arial" w:hAnsi="Arial"/>
                <w:b/>
                <w:color w:val="FFFFFF"/>
                <w:sz w:val="17"/>
              </w:rPr>
              <w:t>Dominio</w:t>
            </w:r>
          </w:p>
        </w:tc>
        <w:tc>
          <w:tcPr>
            <w:tcW w:type="dxa" w:w="4873"/>
            <w:vAlign w:val="center"/>
          </w:tcPr>
          <w:p>
            <w:pPr>
              <w:spacing w:after="0"/>
              <w:jc w:val="left"/>
            </w:pPr>
            <w:r/>
            <w:r>
              <w:rPr>
                <w:rFonts w:ascii="Arial" w:hAnsi="Arial"/>
                <w:b w:val="0"/>
                <w:sz w:val="17"/>
              </w:rPr>
              <w:t>promuevemas.com</w:t>
            </w:r>
          </w:p>
        </w:tc>
      </w:tr>
      <w:tr>
        <w:tc>
          <w:tcPr>
            <w:tcW w:type="dxa" w:w="4873"/>
            <w:vAlign w:val="center"/>
            <w:shd w:fill="2F5597"/>
          </w:tcPr>
          <w:p>
            <w:pPr>
              <w:spacing w:after="0"/>
              <w:jc w:val="left"/>
            </w:pPr>
            <w:r/>
            <w:r>
              <w:rPr>
                <w:rFonts w:ascii="Arial" w:hAnsi="Arial"/>
                <w:b/>
                <w:color w:val="FFFFFF"/>
                <w:sz w:val="17"/>
              </w:rPr>
              <w:t>Período evaluado</w:t>
            </w:r>
          </w:p>
        </w:tc>
        <w:tc>
          <w:tcPr>
            <w:tcW w:type="dxa" w:w="4873"/>
            <w:vAlign w:val="center"/>
          </w:tcPr>
          <w:p>
            <w:pPr>
              <w:spacing w:after="0"/>
              <w:jc w:val="left"/>
            </w:pPr>
            <w:r/>
            <w:r>
              <w:rPr>
                <w:rFonts w:ascii="Arial" w:hAnsi="Arial"/>
                <w:b w:val="0"/>
                <w:sz w:val="17"/>
              </w:rPr>
              <w:t>1 de abril al 30 de junio de 2026</w:t>
            </w:r>
          </w:p>
        </w:tc>
      </w:tr>
      <w:tr>
        <w:tc>
          <w:tcPr>
            <w:tcW w:type="dxa" w:w="4873"/>
            <w:vAlign w:val="center"/>
            <w:shd w:fill="2F5597"/>
          </w:tcPr>
          <w:p>
            <w:pPr>
              <w:spacing w:after="0"/>
              <w:jc w:val="left"/>
            </w:pPr>
            <w:r/>
            <w:r>
              <w:rPr>
                <w:rFonts w:ascii="Arial" w:hAnsi="Arial"/>
                <w:b/>
                <w:color w:val="FFFFFF"/>
                <w:sz w:val="17"/>
              </w:rPr>
              <w:t>Fecha de corte</w:t>
            </w:r>
          </w:p>
        </w:tc>
        <w:tc>
          <w:tcPr>
            <w:tcW w:type="dxa" w:w="4873"/>
            <w:vAlign w:val="center"/>
          </w:tcPr>
          <w:p>
            <w:pPr>
              <w:spacing w:after="0"/>
              <w:jc w:val="left"/>
            </w:pPr>
            <w:r/>
            <w:r>
              <w:rPr>
                <w:rFonts w:ascii="Arial" w:hAnsi="Arial"/>
                <w:b w:val="0"/>
                <w:sz w:val="17"/>
              </w:rPr>
              <w:t>30 de junio de 2026</w:t>
            </w:r>
          </w:p>
        </w:tc>
      </w:tr>
      <w:tr>
        <w:tc>
          <w:tcPr>
            <w:tcW w:type="dxa" w:w="4873"/>
            <w:vAlign w:val="center"/>
            <w:shd w:fill="2F5597"/>
          </w:tcPr>
          <w:p>
            <w:pPr>
              <w:spacing w:after="0"/>
              <w:jc w:val="left"/>
            </w:pPr>
            <w:r/>
            <w:r>
              <w:rPr>
                <w:rFonts w:ascii="Arial" w:hAnsi="Arial"/>
                <w:b/>
                <w:color w:val="FFFFFF"/>
                <w:sz w:val="17"/>
              </w:rPr>
              <w:t>Estado</w:t>
            </w:r>
          </w:p>
        </w:tc>
        <w:tc>
          <w:tcPr>
            <w:tcW w:type="dxa" w:w="4873"/>
            <w:vAlign w:val="center"/>
          </w:tcPr>
          <w:p>
            <w:pPr>
              <w:spacing w:after="0"/>
              <w:jc w:val="left"/>
            </w:pPr>
            <w:r/>
            <w:r>
              <w:rPr>
                <w:rFonts w:ascii="Arial" w:hAnsi="Arial"/>
                <w:b w:val="0"/>
                <w:sz w:val="17"/>
              </w:rPr>
              <w:t>Ejecutado con acciones de remediación en curso</w:t>
            </w:r>
          </w:p>
        </w:tc>
      </w:tr>
      <w:tr>
        <w:tc>
          <w:tcPr>
            <w:tcW w:type="dxa" w:w="4873"/>
            <w:vAlign w:val="center"/>
            <w:shd w:fill="2F5597"/>
          </w:tcPr>
          <w:p>
            <w:pPr>
              <w:spacing w:after="0"/>
              <w:jc w:val="left"/>
            </w:pPr>
            <w:r/>
            <w:r>
              <w:rPr>
                <w:rFonts w:ascii="Arial" w:hAnsi="Arial"/>
                <w:b/>
                <w:color w:val="FFFFFF"/>
                <w:sz w:val="17"/>
              </w:rPr>
              <w:t>Responsable</w:t>
            </w:r>
          </w:p>
        </w:tc>
        <w:tc>
          <w:tcPr>
            <w:tcW w:type="dxa" w:w="4873"/>
            <w:vAlign w:val="center"/>
          </w:tcPr>
          <w:p>
            <w:pPr>
              <w:spacing w:after="0"/>
              <w:jc w:val="left"/>
            </w:pPr>
            <w:r/>
            <w:r>
              <w:rPr>
                <w:rFonts w:ascii="Arial" w:hAnsi="Arial"/>
                <w:b w:val="0"/>
                <w:sz w:val="17"/>
              </w:rPr>
              <w:t>Dirección Administrativa y Financiera – Gestión de TI</w:t>
            </w:r>
          </w:p>
        </w:tc>
      </w:tr>
    </w:tbl>
    <w:p>
      <w:pPr>
        <w:pStyle w:val="Heading1"/>
      </w:pPr>
      <w:r>
        <w:t>1. INTRODUCCIÓN</w:t>
      </w:r>
    </w:p>
    <w:p>
      <w:pPr>
        <w:jc w:val="both"/>
      </w:pPr>
      <w:r>
        <w:t>Durante el segundo trimestre de 2026 Promueve Más S.A.S. recibió una evaluación externa de la superficie de ataque del dominio promuevemas.com, estableció una línea base de seguridad y ejecutó un plan técnico de remediación. Esta actividad forma parte de la implementación inicial del Plan de Tratamiento de Riesgos, práctica que no existía formalmente en 2025.</w:t>
      </w:r>
    </w:p>
    <w:p>
      <w:pPr>
        <w:jc w:val="center"/>
      </w:pPr>
      <w:r>
        <w:drawing>
          <wp:inline xmlns:a="http://schemas.openxmlformats.org/drawingml/2006/main" xmlns:pic="http://schemas.openxmlformats.org/drawingml/2006/picture">
            <wp:extent cx="6217920" cy="2759270"/>
            <wp:docPr id="1" name="Picture 1"/>
            <wp:cNvGraphicFramePr>
              <a:graphicFrameLocks noChangeAspect="1"/>
            </wp:cNvGraphicFramePr>
            <a:graphic>
              <a:graphicData uri="http://schemas.openxmlformats.org/drawingml/2006/picture">
                <pic:pic>
                  <pic:nvPicPr>
                    <pic:cNvPr id="0" name="01_comparacion_2025_2026.png"/>
                    <pic:cNvPicPr/>
                  </pic:nvPicPr>
                  <pic:blipFill>
                    <a:blip r:embed="rId11"/>
                    <a:stretch>
                      <a:fillRect/>
                    </a:stretch>
                  </pic:blipFill>
                  <pic:spPr>
                    <a:xfrm>
                      <a:off x="0" y="0"/>
                      <a:ext cx="6217920" cy="2759270"/>
                    </a:xfrm>
                    <a:prstGeom prst="rect"/>
                  </pic:spPr>
                </pic:pic>
              </a:graphicData>
            </a:graphic>
          </wp:inline>
        </w:drawing>
      </w:r>
    </w:p>
    <w:p>
      <w:pPr>
        <w:spacing w:after="160"/>
        <w:jc w:val="center"/>
      </w:pPr>
      <w:r>
        <w:rPr>
          <w:i/>
          <w:color w:val="595959"/>
          <w:sz w:val="16"/>
        </w:rPr>
        <w:t>Gráfica 1. Evolución 2025–2026 de las prácticas institucionales de gestión de riesgos y monitoreo web.</w:t>
      </w:r>
    </w:p>
    <w:p>
      <w:pPr>
        <w:pStyle w:val="Heading1"/>
      </w:pPr>
      <w:r>
        <w:t>2. OBJETIVO</w:t>
      </w:r>
    </w:p>
    <w:p>
      <w:pPr>
        <w:jc w:val="both"/>
      </w:pPr>
      <w:r>
        <w:t>Presentar los resultados del monitoreo externo recibido el 29 de mayo de 2026, documentar las acciones de remediación y verificación ejecutadas el 25 de junio, identificar asuntos pendientes y establecer la continuidad del seguimiento.</w:t>
      </w:r>
    </w:p>
    <w:p>
      <w:pPr>
        <w:pStyle w:val="Heading1"/>
      </w:pPr>
      <w:r>
        <w:t>3. FUENTES Y ALCANCE</w:t>
      </w:r>
    </w:p>
    <w:p>
      <w:pPr>
        <w:pStyle w:val="ListBullet"/>
        <w:spacing w:after="80"/>
        <w:jc w:val="both"/>
      </w:pPr>
      <w:r>
        <w:t>Informe técnico de exposición y superficie de ataque OSINT de ColCERT/MinTIC, 29 de mayo de 2026.</w:t>
      </w:r>
    </w:p>
    <w:p>
      <w:pPr>
        <w:pStyle w:val="ListBullet"/>
        <w:spacing w:after="80"/>
        <w:jc w:val="both"/>
      </w:pPr>
      <w:r>
        <w:t>SecurityScorecard del dominio promuevemas.com, puntaje inicial 73/100.</w:t>
      </w:r>
    </w:p>
    <w:p>
      <w:pPr>
        <w:pStyle w:val="ListBullet"/>
        <w:spacing w:after="80"/>
        <w:jc w:val="both"/>
      </w:pPr>
      <w:r>
        <w:t>Informe técnico de remediación ejecutado el 25 de junio de 2026.</w:t>
      </w:r>
    </w:p>
    <w:p>
      <w:pPr>
        <w:pStyle w:val="ListBullet"/>
        <w:spacing w:after="80"/>
        <w:jc w:val="both"/>
      </w:pPr>
      <w:r>
        <w:t>Verificaciones técnicas y evidencias de configuración disponibles.</w:t>
      </w:r>
    </w:p>
    <w:p>
      <w:pPr>
        <w:pStyle w:val="ListBullet"/>
        <w:spacing w:after="80"/>
        <w:jc w:val="both"/>
      </w:pPr>
      <w:r>
        <w:t>El análisis no equivale a una prueba de penetración ni demuestra por sí solo explotación exitosa.</w:t>
      </w:r>
    </w:p>
    <w:p>
      <w:pPr>
        <w:pStyle w:val="Heading1"/>
      </w:pPr>
      <w:r>
        <w:t>4. LÍNEA BASE EXTERNA</w:t>
      </w:r>
    </w:p>
    <w:p>
      <w:pPr>
        <w:jc w:val="center"/>
      </w:pPr>
      <w:r>
        <w:drawing>
          <wp:inline xmlns:a="http://schemas.openxmlformats.org/drawingml/2006/main" xmlns:pic="http://schemas.openxmlformats.org/drawingml/2006/picture">
            <wp:extent cx="6217920" cy="3274670"/>
            <wp:docPr id="2" name="Picture 2"/>
            <wp:cNvGraphicFramePr>
              <a:graphicFrameLocks noChangeAspect="1"/>
            </wp:cNvGraphicFramePr>
            <a:graphic>
              <a:graphicData uri="http://schemas.openxmlformats.org/drawingml/2006/picture">
                <pic:pic>
                  <pic:nvPicPr>
                    <pic:cNvPr id="0" name="03_linea_base_securityscorecard.png"/>
                    <pic:cNvPicPr/>
                  </pic:nvPicPr>
                  <pic:blipFill>
                    <a:blip r:embed="rId12"/>
                    <a:stretch>
                      <a:fillRect/>
                    </a:stretch>
                  </pic:blipFill>
                  <pic:spPr>
                    <a:xfrm>
                      <a:off x="0" y="0"/>
                      <a:ext cx="6217920" cy="3274670"/>
                    </a:xfrm>
                    <a:prstGeom prst="rect"/>
                  </pic:spPr>
                </pic:pic>
              </a:graphicData>
            </a:graphic>
          </wp:inline>
        </w:drawing>
      </w:r>
    </w:p>
    <w:p>
      <w:pPr>
        <w:spacing w:after="160"/>
        <w:jc w:val="center"/>
      </w:pPr>
      <w:r>
        <w:rPr>
          <w:i/>
          <w:color w:val="595959"/>
          <w:sz w:val="16"/>
        </w:rPr>
        <w:t>Gráfica 2. Factores reportados por SecurityScorecard. La principal debilidad se concentró en seguridad de aplicación web.</w:t>
      </w:r>
    </w:p>
    <w:p>
      <w:pPr>
        <w:jc w:val="both"/>
      </w:pPr>
      <w:r>
        <w:t>SecurityScorecard asignó una calificación general C, equivalente a 73/100. Nueve factores se reportaron con 100 puntos y la seguridad de aplicación web obtuvo 55/100. El reporte indicó 16 observaciones de vulnerabilidades del sitio, sin hallazgos de malware, filtración de información o puertos abiertos en esa fuente específica.</w:t>
      </w:r>
    </w:p>
    <w:p>
      <w:pPr>
        <w:pStyle w:val="Heading1"/>
      </w:pPr>
      <w:r>
        <w:t>5. LECTURA DEL INFORME OSINT</w:t>
      </w:r>
    </w:p>
    <w:p>
      <w:pPr>
        <w:jc w:val="both"/>
      </w:pPr>
      <w:r>
        <w:t>El informe OSINT evaluó once nombres DNS que resolvían a la misma dirección IP pública 148.113.168.25. Reportó tres categorías principales: divulgación tecnológica, exposición potencial de servicios administrativos y ausencia de encabezados HTTP en las respuestas analizadas. La repetición de estas categorías sobre los once nombres generó treinta y tres ocurrencias; no corresponde a treinta y tres vulnerabilidades técnicas distintas.</w:t>
      </w:r>
    </w:p>
    <w:p>
      <w:pPr>
        <w:jc w:val="center"/>
      </w:pPr>
      <w:r>
        <w:drawing>
          <wp:inline xmlns:a="http://schemas.openxmlformats.org/drawingml/2006/main" xmlns:pic="http://schemas.openxmlformats.org/drawingml/2006/picture">
            <wp:extent cx="5943600" cy="3203812"/>
            <wp:docPr id="3" name="Picture 3"/>
            <wp:cNvGraphicFramePr>
              <a:graphicFrameLocks noChangeAspect="1"/>
            </wp:cNvGraphicFramePr>
            <a:graphic>
              <a:graphicData uri="http://schemas.openxmlformats.org/drawingml/2006/picture">
                <pic:pic>
                  <pic:nvPicPr>
                    <pic:cNvPr id="0" name="04_lectura_hallazgos.png"/>
                    <pic:cNvPicPr/>
                  </pic:nvPicPr>
                  <pic:blipFill>
                    <a:blip r:embed="rId13"/>
                    <a:stretch>
                      <a:fillRect/>
                    </a:stretch>
                  </pic:blipFill>
                  <pic:spPr>
                    <a:xfrm>
                      <a:off x="0" y="0"/>
                      <a:ext cx="5943600" cy="3203812"/>
                    </a:xfrm>
                    <a:prstGeom prst="rect"/>
                  </pic:spPr>
                </pic:pic>
              </a:graphicData>
            </a:graphic>
          </wp:inline>
        </w:drawing>
      </w:r>
    </w:p>
    <w:p>
      <w:pPr>
        <w:spacing w:after="160"/>
        <w:jc w:val="center"/>
      </w:pPr>
      <w:r>
        <w:rPr>
          <w:i/>
          <w:color w:val="595959"/>
          <w:sz w:val="16"/>
        </w:rPr>
        <w:t>Gráfica 3. Diferencia entre categorías de hallazgo, nombres DNS evaluados y ocurrencias reportadas.</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vAlign w:val="center"/>
            <w:shd w:fill="203864"/>
          </w:tcPr>
          <w:p>
            <w:pPr>
              <w:spacing w:after="0"/>
              <w:jc w:val="center"/>
            </w:pPr>
            <w:r/>
            <w:r>
              <w:rPr>
                <w:rFonts w:ascii="Arial" w:hAnsi="Arial"/>
                <w:b/>
                <w:color w:val="FFFFFF"/>
                <w:sz w:val="16"/>
              </w:rPr>
              <w:t>Hallazgo</w:t>
            </w:r>
          </w:p>
        </w:tc>
        <w:tc>
          <w:tcPr>
            <w:tcW w:type="dxa" w:w="3249"/>
            <w:vAlign w:val="center"/>
            <w:shd w:fill="203864"/>
          </w:tcPr>
          <w:p>
            <w:pPr>
              <w:spacing w:after="0"/>
              <w:jc w:val="center"/>
            </w:pPr>
            <w:r/>
            <w:r>
              <w:rPr>
                <w:rFonts w:ascii="Arial" w:hAnsi="Arial"/>
                <w:b/>
                <w:color w:val="FFFFFF"/>
                <w:sz w:val="16"/>
              </w:rPr>
              <w:t>Clasificación origen</w:t>
            </w:r>
          </w:p>
        </w:tc>
        <w:tc>
          <w:tcPr>
            <w:tcW w:type="dxa" w:w="3249"/>
            <w:vAlign w:val="center"/>
            <w:shd w:fill="203864"/>
          </w:tcPr>
          <w:p>
            <w:pPr>
              <w:spacing w:after="0"/>
              <w:jc w:val="center"/>
            </w:pPr>
            <w:r/>
            <w:r>
              <w:rPr>
                <w:rFonts w:ascii="Arial" w:hAnsi="Arial"/>
                <w:b/>
                <w:color w:val="FFFFFF"/>
                <w:sz w:val="16"/>
              </w:rPr>
              <w:t>Interpretación institucional</w:t>
            </w:r>
          </w:p>
        </w:tc>
      </w:tr>
      <w:tr>
        <w:tc>
          <w:tcPr>
            <w:tcW w:type="dxa" w:w="3249"/>
            <w:vAlign w:val="center"/>
          </w:tcPr>
          <w:p>
            <w:pPr>
              <w:spacing w:after="0"/>
              <w:jc w:val="center"/>
            </w:pPr>
            <w:r/>
            <w:r>
              <w:rPr>
                <w:rFonts w:ascii="Arial" w:hAnsi="Arial"/>
                <w:b w:val="0"/>
                <w:sz w:val="16"/>
              </w:rPr>
              <w:t>Software expuesto</w:t>
            </w:r>
          </w:p>
        </w:tc>
        <w:tc>
          <w:tcPr>
            <w:tcW w:type="dxa" w:w="3249"/>
            <w:vAlign w:val="center"/>
          </w:tcPr>
          <w:p>
            <w:pPr>
              <w:spacing w:after="0"/>
              <w:jc w:val="left"/>
            </w:pPr>
            <w:r/>
            <w:r>
              <w:rPr>
                <w:rFonts w:ascii="Arial" w:hAnsi="Arial"/>
                <w:b w:val="0"/>
                <w:sz w:val="16"/>
              </w:rPr>
              <w:t>Alta en el informe origen</w:t>
            </w:r>
          </w:p>
        </w:tc>
        <w:tc>
          <w:tcPr>
            <w:tcW w:type="dxa" w:w="3249"/>
            <w:vAlign w:val="center"/>
          </w:tcPr>
          <w:p>
            <w:pPr>
              <w:spacing w:after="0"/>
              <w:jc w:val="left"/>
            </w:pPr>
            <w:r/>
            <w:r>
              <w:rPr>
                <w:rFonts w:ascii="Arial" w:hAnsi="Arial"/>
                <w:b w:val="0"/>
                <w:sz w:val="16"/>
              </w:rPr>
              <w:t>Se observó identificación del servidor LiteSpeed; debe distinguirse producto visible de versión vulnerable.</w:t>
            </w:r>
          </w:p>
        </w:tc>
      </w:tr>
      <w:tr>
        <w:tc>
          <w:tcPr>
            <w:tcW w:type="dxa" w:w="3249"/>
            <w:vAlign w:val="center"/>
          </w:tcPr>
          <w:p>
            <w:pPr>
              <w:spacing w:after="0"/>
              <w:jc w:val="center"/>
            </w:pPr>
            <w:r/>
            <w:r>
              <w:rPr>
                <w:rFonts w:ascii="Arial" w:hAnsi="Arial"/>
                <w:b w:val="0"/>
                <w:sz w:val="16"/>
              </w:rPr>
              <w:t>Servicios o puertos de administración</w:t>
            </w:r>
          </w:p>
        </w:tc>
        <w:tc>
          <w:tcPr>
            <w:tcW w:type="dxa" w:w="3249"/>
            <w:vAlign w:val="center"/>
          </w:tcPr>
          <w:p>
            <w:pPr>
              <w:spacing w:after="0"/>
              <w:jc w:val="left"/>
            </w:pPr>
            <w:r/>
            <w:r>
              <w:rPr>
                <w:rFonts w:ascii="Arial" w:hAnsi="Arial"/>
                <w:b w:val="0"/>
                <w:sz w:val="16"/>
              </w:rPr>
              <w:t>Alta</w:t>
            </w:r>
          </w:p>
        </w:tc>
        <w:tc>
          <w:tcPr>
            <w:tcW w:type="dxa" w:w="3249"/>
            <w:vAlign w:val="center"/>
          </w:tcPr>
          <w:p>
            <w:pPr>
              <w:spacing w:after="0"/>
              <w:jc w:val="left"/>
            </w:pPr>
            <w:r/>
            <w:r>
              <w:rPr>
                <w:rFonts w:ascii="Arial" w:hAnsi="Arial"/>
                <w:b w:val="0"/>
                <w:sz w:val="16"/>
              </w:rPr>
              <w:t>Requiere validación del proveedor por tratarse de infraestructura alojada y posiblemente compartida.</w:t>
            </w:r>
          </w:p>
        </w:tc>
      </w:tr>
      <w:tr>
        <w:tc>
          <w:tcPr>
            <w:tcW w:type="dxa" w:w="3249"/>
            <w:vAlign w:val="center"/>
          </w:tcPr>
          <w:p>
            <w:pPr>
              <w:spacing w:after="0"/>
              <w:jc w:val="center"/>
            </w:pPr>
            <w:r/>
            <w:r>
              <w:rPr>
                <w:rFonts w:ascii="Arial" w:hAnsi="Arial"/>
                <w:b w:val="0"/>
                <w:sz w:val="16"/>
              </w:rPr>
              <w:t>Encabezados HTTP</w:t>
            </w:r>
          </w:p>
        </w:tc>
        <w:tc>
          <w:tcPr>
            <w:tcW w:type="dxa" w:w="3249"/>
            <w:vAlign w:val="center"/>
          </w:tcPr>
          <w:p>
            <w:pPr>
              <w:spacing w:after="0"/>
              <w:jc w:val="left"/>
            </w:pPr>
            <w:r/>
            <w:r>
              <w:rPr>
                <w:rFonts w:ascii="Arial" w:hAnsi="Arial"/>
                <w:b w:val="0"/>
                <w:sz w:val="16"/>
              </w:rPr>
              <w:t>Media</w:t>
            </w:r>
          </w:p>
        </w:tc>
        <w:tc>
          <w:tcPr>
            <w:tcW w:type="dxa" w:w="3249"/>
            <w:vAlign w:val="center"/>
          </w:tcPr>
          <w:p>
            <w:pPr>
              <w:spacing w:after="0"/>
              <w:jc w:val="left"/>
            </w:pPr>
            <w:r/>
            <w:r>
              <w:rPr>
                <w:rFonts w:ascii="Arial" w:hAnsi="Arial"/>
                <w:b w:val="0"/>
                <w:sz w:val="16"/>
              </w:rPr>
              <w:t>Fueron implementados y posteriormente verificados en el dominio principal.</w:t>
            </w:r>
          </w:p>
        </w:tc>
      </w:tr>
      <w:tr>
        <w:tc>
          <w:tcPr>
            <w:tcW w:type="dxa" w:w="3249"/>
            <w:vAlign w:val="center"/>
          </w:tcPr>
          <w:p>
            <w:pPr>
              <w:spacing w:after="0"/>
              <w:jc w:val="center"/>
            </w:pPr>
            <w:r/>
            <w:r>
              <w:rPr>
                <w:rFonts w:ascii="Arial" w:hAnsi="Arial"/>
                <w:b w:val="0"/>
                <w:sz w:val="16"/>
              </w:rPr>
              <w:t>Subdominios huérfanos</w:t>
            </w:r>
          </w:p>
        </w:tc>
        <w:tc>
          <w:tcPr>
            <w:tcW w:type="dxa" w:w="3249"/>
            <w:vAlign w:val="center"/>
          </w:tcPr>
          <w:p>
            <w:pPr>
              <w:spacing w:after="0"/>
              <w:jc w:val="left"/>
            </w:pPr>
            <w:r/>
            <w:r>
              <w:rPr>
                <w:rFonts w:ascii="Arial" w:hAnsi="Arial"/>
                <w:b w:val="0"/>
                <w:sz w:val="16"/>
              </w:rPr>
              <w:t>0 identificados</w:t>
            </w:r>
          </w:p>
        </w:tc>
        <w:tc>
          <w:tcPr>
            <w:tcW w:type="dxa" w:w="3249"/>
            <w:vAlign w:val="center"/>
          </w:tcPr>
          <w:p>
            <w:pPr>
              <w:spacing w:after="0"/>
              <w:jc w:val="left"/>
            </w:pPr>
            <w:r/>
            <w:r>
              <w:rPr>
                <w:rFonts w:ascii="Arial" w:hAnsi="Arial"/>
                <w:b w:val="0"/>
                <w:sz w:val="16"/>
              </w:rPr>
              <w:t>Resultado favorable; no se evidenció riesgo de takeover en el análisis presentado.</w:t>
            </w:r>
          </w:p>
        </w:tc>
      </w:tr>
    </w:tbl>
    <w:p>
      <w:pPr>
        <w:pStyle w:val="Heading1"/>
      </w:pPr>
      <w:r>
        <w:t>6. ACCIONES DE REMEDIACIÓN</w:t>
      </w:r>
    </w:p>
    <w:p>
      <w:pPr>
        <w:jc w:val="center"/>
      </w:pPr>
      <w:r>
        <w:drawing>
          <wp:inline xmlns:a="http://schemas.openxmlformats.org/drawingml/2006/main" xmlns:pic="http://schemas.openxmlformats.org/drawingml/2006/picture">
            <wp:extent cx="5303520" cy="3729037"/>
            <wp:docPr id="4" name="Picture 4"/>
            <wp:cNvGraphicFramePr>
              <a:graphicFrameLocks noChangeAspect="1"/>
            </wp:cNvGraphicFramePr>
            <a:graphic>
              <a:graphicData uri="http://schemas.openxmlformats.org/drawingml/2006/picture">
                <pic:pic>
                  <pic:nvPicPr>
                    <pic:cNvPr id="0" name="05_avance_remediacion.png"/>
                    <pic:cNvPicPr/>
                  </pic:nvPicPr>
                  <pic:blipFill>
                    <a:blip r:embed="rId14"/>
                    <a:stretch>
                      <a:fillRect/>
                    </a:stretch>
                  </pic:blipFill>
                  <pic:spPr>
                    <a:xfrm>
                      <a:off x="0" y="0"/>
                      <a:ext cx="5303520" cy="3729037"/>
                    </a:xfrm>
                    <a:prstGeom prst="rect"/>
                  </pic:spPr>
                </pic:pic>
              </a:graphicData>
            </a:graphic>
          </wp:inline>
        </w:drawing>
      </w:r>
    </w:p>
    <w:p>
      <w:pPr>
        <w:spacing w:after="160"/>
        <w:jc w:val="center"/>
      </w:pPr>
      <w:r>
        <w:rPr>
          <w:i/>
          <w:color w:val="595959"/>
          <w:sz w:val="16"/>
        </w:rPr>
        <w:t>Gráfica 4. De trece acciones definidas, diez fueron ejecutadas y tres quedaron dependientes del proveedor.</w:t>
      </w:r>
    </w:p>
    <w:p>
      <w:pPr>
        <w:jc w:val="both"/>
      </w:pPr>
      <w:r>
        <w:t>El avance del plan técnico al 30 de junio fue del 76,92 %. Las acciones ejecutadas fortalecieron certificados, redirección HTTPS, encabezados HTTP, manejo de cookies, autenticación de correo, acceso a cPanel y protección de WordPress. Las afirmaciones se presentan de manera prudente: el fortalecimiento de un control no garantiza ausencia total de vulnerabilidades.</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2436"/>
            <w:vAlign w:val="center"/>
            <w:shd w:fill="203864"/>
          </w:tcPr>
          <w:p>
            <w:pPr>
              <w:spacing w:after="0"/>
              <w:jc w:val="center"/>
            </w:pPr>
            <w:r/>
            <w:r>
              <w:rPr>
                <w:rFonts w:ascii="Arial" w:hAnsi="Arial"/>
                <w:b/>
                <w:color w:val="FFFFFF"/>
                <w:sz w:val="16"/>
              </w:rPr>
              <w:t>N.°</w:t>
            </w:r>
          </w:p>
        </w:tc>
        <w:tc>
          <w:tcPr>
            <w:tcW w:type="dxa" w:w="2436"/>
            <w:vAlign w:val="center"/>
            <w:shd w:fill="203864"/>
          </w:tcPr>
          <w:p>
            <w:pPr>
              <w:spacing w:after="0"/>
              <w:jc w:val="center"/>
            </w:pPr>
            <w:r/>
            <w:r>
              <w:rPr>
                <w:rFonts w:ascii="Arial" w:hAnsi="Arial"/>
                <w:b/>
                <w:color w:val="FFFFFF"/>
                <w:sz w:val="16"/>
              </w:rPr>
              <w:t>Acción</w:t>
            </w:r>
          </w:p>
        </w:tc>
        <w:tc>
          <w:tcPr>
            <w:tcW w:type="dxa" w:w="2436"/>
            <w:vAlign w:val="center"/>
            <w:shd w:fill="203864"/>
          </w:tcPr>
          <w:p>
            <w:pPr>
              <w:spacing w:after="0"/>
              <w:jc w:val="center"/>
            </w:pPr>
            <w:r/>
            <w:r>
              <w:rPr>
                <w:rFonts w:ascii="Arial" w:hAnsi="Arial"/>
                <w:b/>
                <w:color w:val="FFFFFF"/>
                <w:sz w:val="16"/>
              </w:rPr>
              <w:t>Estado</w:t>
            </w:r>
          </w:p>
        </w:tc>
        <w:tc>
          <w:tcPr>
            <w:tcW w:type="dxa" w:w="2436"/>
            <w:vAlign w:val="center"/>
            <w:shd w:fill="203864"/>
          </w:tcPr>
          <w:p>
            <w:pPr>
              <w:spacing w:after="0"/>
              <w:jc w:val="center"/>
            </w:pPr>
            <w:r/>
            <w:r>
              <w:rPr>
                <w:rFonts w:ascii="Arial" w:hAnsi="Arial"/>
                <w:b/>
                <w:color w:val="FFFFFF"/>
                <w:sz w:val="16"/>
              </w:rPr>
              <w:t>Observación</w:t>
            </w:r>
          </w:p>
        </w:tc>
      </w:tr>
      <w:tr>
        <w:tc>
          <w:tcPr>
            <w:tcW w:type="dxa" w:w="2436"/>
            <w:vAlign w:val="center"/>
          </w:tcPr>
          <w:p>
            <w:pPr>
              <w:spacing w:after="0"/>
              <w:jc w:val="center"/>
            </w:pPr>
            <w:r/>
            <w:r>
              <w:rPr>
                <w:rFonts w:ascii="Arial" w:hAnsi="Arial"/>
                <w:b w:val="0"/>
                <w:sz w:val="16"/>
              </w:rPr>
              <w:t>1</w:t>
            </w:r>
          </w:p>
        </w:tc>
        <w:tc>
          <w:tcPr>
            <w:tcW w:type="dxa" w:w="2436"/>
            <w:vAlign w:val="center"/>
          </w:tcPr>
          <w:p>
            <w:pPr>
              <w:spacing w:after="0"/>
              <w:jc w:val="left"/>
            </w:pPr>
            <w:r/>
            <w:r>
              <w:rPr>
                <w:rFonts w:ascii="Arial" w:hAnsi="Arial"/>
                <w:b w:val="0"/>
                <w:sz w:val="16"/>
              </w:rPr>
              <w:t>Verificación de certificados SSL/TLS</w:t>
            </w:r>
          </w:p>
        </w:tc>
        <w:tc>
          <w:tcPr>
            <w:tcW w:type="dxa" w:w="2436"/>
            <w:vAlign w:val="center"/>
          </w:tcPr>
          <w:p>
            <w:pPr>
              <w:spacing w:after="0"/>
              <w:jc w:val="left"/>
            </w:pPr>
            <w:r/>
            <w:r>
              <w:rPr>
                <w:rFonts w:ascii="Arial" w:hAnsi="Arial"/>
                <w:b w:val="0"/>
                <w:sz w:val="16"/>
              </w:rPr>
              <w:t>Ejecutada</w:t>
            </w:r>
          </w:p>
        </w:tc>
        <w:tc>
          <w:tcPr>
            <w:tcW w:type="dxa" w:w="2436"/>
            <w:vAlign w:val="center"/>
          </w:tcPr>
          <w:p>
            <w:pPr>
              <w:spacing w:after="0"/>
              <w:jc w:val="left"/>
            </w:pPr>
            <w:r/>
            <w:r>
              <w:rPr>
                <w:rFonts w:ascii="Arial" w:hAnsi="Arial"/>
                <w:b w:val="0"/>
                <w:sz w:val="16"/>
              </w:rPr>
              <w:t>Certificados activos; cobertura debe comprobarse por nombres SAN.</w:t>
            </w:r>
          </w:p>
        </w:tc>
      </w:tr>
      <w:tr>
        <w:tc>
          <w:tcPr>
            <w:tcW w:type="dxa" w:w="2436"/>
            <w:vAlign w:val="center"/>
          </w:tcPr>
          <w:p>
            <w:pPr>
              <w:spacing w:after="0"/>
              <w:jc w:val="center"/>
            </w:pPr>
            <w:r/>
            <w:r>
              <w:rPr>
                <w:rFonts w:ascii="Arial" w:hAnsi="Arial"/>
                <w:b w:val="0"/>
                <w:sz w:val="16"/>
              </w:rPr>
              <w:t>2</w:t>
            </w:r>
          </w:p>
        </w:tc>
        <w:tc>
          <w:tcPr>
            <w:tcW w:type="dxa" w:w="2436"/>
            <w:vAlign w:val="center"/>
          </w:tcPr>
          <w:p>
            <w:pPr>
              <w:spacing w:after="0"/>
              <w:jc w:val="left"/>
            </w:pPr>
            <w:r/>
            <w:r>
              <w:rPr>
                <w:rFonts w:ascii="Arial" w:hAnsi="Arial"/>
                <w:b w:val="0"/>
                <w:sz w:val="16"/>
              </w:rPr>
              <w:t>Eliminación de autorización en Remote Database Access</w:t>
            </w:r>
          </w:p>
        </w:tc>
        <w:tc>
          <w:tcPr>
            <w:tcW w:type="dxa" w:w="2436"/>
            <w:vAlign w:val="center"/>
          </w:tcPr>
          <w:p>
            <w:pPr>
              <w:spacing w:after="0"/>
              <w:jc w:val="left"/>
            </w:pPr>
            <w:r/>
            <w:r>
              <w:rPr>
                <w:rFonts w:ascii="Arial" w:hAnsi="Arial"/>
                <w:b w:val="0"/>
                <w:sz w:val="16"/>
              </w:rPr>
              <w:t>Ejecutada</w:t>
            </w:r>
          </w:p>
        </w:tc>
        <w:tc>
          <w:tcPr>
            <w:tcW w:type="dxa" w:w="2436"/>
            <w:vAlign w:val="center"/>
          </w:tcPr>
          <w:p>
            <w:pPr>
              <w:spacing w:after="0"/>
              <w:jc w:val="left"/>
            </w:pPr>
            <w:r/>
            <w:r>
              <w:rPr>
                <w:rFonts w:ascii="Arial" w:hAnsi="Arial"/>
                <w:b w:val="0"/>
                <w:sz w:val="16"/>
              </w:rPr>
              <w:t>No equivale por sí sola al cierre del puerto 3306.</w:t>
            </w:r>
          </w:p>
        </w:tc>
      </w:tr>
      <w:tr>
        <w:tc>
          <w:tcPr>
            <w:tcW w:type="dxa" w:w="2436"/>
            <w:vAlign w:val="center"/>
          </w:tcPr>
          <w:p>
            <w:pPr>
              <w:spacing w:after="0"/>
              <w:jc w:val="center"/>
            </w:pPr>
            <w:r/>
            <w:r>
              <w:rPr>
                <w:rFonts w:ascii="Arial" w:hAnsi="Arial"/>
                <w:b w:val="0"/>
                <w:sz w:val="16"/>
              </w:rPr>
              <w:t>3</w:t>
            </w:r>
          </w:p>
        </w:tc>
        <w:tc>
          <w:tcPr>
            <w:tcW w:type="dxa" w:w="2436"/>
            <w:vAlign w:val="center"/>
          </w:tcPr>
          <w:p>
            <w:pPr>
              <w:spacing w:after="0"/>
              <w:jc w:val="left"/>
            </w:pPr>
            <w:r/>
            <w:r>
              <w:rPr>
                <w:rFonts w:ascii="Arial" w:hAnsi="Arial"/>
                <w:b w:val="0"/>
                <w:sz w:val="16"/>
              </w:rPr>
              <w:t>Redirección HTTP a HTTPS</w:t>
            </w:r>
          </w:p>
        </w:tc>
        <w:tc>
          <w:tcPr>
            <w:tcW w:type="dxa" w:w="2436"/>
            <w:vAlign w:val="center"/>
          </w:tcPr>
          <w:p>
            <w:pPr>
              <w:spacing w:after="0"/>
              <w:jc w:val="left"/>
            </w:pPr>
            <w:r/>
            <w:r>
              <w:rPr>
                <w:rFonts w:ascii="Arial" w:hAnsi="Arial"/>
                <w:b w:val="0"/>
                <w:sz w:val="16"/>
              </w:rPr>
              <w:t>Ejecutada</w:t>
            </w:r>
          </w:p>
        </w:tc>
        <w:tc>
          <w:tcPr>
            <w:tcW w:type="dxa" w:w="2436"/>
            <w:vAlign w:val="center"/>
          </w:tcPr>
          <w:p>
            <w:pPr>
              <w:spacing w:after="0"/>
              <w:jc w:val="left"/>
            </w:pPr>
            <w:r/>
            <w:r>
              <w:rPr>
                <w:rFonts w:ascii="Arial" w:hAnsi="Arial"/>
                <w:b w:val="0"/>
                <w:sz w:val="16"/>
              </w:rPr>
              <w:t>Redirección permanente y funcionamiento verificado.</w:t>
            </w:r>
          </w:p>
        </w:tc>
      </w:tr>
      <w:tr>
        <w:tc>
          <w:tcPr>
            <w:tcW w:type="dxa" w:w="2436"/>
            <w:vAlign w:val="center"/>
          </w:tcPr>
          <w:p>
            <w:pPr>
              <w:spacing w:after="0"/>
              <w:jc w:val="center"/>
            </w:pPr>
            <w:r/>
            <w:r>
              <w:rPr>
                <w:rFonts w:ascii="Arial" w:hAnsi="Arial"/>
                <w:b w:val="0"/>
                <w:sz w:val="16"/>
              </w:rPr>
              <w:t>4</w:t>
            </w:r>
          </w:p>
        </w:tc>
        <w:tc>
          <w:tcPr>
            <w:tcW w:type="dxa" w:w="2436"/>
            <w:vAlign w:val="center"/>
          </w:tcPr>
          <w:p>
            <w:pPr>
              <w:spacing w:after="0"/>
              <w:jc w:val="left"/>
            </w:pPr>
            <w:r/>
            <w:r>
              <w:rPr>
                <w:rFonts w:ascii="Arial" w:hAnsi="Arial"/>
                <w:b w:val="0"/>
                <w:sz w:val="16"/>
              </w:rPr>
              <w:t>Encabezados HTTP</w:t>
            </w:r>
          </w:p>
        </w:tc>
        <w:tc>
          <w:tcPr>
            <w:tcW w:type="dxa" w:w="2436"/>
            <w:vAlign w:val="center"/>
          </w:tcPr>
          <w:p>
            <w:pPr>
              <w:spacing w:after="0"/>
              <w:jc w:val="left"/>
            </w:pPr>
            <w:r/>
            <w:r>
              <w:rPr>
                <w:rFonts w:ascii="Arial" w:hAnsi="Arial"/>
                <w:b w:val="0"/>
                <w:sz w:val="16"/>
              </w:rPr>
              <w:t>Ejecutada</w:t>
            </w:r>
          </w:p>
        </w:tc>
        <w:tc>
          <w:tcPr>
            <w:tcW w:type="dxa" w:w="2436"/>
            <w:vAlign w:val="center"/>
          </w:tcPr>
          <w:p>
            <w:pPr>
              <w:spacing w:after="0"/>
              <w:jc w:val="left"/>
            </w:pPr>
            <w:r/>
            <w:r>
              <w:rPr>
                <w:rFonts w:ascii="Arial" w:hAnsi="Arial"/>
                <w:b w:val="0"/>
                <w:sz w:val="16"/>
              </w:rPr>
              <w:t>HSTS, CSP, X-Frame-Options, nosniff, Referrer y Permissions Policy.</w:t>
            </w:r>
          </w:p>
        </w:tc>
      </w:tr>
      <w:tr>
        <w:tc>
          <w:tcPr>
            <w:tcW w:type="dxa" w:w="2436"/>
            <w:vAlign w:val="center"/>
          </w:tcPr>
          <w:p>
            <w:pPr>
              <w:spacing w:after="0"/>
              <w:jc w:val="center"/>
            </w:pPr>
            <w:r/>
            <w:r>
              <w:rPr>
                <w:rFonts w:ascii="Arial" w:hAnsi="Arial"/>
                <w:b w:val="0"/>
                <w:sz w:val="16"/>
              </w:rPr>
              <w:t>5</w:t>
            </w:r>
          </w:p>
        </w:tc>
        <w:tc>
          <w:tcPr>
            <w:tcW w:type="dxa" w:w="2436"/>
            <w:vAlign w:val="center"/>
          </w:tcPr>
          <w:p>
            <w:pPr>
              <w:spacing w:after="0"/>
              <w:jc w:val="left"/>
            </w:pPr>
            <w:r/>
            <w:r>
              <w:rPr>
                <w:rFonts w:ascii="Arial" w:hAnsi="Arial"/>
                <w:b w:val="0"/>
                <w:sz w:val="16"/>
              </w:rPr>
              <w:t>Fortalecimiento de cookies</w:t>
            </w:r>
          </w:p>
        </w:tc>
        <w:tc>
          <w:tcPr>
            <w:tcW w:type="dxa" w:w="2436"/>
            <w:vAlign w:val="center"/>
          </w:tcPr>
          <w:p>
            <w:pPr>
              <w:spacing w:after="0"/>
              <w:jc w:val="left"/>
            </w:pPr>
            <w:r/>
            <w:r>
              <w:rPr>
                <w:rFonts w:ascii="Arial" w:hAnsi="Arial"/>
                <w:b w:val="0"/>
                <w:sz w:val="16"/>
              </w:rPr>
              <w:t>Ejecutada</w:t>
            </w:r>
          </w:p>
        </w:tc>
        <w:tc>
          <w:tcPr>
            <w:tcW w:type="dxa" w:w="2436"/>
            <w:vAlign w:val="center"/>
          </w:tcPr>
          <w:p>
            <w:pPr>
              <w:spacing w:after="0"/>
              <w:jc w:val="left"/>
            </w:pPr>
            <w:r/>
            <w:r>
              <w:rPr>
                <w:rFonts w:ascii="Arial" w:hAnsi="Arial"/>
                <w:b w:val="0"/>
                <w:sz w:val="16"/>
              </w:rPr>
              <w:t>Debe verificarse periódicamente por cada cookie y plugin.</w:t>
            </w:r>
          </w:p>
        </w:tc>
      </w:tr>
      <w:tr>
        <w:tc>
          <w:tcPr>
            <w:tcW w:type="dxa" w:w="2436"/>
            <w:vAlign w:val="center"/>
          </w:tcPr>
          <w:p>
            <w:pPr>
              <w:spacing w:after="0"/>
              <w:jc w:val="center"/>
            </w:pPr>
            <w:r/>
            <w:r>
              <w:rPr>
                <w:rFonts w:ascii="Arial" w:hAnsi="Arial"/>
                <w:b w:val="0"/>
                <w:sz w:val="16"/>
              </w:rPr>
              <w:t>6</w:t>
            </w:r>
          </w:p>
        </w:tc>
        <w:tc>
          <w:tcPr>
            <w:tcW w:type="dxa" w:w="2436"/>
            <w:vAlign w:val="center"/>
          </w:tcPr>
          <w:p>
            <w:pPr>
              <w:spacing w:after="0"/>
              <w:jc w:val="left"/>
            </w:pPr>
            <w:r/>
            <w:r>
              <w:rPr>
                <w:rFonts w:ascii="Arial" w:hAnsi="Arial"/>
                <w:b w:val="0"/>
                <w:sz w:val="16"/>
              </w:rPr>
              <w:t>DMARC p=quarantine</w:t>
            </w:r>
          </w:p>
        </w:tc>
        <w:tc>
          <w:tcPr>
            <w:tcW w:type="dxa" w:w="2436"/>
            <w:vAlign w:val="center"/>
          </w:tcPr>
          <w:p>
            <w:pPr>
              <w:spacing w:after="0"/>
              <w:jc w:val="left"/>
            </w:pPr>
            <w:r/>
            <w:r>
              <w:rPr>
                <w:rFonts w:ascii="Arial" w:hAnsi="Arial"/>
                <w:b w:val="0"/>
                <w:sz w:val="16"/>
              </w:rPr>
              <w:t>Ejecutada</w:t>
            </w:r>
          </w:p>
        </w:tc>
        <w:tc>
          <w:tcPr>
            <w:tcW w:type="dxa" w:w="2436"/>
            <w:vAlign w:val="center"/>
          </w:tcPr>
          <w:p>
            <w:pPr>
              <w:spacing w:after="0"/>
              <w:jc w:val="left"/>
            </w:pPr>
            <w:r/>
            <w:r>
              <w:rPr>
                <w:rFonts w:ascii="Arial" w:hAnsi="Arial"/>
                <w:b w:val="0"/>
                <w:sz w:val="16"/>
              </w:rPr>
              <w:t>Requiere monitoreo para evitar afectación de remitentes legítimos.</w:t>
            </w:r>
          </w:p>
        </w:tc>
      </w:tr>
      <w:tr>
        <w:tc>
          <w:tcPr>
            <w:tcW w:type="dxa" w:w="2436"/>
            <w:vAlign w:val="center"/>
          </w:tcPr>
          <w:p>
            <w:pPr>
              <w:spacing w:after="0"/>
              <w:jc w:val="center"/>
            </w:pPr>
            <w:r/>
            <w:r>
              <w:rPr>
                <w:rFonts w:ascii="Arial" w:hAnsi="Arial"/>
                <w:b w:val="0"/>
                <w:sz w:val="16"/>
              </w:rPr>
              <w:t>7</w:t>
            </w:r>
          </w:p>
        </w:tc>
        <w:tc>
          <w:tcPr>
            <w:tcW w:type="dxa" w:w="2436"/>
            <w:vAlign w:val="center"/>
          </w:tcPr>
          <w:p>
            <w:pPr>
              <w:spacing w:after="0"/>
              <w:jc w:val="left"/>
            </w:pPr>
            <w:r/>
            <w:r>
              <w:rPr>
                <w:rFonts w:ascii="Arial" w:hAnsi="Arial"/>
                <w:b w:val="0"/>
                <w:sz w:val="16"/>
              </w:rPr>
              <w:t>Estandarización URL de webmail</w:t>
            </w:r>
          </w:p>
        </w:tc>
        <w:tc>
          <w:tcPr>
            <w:tcW w:type="dxa" w:w="2436"/>
            <w:vAlign w:val="center"/>
          </w:tcPr>
          <w:p>
            <w:pPr>
              <w:spacing w:after="0"/>
              <w:jc w:val="left"/>
            </w:pPr>
            <w:r/>
            <w:r>
              <w:rPr>
                <w:rFonts w:ascii="Arial" w:hAnsi="Arial"/>
                <w:b w:val="0"/>
                <w:sz w:val="16"/>
              </w:rPr>
              <w:t>Ejecutada</w:t>
            </w:r>
          </w:p>
        </w:tc>
        <w:tc>
          <w:tcPr>
            <w:tcW w:type="dxa" w:w="2436"/>
            <w:vAlign w:val="center"/>
          </w:tcPr>
          <w:p>
            <w:pPr>
              <w:spacing w:after="0"/>
              <w:jc w:val="left"/>
            </w:pPr>
            <w:r/>
            <w:r>
              <w:rPr>
                <w:rFonts w:ascii="Arial" w:hAnsi="Arial"/>
                <w:b w:val="0"/>
                <w:sz w:val="16"/>
              </w:rPr>
              <w:t>La URL institucional facilita identificación; 2096 no se califica por sí mismo como inseguro.</w:t>
            </w:r>
          </w:p>
        </w:tc>
      </w:tr>
      <w:tr>
        <w:tc>
          <w:tcPr>
            <w:tcW w:type="dxa" w:w="2436"/>
            <w:vAlign w:val="center"/>
          </w:tcPr>
          <w:p>
            <w:pPr>
              <w:spacing w:after="0"/>
              <w:jc w:val="center"/>
            </w:pPr>
            <w:r/>
            <w:r>
              <w:rPr>
                <w:rFonts w:ascii="Arial" w:hAnsi="Arial"/>
                <w:b w:val="0"/>
                <w:sz w:val="16"/>
              </w:rPr>
              <w:t>8</w:t>
            </w:r>
          </w:p>
        </w:tc>
        <w:tc>
          <w:tcPr>
            <w:tcW w:type="dxa" w:w="2436"/>
            <w:vAlign w:val="center"/>
          </w:tcPr>
          <w:p>
            <w:pPr>
              <w:spacing w:after="0"/>
              <w:jc w:val="left"/>
            </w:pPr>
            <w:r/>
            <w:r>
              <w:rPr>
                <w:rFonts w:ascii="Arial" w:hAnsi="Arial"/>
                <w:b w:val="0"/>
                <w:sz w:val="16"/>
              </w:rPr>
              <w:t>2FA de cPanel</w:t>
            </w:r>
          </w:p>
        </w:tc>
        <w:tc>
          <w:tcPr>
            <w:tcW w:type="dxa" w:w="2436"/>
            <w:vAlign w:val="center"/>
          </w:tcPr>
          <w:p>
            <w:pPr>
              <w:spacing w:after="0"/>
              <w:jc w:val="left"/>
            </w:pPr>
            <w:r/>
            <w:r>
              <w:rPr>
                <w:rFonts w:ascii="Arial" w:hAnsi="Arial"/>
                <w:b w:val="0"/>
                <w:sz w:val="16"/>
              </w:rPr>
              <w:t>Verificado</w:t>
            </w:r>
          </w:p>
        </w:tc>
        <w:tc>
          <w:tcPr>
            <w:tcW w:type="dxa" w:w="2436"/>
            <w:vAlign w:val="center"/>
          </w:tcPr>
          <w:p>
            <w:pPr>
              <w:spacing w:after="0"/>
              <w:jc w:val="left"/>
            </w:pPr>
            <w:r/>
            <w:r>
              <w:rPr>
                <w:rFonts w:ascii="Arial" w:hAnsi="Arial"/>
                <w:b w:val="0"/>
                <w:sz w:val="16"/>
              </w:rPr>
              <w:t>Se registra como control operativo; ya había sido reportado previamente por el área.</w:t>
            </w:r>
          </w:p>
        </w:tc>
      </w:tr>
      <w:tr>
        <w:tc>
          <w:tcPr>
            <w:tcW w:type="dxa" w:w="2436"/>
            <w:vAlign w:val="center"/>
          </w:tcPr>
          <w:p>
            <w:pPr>
              <w:spacing w:after="0"/>
              <w:jc w:val="center"/>
            </w:pPr>
            <w:r/>
            <w:r>
              <w:rPr>
                <w:rFonts w:ascii="Arial" w:hAnsi="Arial"/>
                <w:b w:val="0"/>
                <w:sz w:val="16"/>
              </w:rPr>
              <w:t>9</w:t>
            </w:r>
          </w:p>
        </w:tc>
        <w:tc>
          <w:tcPr>
            <w:tcW w:type="dxa" w:w="2436"/>
            <w:vAlign w:val="center"/>
          </w:tcPr>
          <w:p>
            <w:pPr>
              <w:spacing w:after="0"/>
              <w:jc w:val="left"/>
            </w:pPr>
            <w:r/>
            <w:r>
              <w:rPr>
                <w:rFonts w:ascii="Arial" w:hAnsi="Arial"/>
                <w:b w:val="0"/>
                <w:sz w:val="16"/>
              </w:rPr>
              <w:t>Ocultamiento de versión WordPress</w:t>
            </w:r>
          </w:p>
        </w:tc>
        <w:tc>
          <w:tcPr>
            <w:tcW w:type="dxa" w:w="2436"/>
            <w:vAlign w:val="center"/>
          </w:tcPr>
          <w:p>
            <w:pPr>
              <w:spacing w:after="0"/>
              <w:jc w:val="left"/>
            </w:pPr>
            <w:r/>
            <w:r>
              <w:rPr>
                <w:rFonts w:ascii="Arial" w:hAnsi="Arial"/>
                <w:b w:val="0"/>
                <w:sz w:val="16"/>
              </w:rPr>
              <w:t>Ejecutada</w:t>
            </w:r>
          </w:p>
        </w:tc>
        <w:tc>
          <w:tcPr>
            <w:tcW w:type="dxa" w:w="2436"/>
            <w:vAlign w:val="center"/>
          </w:tcPr>
          <w:p>
            <w:pPr>
              <w:spacing w:after="0"/>
              <w:jc w:val="left"/>
            </w:pPr>
            <w:r/>
            <w:r>
              <w:rPr>
                <w:rFonts w:ascii="Arial" w:hAnsi="Arial"/>
                <w:b w:val="0"/>
                <w:sz w:val="16"/>
              </w:rPr>
              <w:t>Meta generator y X-Powered-By tratados.</w:t>
            </w:r>
          </w:p>
        </w:tc>
      </w:tr>
      <w:tr>
        <w:tc>
          <w:tcPr>
            <w:tcW w:type="dxa" w:w="2436"/>
            <w:vAlign w:val="center"/>
          </w:tcPr>
          <w:p>
            <w:pPr>
              <w:spacing w:after="0"/>
              <w:jc w:val="center"/>
            </w:pPr>
            <w:r/>
            <w:r>
              <w:rPr>
                <w:rFonts w:ascii="Arial" w:hAnsi="Arial"/>
                <w:b w:val="0"/>
                <w:sz w:val="16"/>
              </w:rPr>
              <w:t>10</w:t>
            </w:r>
          </w:p>
        </w:tc>
        <w:tc>
          <w:tcPr>
            <w:tcW w:type="dxa" w:w="2436"/>
            <w:vAlign w:val="center"/>
          </w:tcPr>
          <w:p>
            <w:pPr>
              <w:spacing w:after="0"/>
              <w:jc w:val="left"/>
            </w:pPr>
            <w:r/>
            <w:r>
              <w:rPr>
                <w:rFonts w:ascii="Arial" w:hAnsi="Arial"/>
                <w:b w:val="0"/>
                <w:sz w:val="16"/>
              </w:rPr>
              <w:t>Wordfence/WAF</w:t>
            </w:r>
          </w:p>
        </w:tc>
        <w:tc>
          <w:tcPr>
            <w:tcW w:type="dxa" w:w="2436"/>
            <w:vAlign w:val="center"/>
          </w:tcPr>
          <w:p>
            <w:pPr>
              <w:spacing w:after="0"/>
              <w:jc w:val="left"/>
            </w:pPr>
            <w:r/>
            <w:r>
              <w:rPr>
                <w:rFonts w:ascii="Arial" w:hAnsi="Arial"/>
                <w:b w:val="0"/>
                <w:sz w:val="16"/>
              </w:rPr>
              <w:t>Ejecutada</w:t>
            </w:r>
          </w:p>
        </w:tc>
        <w:tc>
          <w:tcPr>
            <w:tcW w:type="dxa" w:w="2436"/>
            <w:vAlign w:val="center"/>
          </w:tcPr>
          <w:p>
            <w:pPr>
              <w:spacing w:after="0"/>
              <w:jc w:val="left"/>
            </w:pPr>
            <w:r/>
            <w:r>
              <w:rPr>
                <w:rFonts w:ascii="Arial" w:hAnsi="Arial"/>
                <w:b w:val="0"/>
                <w:sz w:val="16"/>
              </w:rPr>
              <w:t>Actualizado y activo; requiere seguimiento de escaneos y alertas.</w:t>
            </w:r>
          </w:p>
        </w:tc>
      </w:tr>
      <w:tr>
        <w:tc>
          <w:tcPr>
            <w:tcW w:type="dxa" w:w="2436"/>
            <w:vAlign w:val="center"/>
          </w:tcPr>
          <w:p>
            <w:pPr>
              <w:spacing w:after="0"/>
              <w:jc w:val="center"/>
            </w:pPr>
            <w:r/>
            <w:r>
              <w:rPr>
                <w:rFonts w:ascii="Arial" w:hAnsi="Arial"/>
                <w:b w:val="0"/>
                <w:sz w:val="16"/>
              </w:rPr>
              <w:t>11</w:t>
            </w:r>
          </w:p>
        </w:tc>
        <w:tc>
          <w:tcPr>
            <w:tcW w:type="dxa" w:w="2436"/>
            <w:vAlign w:val="center"/>
          </w:tcPr>
          <w:p>
            <w:pPr>
              <w:spacing w:after="0"/>
              <w:jc w:val="left"/>
            </w:pPr>
            <w:r/>
            <w:r>
              <w:rPr>
                <w:rFonts w:ascii="Arial" w:hAnsi="Arial"/>
                <w:b w:val="0"/>
                <w:sz w:val="16"/>
              </w:rPr>
              <w:t>Cierre o filtrado del puerto 3306</w:t>
            </w:r>
          </w:p>
        </w:tc>
        <w:tc>
          <w:tcPr>
            <w:tcW w:type="dxa" w:w="2436"/>
            <w:vAlign w:val="center"/>
          </w:tcPr>
          <w:p>
            <w:pPr>
              <w:spacing w:after="0"/>
              <w:jc w:val="left"/>
            </w:pPr>
            <w:r/>
            <w:r>
              <w:rPr>
                <w:rFonts w:ascii="Arial" w:hAnsi="Arial"/>
                <w:b w:val="0"/>
                <w:sz w:val="16"/>
              </w:rPr>
              <w:t>Pendiente</w:t>
            </w:r>
          </w:p>
        </w:tc>
        <w:tc>
          <w:tcPr>
            <w:tcW w:type="dxa" w:w="2436"/>
            <w:vAlign w:val="center"/>
          </w:tcPr>
          <w:p>
            <w:pPr>
              <w:spacing w:after="0"/>
              <w:jc w:val="left"/>
            </w:pPr>
            <w:r/>
            <w:r>
              <w:rPr>
                <w:rFonts w:ascii="Arial" w:hAnsi="Arial"/>
                <w:b w:val="0"/>
                <w:sz w:val="16"/>
              </w:rPr>
              <w:t>Dependiente de Latin American Hosting.</w:t>
            </w:r>
          </w:p>
        </w:tc>
      </w:tr>
      <w:tr>
        <w:tc>
          <w:tcPr>
            <w:tcW w:type="dxa" w:w="2436"/>
            <w:vAlign w:val="center"/>
          </w:tcPr>
          <w:p>
            <w:pPr>
              <w:spacing w:after="0"/>
              <w:jc w:val="center"/>
            </w:pPr>
            <w:r/>
            <w:r>
              <w:rPr>
                <w:rFonts w:ascii="Arial" w:hAnsi="Arial"/>
                <w:b w:val="0"/>
                <w:sz w:val="16"/>
              </w:rPr>
              <w:t>12</w:t>
            </w:r>
          </w:p>
        </w:tc>
        <w:tc>
          <w:tcPr>
            <w:tcW w:type="dxa" w:w="2436"/>
            <w:vAlign w:val="center"/>
          </w:tcPr>
          <w:p>
            <w:pPr>
              <w:spacing w:after="0"/>
              <w:jc w:val="left"/>
            </w:pPr>
            <w:r/>
            <w:r>
              <w:rPr>
                <w:rFonts w:ascii="Arial" w:hAnsi="Arial"/>
                <w:b w:val="0"/>
                <w:sz w:val="16"/>
              </w:rPr>
              <w:t>Restricción de accesos administrativos</w:t>
            </w:r>
          </w:p>
        </w:tc>
        <w:tc>
          <w:tcPr>
            <w:tcW w:type="dxa" w:w="2436"/>
            <w:vAlign w:val="center"/>
          </w:tcPr>
          <w:p>
            <w:pPr>
              <w:spacing w:after="0"/>
              <w:jc w:val="left"/>
            </w:pPr>
            <w:r/>
            <w:r>
              <w:rPr>
                <w:rFonts w:ascii="Arial" w:hAnsi="Arial"/>
                <w:b w:val="0"/>
                <w:sz w:val="16"/>
              </w:rPr>
              <w:t>Pendiente</w:t>
            </w:r>
          </w:p>
        </w:tc>
        <w:tc>
          <w:tcPr>
            <w:tcW w:type="dxa" w:w="2436"/>
            <w:vAlign w:val="center"/>
          </w:tcPr>
          <w:p>
            <w:pPr>
              <w:spacing w:after="0"/>
              <w:jc w:val="left"/>
            </w:pPr>
            <w:r/>
            <w:r>
              <w:rPr>
                <w:rFonts w:ascii="Arial" w:hAnsi="Arial"/>
                <w:b w:val="0"/>
                <w:sz w:val="16"/>
              </w:rPr>
              <w:t>Debe evaluarse sin afectar soporte o trabajo remoto autorizado.</w:t>
            </w:r>
          </w:p>
        </w:tc>
      </w:tr>
      <w:tr>
        <w:tc>
          <w:tcPr>
            <w:tcW w:type="dxa" w:w="2436"/>
            <w:vAlign w:val="center"/>
          </w:tcPr>
          <w:p>
            <w:pPr>
              <w:spacing w:after="0"/>
              <w:jc w:val="center"/>
            </w:pPr>
            <w:r/>
            <w:r>
              <w:rPr>
                <w:rFonts w:ascii="Arial" w:hAnsi="Arial"/>
                <w:b w:val="0"/>
                <w:sz w:val="16"/>
              </w:rPr>
              <w:t>13</w:t>
            </w:r>
          </w:p>
        </w:tc>
        <w:tc>
          <w:tcPr>
            <w:tcW w:type="dxa" w:w="2436"/>
            <w:vAlign w:val="center"/>
          </w:tcPr>
          <w:p>
            <w:pPr>
              <w:spacing w:after="0"/>
              <w:jc w:val="left"/>
            </w:pPr>
            <w:r/>
            <w:r>
              <w:rPr>
                <w:rFonts w:ascii="Arial" w:hAnsi="Arial"/>
                <w:b w:val="0"/>
                <w:sz w:val="16"/>
              </w:rPr>
              <w:t>Ocultamiento de firma LiteSpeed</w:t>
            </w:r>
          </w:p>
        </w:tc>
        <w:tc>
          <w:tcPr>
            <w:tcW w:type="dxa" w:w="2436"/>
            <w:vAlign w:val="center"/>
          </w:tcPr>
          <w:p>
            <w:pPr>
              <w:spacing w:after="0"/>
              <w:jc w:val="left"/>
            </w:pPr>
            <w:r/>
            <w:r>
              <w:rPr>
                <w:rFonts w:ascii="Arial" w:hAnsi="Arial"/>
                <w:b w:val="0"/>
                <w:sz w:val="16"/>
              </w:rPr>
              <w:t>Pendiente</w:t>
            </w:r>
          </w:p>
        </w:tc>
        <w:tc>
          <w:tcPr>
            <w:tcW w:type="dxa" w:w="2436"/>
            <w:vAlign w:val="center"/>
          </w:tcPr>
          <w:p>
            <w:pPr>
              <w:spacing w:after="0"/>
              <w:jc w:val="left"/>
            </w:pPr>
            <w:r/>
            <w:r>
              <w:rPr>
                <w:rFonts w:ascii="Arial" w:hAnsi="Arial"/>
                <w:b w:val="0"/>
                <w:sz w:val="16"/>
              </w:rPr>
              <w:t>Dependiente de configuración del servidor.</w:t>
            </w:r>
          </w:p>
        </w:tc>
      </w:tr>
    </w:tbl>
    <w:p>
      <w:pPr>
        <w:pStyle w:val="Heading1"/>
      </w:pPr>
      <w:r>
        <w:t>7. ESTADO DE CONTROLES</w:t>
      </w:r>
    </w:p>
    <w:p>
      <w:pPr>
        <w:jc w:val="center"/>
      </w:pPr>
      <w:r>
        <w:drawing>
          <wp:inline xmlns:a="http://schemas.openxmlformats.org/drawingml/2006/main" xmlns:pic="http://schemas.openxmlformats.org/drawingml/2006/picture">
            <wp:extent cx="6217920" cy="3137845"/>
            <wp:docPr id="5" name="Picture 5"/>
            <wp:cNvGraphicFramePr>
              <a:graphicFrameLocks noChangeAspect="1"/>
            </wp:cNvGraphicFramePr>
            <a:graphic>
              <a:graphicData uri="http://schemas.openxmlformats.org/drawingml/2006/picture">
                <pic:pic>
                  <pic:nvPicPr>
                    <pic:cNvPr id="0" name="06_estado_controles.png"/>
                    <pic:cNvPicPr/>
                  </pic:nvPicPr>
                  <pic:blipFill>
                    <a:blip r:embed="rId15"/>
                    <a:stretch>
                      <a:fillRect/>
                    </a:stretch>
                  </pic:blipFill>
                  <pic:spPr>
                    <a:xfrm>
                      <a:off x="0" y="0"/>
                      <a:ext cx="6217920" cy="3137845"/>
                    </a:xfrm>
                    <a:prstGeom prst="rect"/>
                  </pic:spPr>
                </pic:pic>
              </a:graphicData>
            </a:graphic>
          </wp:inline>
        </w:drawing>
      </w:r>
    </w:p>
    <w:p>
      <w:pPr>
        <w:spacing w:after="160"/>
        <w:jc w:val="center"/>
      </w:pPr>
      <w:r>
        <w:rPr>
          <w:i/>
          <w:color w:val="595959"/>
          <w:sz w:val="16"/>
        </w:rPr>
        <w:t>Gráfica 5. Estado resumido de controles al cierre del segundo trimestre.</w:t>
      </w:r>
    </w:p>
    <w:p>
      <w:pPr>
        <w:jc w:val="both"/>
      </w:pPr>
      <w:r>
        <w:t>La siguiente gráfica compara, control por control, el diagnóstico inicial recibido el 29 de mayo frente al estado verificado al cierre del 25 de junio. El área verde representa el fortalecimiento alcanzado durante el trimestre; el área roja discontinua muestra el punto de partida.</w:t>
      </w:r>
    </w:p>
    <w:p>
      <w:pPr>
        <w:jc w:val="center"/>
      </w:pPr>
      <w:r>
        <w:drawing>
          <wp:inline xmlns:a="http://schemas.openxmlformats.org/drawingml/2006/main" xmlns:pic="http://schemas.openxmlformats.org/drawingml/2006/picture">
            <wp:extent cx="6035040" cy="7321822"/>
            <wp:docPr id="6" name="Picture 6"/>
            <wp:cNvGraphicFramePr>
              <a:graphicFrameLocks noChangeAspect="1"/>
            </wp:cNvGraphicFramePr>
            <a:graphic>
              <a:graphicData uri="http://schemas.openxmlformats.org/drawingml/2006/picture">
                <pic:pic>
                  <pic:nvPicPr>
                    <pic:cNvPr id="0" name="08_radar_antes_despues.png"/>
                    <pic:cNvPicPr/>
                  </pic:nvPicPr>
                  <pic:blipFill>
                    <a:blip r:embed="rId16"/>
                    <a:stretch>
                      <a:fillRect/>
                    </a:stretch>
                  </pic:blipFill>
                  <pic:spPr>
                    <a:xfrm>
                      <a:off x="0" y="0"/>
                      <a:ext cx="6035040" cy="7321822"/>
                    </a:xfrm>
                    <a:prstGeom prst="rect"/>
                  </pic:spPr>
                </pic:pic>
              </a:graphicData>
            </a:graphic>
          </wp:inline>
        </w:drawing>
      </w:r>
    </w:p>
    <w:p>
      <w:pPr>
        <w:spacing w:after="160"/>
        <w:jc w:val="center"/>
      </w:pPr>
      <w:r>
        <w:rPr>
          <w:i/>
          <w:color w:val="595959"/>
          <w:sz w:val="16"/>
        </w:rPr>
        <w:t>Gráfica 6. Fortalecimiento de controles técnicos: diagnóstico inicial frente al cierre del segundo trimestre.</w:t>
      </w:r>
    </w:p>
    <w:p>
      <w:pPr>
        <w:pStyle w:val="Heading1"/>
      </w:pPr>
      <w:r>
        <w:t>8. RESULTADOS DEL TRIMESTRE</w:t>
      </w:r>
    </w:p>
    <w:p>
      <w:pPr>
        <w:jc w:val="both"/>
      </w:pPr>
      <w:r>
        <w:t>El siguiente panel resume, de forma consolidada, la gestión de ciberseguridad realizada durante el primer semestre de 2026, período en el que se documentaron por primera vez estas prácticas en la entidad.</w:t>
      </w:r>
    </w:p>
    <w:p>
      <w:pPr>
        <w:jc w:val="center"/>
      </w:pPr>
      <w:r>
        <w:drawing>
          <wp:inline xmlns:a="http://schemas.openxmlformats.org/drawingml/2006/main" xmlns:pic="http://schemas.openxmlformats.org/drawingml/2006/picture">
            <wp:extent cx="6217920" cy="3981037"/>
            <wp:docPr id="7" name="Picture 7"/>
            <wp:cNvGraphicFramePr>
              <a:graphicFrameLocks noChangeAspect="1"/>
            </wp:cNvGraphicFramePr>
            <a:graphic>
              <a:graphicData uri="http://schemas.openxmlformats.org/drawingml/2006/picture">
                <pic:pic>
                  <pic:nvPicPr>
                    <pic:cNvPr id="0" name="09_panel_indicadores_semestre.png"/>
                    <pic:cNvPicPr/>
                  </pic:nvPicPr>
                  <pic:blipFill>
                    <a:blip r:embed="rId17"/>
                    <a:stretch>
                      <a:fillRect/>
                    </a:stretch>
                  </pic:blipFill>
                  <pic:spPr>
                    <a:xfrm>
                      <a:off x="0" y="0"/>
                      <a:ext cx="6217920" cy="3981037"/>
                    </a:xfrm>
                    <a:prstGeom prst="rect"/>
                  </pic:spPr>
                </pic:pic>
              </a:graphicData>
            </a:graphic>
          </wp:inline>
        </w:drawing>
      </w:r>
    </w:p>
    <w:p>
      <w:pPr>
        <w:spacing w:after="160"/>
        <w:jc w:val="center"/>
      </w:pPr>
      <w:r>
        <w:rPr>
          <w:i/>
          <w:color w:val="595959"/>
          <w:sz w:val="16"/>
        </w:rPr>
        <w:t>Gráfica 7. Panorama consolidado de ciberseguridad – primer semestre de 2026.</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vAlign w:val="center"/>
            <w:shd w:fill="203864"/>
          </w:tcPr>
          <w:p>
            <w:pPr>
              <w:spacing w:after="0"/>
              <w:jc w:val="center"/>
            </w:pPr>
            <w:r/>
            <w:r>
              <w:rPr>
                <w:rFonts w:ascii="Arial" w:hAnsi="Arial"/>
                <w:b/>
                <w:color w:val="FFFFFF"/>
                <w:sz w:val="16"/>
              </w:rPr>
              <w:t>Indicador</w:t>
            </w:r>
          </w:p>
        </w:tc>
        <w:tc>
          <w:tcPr>
            <w:tcW w:type="dxa" w:w="4873"/>
            <w:vAlign w:val="center"/>
            <w:shd w:fill="203864"/>
          </w:tcPr>
          <w:p>
            <w:pPr>
              <w:spacing w:after="0"/>
              <w:jc w:val="center"/>
            </w:pPr>
            <w:r/>
            <w:r>
              <w:rPr>
                <w:rFonts w:ascii="Arial" w:hAnsi="Arial"/>
                <w:b/>
                <w:color w:val="FFFFFF"/>
                <w:sz w:val="16"/>
              </w:rPr>
              <w:t>Resultado</w:t>
            </w:r>
          </w:p>
        </w:tc>
      </w:tr>
      <w:tr>
        <w:tc>
          <w:tcPr>
            <w:tcW w:type="dxa" w:w="4873"/>
            <w:vAlign w:val="center"/>
          </w:tcPr>
          <w:p>
            <w:pPr>
              <w:spacing w:after="0"/>
              <w:jc w:val="center"/>
            </w:pPr>
            <w:r/>
            <w:r>
              <w:rPr>
                <w:rFonts w:ascii="Arial" w:hAnsi="Arial"/>
                <w:b w:val="0"/>
                <w:sz w:val="16"/>
              </w:rPr>
              <w:t>Monitoreo trimestral previsto</w:t>
            </w:r>
          </w:p>
        </w:tc>
        <w:tc>
          <w:tcPr>
            <w:tcW w:type="dxa" w:w="4873"/>
            <w:vAlign w:val="center"/>
          </w:tcPr>
          <w:p>
            <w:pPr>
              <w:spacing w:after="0"/>
              <w:jc w:val="left"/>
            </w:pPr>
            <w:r/>
            <w:r>
              <w:rPr>
                <w:rFonts w:ascii="Arial" w:hAnsi="Arial"/>
                <w:b w:val="0"/>
                <w:sz w:val="16"/>
              </w:rPr>
              <w:t>1</w:t>
            </w:r>
          </w:p>
        </w:tc>
      </w:tr>
      <w:tr>
        <w:tc>
          <w:tcPr>
            <w:tcW w:type="dxa" w:w="4873"/>
            <w:vAlign w:val="center"/>
          </w:tcPr>
          <w:p>
            <w:pPr>
              <w:spacing w:after="0"/>
              <w:jc w:val="center"/>
            </w:pPr>
            <w:r/>
            <w:r>
              <w:rPr>
                <w:rFonts w:ascii="Arial" w:hAnsi="Arial"/>
                <w:b w:val="0"/>
                <w:sz w:val="16"/>
              </w:rPr>
              <w:t>Monitoreo documentado</w:t>
            </w:r>
          </w:p>
        </w:tc>
        <w:tc>
          <w:tcPr>
            <w:tcW w:type="dxa" w:w="4873"/>
            <w:vAlign w:val="center"/>
          </w:tcPr>
          <w:p>
            <w:pPr>
              <w:spacing w:after="0"/>
              <w:jc w:val="left"/>
            </w:pPr>
            <w:r/>
            <w:r>
              <w:rPr>
                <w:rFonts w:ascii="Arial" w:hAnsi="Arial"/>
                <w:b w:val="0"/>
                <w:sz w:val="16"/>
              </w:rPr>
              <w:t>1</w:t>
            </w:r>
          </w:p>
        </w:tc>
      </w:tr>
      <w:tr>
        <w:tc>
          <w:tcPr>
            <w:tcW w:type="dxa" w:w="4873"/>
            <w:vAlign w:val="center"/>
          </w:tcPr>
          <w:p>
            <w:pPr>
              <w:spacing w:after="0"/>
              <w:jc w:val="center"/>
            </w:pPr>
            <w:r/>
            <w:r>
              <w:rPr>
                <w:rFonts w:ascii="Arial" w:hAnsi="Arial"/>
                <w:b w:val="0"/>
                <w:sz w:val="16"/>
              </w:rPr>
              <w:t>Cumplimiento trimestral</w:t>
            </w:r>
          </w:p>
        </w:tc>
        <w:tc>
          <w:tcPr>
            <w:tcW w:type="dxa" w:w="4873"/>
            <w:vAlign w:val="center"/>
          </w:tcPr>
          <w:p>
            <w:pPr>
              <w:spacing w:after="0"/>
              <w:jc w:val="left"/>
            </w:pPr>
            <w:r/>
            <w:r>
              <w:rPr>
                <w:rFonts w:ascii="Arial" w:hAnsi="Arial"/>
                <w:b w:val="0"/>
                <w:sz w:val="16"/>
              </w:rPr>
              <w:t>100 %</w:t>
            </w:r>
          </w:p>
        </w:tc>
      </w:tr>
      <w:tr>
        <w:tc>
          <w:tcPr>
            <w:tcW w:type="dxa" w:w="4873"/>
            <w:vAlign w:val="center"/>
          </w:tcPr>
          <w:p>
            <w:pPr>
              <w:spacing w:after="0"/>
              <w:jc w:val="center"/>
            </w:pPr>
            <w:r/>
            <w:r>
              <w:rPr>
                <w:rFonts w:ascii="Arial" w:hAnsi="Arial"/>
                <w:b w:val="0"/>
                <w:sz w:val="16"/>
              </w:rPr>
              <w:t>Acciones de remediación</w:t>
            </w:r>
          </w:p>
        </w:tc>
        <w:tc>
          <w:tcPr>
            <w:tcW w:type="dxa" w:w="4873"/>
            <w:vAlign w:val="center"/>
          </w:tcPr>
          <w:p>
            <w:pPr>
              <w:spacing w:after="0"/>
              <w:jc w:val="left"/>
            </w:pPr>
            <w:r/>
            <w:r>
              <w:rPr>
                <w:rFonts w:ascii="Arial" w:hAnsi="Arial"/>
                <w:b w:val="0"/>
                <w:sz w:val="16"/>
              </w:rPr>
              <w:t>13</w:t>
            </w:r>
          </w:p>
        </w:tc>
      </w:tr>
      <w:tr>
        <w:tc>
          <w:tcPr>
            <w:tcW w:type="dxa" w:w="4873"/>
            <w:vAlign w:val="center"/>
          </w:tcPr>
          <w:p>
            <w:pPr>
              <w:spacing w:after="0"/>
              <w:jc w:val="center"/>
            </w:pPr>
            <w:r/>
            <w:r>
              <w:rPr>
                <w:rFonts w:ascii="Arial" w:hAnsi="Arial"/>
                <w:b w:val="0"/>
                <w:sz w:val="16"/>
              </w:rPr>
              <w:t>Acciones ejecutadas</w:t>
            </w:r>
          </w:p>
        </w:tc>
        <w:tc>
          <w:tcPr>
            <w:tcW w:type="dxa" w:w="4873"/>
            <w:vAlign w:val="center"/>
          </w:tcPr>
          <w:p>
            <w:pPr>
              <w:spacing w:after="0"/>
              <w:jc w:val="left"/>
            </w:pPr>
            <w:r/>
            <w:r>
              <w:rPr>
                <w:rFonts w:ascii="Arial" w:hAnsi="Arial"/>
                <w:b w:val="0"/>
                <w:sz w:val="16"/>
              </w:rPr>
              <w:t>10</w:t>
            </w:r>
          </w:p>
        </w:tc>
      </w:tr>
      <w:tr>
        <w:tc>
          <w:tcPr>
            <w:tcW w:type="dxa" w:w="4873"/>
            <w:vAlign w:val="center"/>
          </w:tcPr>
          <w:p>
            <w:pPr>
              <w:spacing w:after="0"/>
              <w:jc w:val="center"/>
            </w:pPr>
            <w:r/>
            <w:r>
              <w:rPr>
                <w:rFonts w:ascii="Arial" w:hAnsi="Arial"/>
                <w:b w:val="0"/>
                <w:sz w:val="16"/>
              </w:rPr>
              <w:t>Acciones pendientes</w:t>
            </w:r>
          </w:p>
        </w:tc>
        <w:tc>
          <w:tcPr>
            <w:tcW w:type="dxa" w:w="4873"/>
            <w:vAlign w:val="center"/>
          </w:tcPr>
          <w:p>
            <w:pPr>
              <w:spacing w:after="0"/>
              <w:jc w:val="left"/>
            </w:pPr>
            <w:r/>
            <w:r>
              <w:rPr>
                <w:rFonts w:ascii="Arial" w:hAnsi="Arial"/>
                <w:b w:val="0"/>
                <w:sz w:val="16"/>
              </w:rPr>
              <w:t>3</w:t>
            </w:r>
          </w:p>
        </w:tc>
      </w:tr>
      <w:tr>
        <w:tc>
          <w:tcPr>
            <w:tcW w:type="dxa" w:w="4873"/>
            <w:vAlign w:val="center"/>
          </w:tcPr>
          <w:p>
            <w:pPr>
              <w:spacing w:after="0"/>
              <w:jc w:val="center"/>
            </w:pPr>
            <w:r/>
            <w:r>
              <w:rPr>
                <w:rFonts w:ascii="Arial" w:hAnsi="Arial"/>
                <w:b w:val="0"/>
                <w:sz w:val="16"/>
              </w:rPr>
              <w:t>Avance de remediación</w:t>
            </w:r>
          </w:p>
        </w:tc>
        <w:tc>
          <w:tcPr>
            <w:tcW w:type="dxa" w:w="4873"/>
            <w:vAlign w:val="center"/>
          </w:tcPr>
          <w:p>
            <w:pPr>
              <w:spacing w:after="0"/>
              <w:jc w:val="left"/>
            </w:pPr>
            <w:r/>
            <w:r>
              <w:rPr>
                <w:rFonts w:ascii="Arial" w:hAnsi="Arial"/>
                <w:b w:val="0"/>
                <w:sz w:val="16"/>
              </w:rPr>
              <w:t>76,92 %</w:t>
            </w:r>
          </w:p>
        </w:tc>
      </w:tr>
      <w:tr>
        <w:tc>
          <w:tcPr>
            <w:tcW w:type="dxa" w:w="4873"/>
            <w:vAlign w:val="center"/>
          </w:tcPr>
          <w:p>
            <w:pPr>
              <w:spacing w:after="0"/>
              <w:jc w:val="center"/>
            </w:pPr>
            <w:r/>
            <w:r>
              <w:rPr>
                <w:rFonts w:ascii="Arial" w:hAnsi="Arial"/>
                <w:b w:val="0"/>
                <w:sz w:val="16"/>
              </w:rPr>
              <w:t>Compromisos exitosos confirmados</w:t>
            </w:r>
          </w:p>
        </w:tc>
        <w:tc>
          <w:tcPr>
            <w:tcW w:type="dxa" w:w="4873"/>
            <w:vAlign w:val="center"/>
          </w:tcPr>
          <w:p>
            <w:pPr>
              <w:spacing w:after="0"/>
              <w:jc w:val="left"/>
            </w:pPr>
            <w:r/>
            <w:r>
              <w:rPr>
                <w:rFonts w:ascii="Arial" w:hAnsi="Arial"/>
                <w:b w:val="0"/>
                <w:sz w:val="16"/>
              </w:rPr>
              <w:t>Ninguno evidenciado en las fuentes revisadas</w:t>
            </w:r>
          </w:p>
        </w:tc>
      </w:tr>
    </w:tbl>
    <w:p>
      <w:pPr>
        <w:jc w:val="both"/>
      </w:pPr>
      <w:r>
        <w:t>La expresión “ninguno evidenciado” no equivale a certificar que no existieron intentos de ataque. Significa que las fuentes revisadas no aportaron evidencia de malware, filtración o compromiso exitoso durante el período.</w:t>
      </w:r>
    </w:p>
    <w:p>
      <w:pPr>
        <w:pStyle w:val="Heading2"/>
      </w:pPr>
      <w:r>
        <w:t>8.1 Consolidado del primer semestre</w:t>
      </w:r>
    </w:p>
    <w:p>
      <w:pPr>
        <w:jc w:val="center"/>
      </w:pPr>
      <w:r>
        <w:drawing>
          <wp:inline xmlns:a="http://schemas.openxmlformats.org/drawingml/2006/main" xmlns:pic="http://schemas.openxmlformats.org/drawingml/2006/picture">
            <wp:extent cx="5669280" cy="3035678"/>
            <wp:docPr id="8" name="Picture 8"/>
            <wp:cNvGraphicFramePr>
              <a:graphicFrameLocks noChangeAspect="1"/>
            </wp:cNvGraphicFramePr>
            <a:graphic>
              <a:graphicData uri="http://schemas.openxmlformats.org/drawingml/2006/picture">
                <pic:pic>
                  <pic:nvPicPr>
                    <pic:cNvPr id="0" name="07_monitoreos_semestrales_2025_2026.png"/>
                    <pic:cNvPicPr/>
                  </pic:nvPicPr>
                  <pic:blipFill>
                    <a:blip r:embed="rId18"/>
                    <a:stretch>
                      <a:fillRect/>
                    </a:stretch>
                  </pic:blipFill>
                  <pic:spPr>
                    <a:xfrm>
                      <a:off x="0" y="0"/>
                      <a:ext cx="5669280" cy="3035678"/>
                    </a:xfrm>
                    <a:prstGeom prst="rect"/>
                  </pic:spPr>
                </pic:pic>
              </a:graphicData>
            </a:graphic>
          </wp:inline>
        </w:drawing>
      </w:r>
    </w:p>
    <w:p>
      <w:pPr>
        <w:spacing w:after="160"/>
        <w:jc w:val="center"/>
      </w:pPr>
      <w:r>
        <w:rPr>
          <w:i/>
          <w:color w:val="595959"/>
          <w:sz w:val="16"/>
        </w:rPr>
        <w:t>Gráfica 8. En 2025 no existían monitoreos formales documentados; en el primer semestre de 2026 se documentaron dos ejercicios relacionados y diferenciados.</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2436"/>
            <w:vAlign w:val="center"/>
            <w:shd w:fill="203864"/>
          </w:tcPr>
          <w:p>
            <w:pPr>
              <w:spacing w:after="0"/>
              <w:jc w:val="center"/>
            </w:pPr>
            <w:r/>
            <w:r>
              <w:rPr>
                <w:rFonts w:ascii="Arial" w:hAnsi="Arial"/>
                <w:b/>
                <w:color w:val="FFFFFF"/>
                <w:sz w:val="16"/>
              </w:rPr>
              <w:t>Período</w:t>
            </w:r>
          </w:p>
        </w:tc>
        <w:tc>
          <w:tcPr>
            <w:tcW w:type="dxa" w:w="2436"/>
            <w:vAlign w:val="center"/>
            <w:shd w:fill="203864"/>
          </w:tcPr>
          <w:p>
            <w:pPr>
              <w:spacing w:after="0"/>
              <w:jc w:val="center"/>
            </w:pPr>
            <w:r/>
            <w:r>
              <w:rPr>
                <w:rFonts w:ascii="Arial" w:hAnsi="Arial"/>
                <w:b/>
                <w:color w:val="FFFFFF"/>
                <w:sz w:val="16"/>
              </w:rPr>
              <w:t>Ejercicio</w:t>
            </w:r>
          </w:p>
        </w:tc>
        <w:tc>
          <w:tcPr>
            <w:tcW w:type="dxa" w:w="2436"/>
            <w:vAlign w:val="center"/>
            <w:shd w:fill="203864"/>
          </w:tcPr>
          <w:p>
            <w:pPr>
              <w:spacing w:after="0"/>
              <w:jc w:val="center"/>
            </w:pPr>
            <w:r/>
            <w:r>
              <w:rPr>
                <w:rFonts w:ascii="Arial" w:hAnsi="Arial"/>
                <w:b/>
                <w:color w:val="FFFFFF"/>
                <w:sz w:val="16"/>
              </w:rPr>
              <w:t>Evidencia / resultado</w:t>
            </w:r>
          </w:p>
        </w:tc>
        <w:tc>
          <w:tcPr>
            <w:tcW w:type="dxa" w:w="2436"/>
            <w:vAlign w:val="center"/>
            <w:shd w:fill="203864"/>
          </w:tcPr>
          <w:p>
            <w:pPr>
              <w:spacing w:after="0"/>
              <w:jc w:val="center"/>
            </w:pPr>
            <w:r/>
            <w:r>
              <w:rPr>
                <w:rFonts w:ascii="Arial" w:hAnsi="Arial"/>
                <w:b/>
                <w:color w:val="FFFFFF"/>
                <w:sz w:val="16"/>
              </w:rPr>
              <w:t>Estado</w:t>
            </w:r>
          </w:p>
        </w:tc>
      </w:tr>
      <w:tr>
        <w:tc>
          <w:tcPr>
            <w:tcW w:type="dxa" w:w="2436"/>
            <w:vAlign w:val="center"/>
          </w:tcPr>
          <w:p>
            <w:pPr>
              <w:spacing w:after="0"/>
              <w:jc w:val="center"/>
            </w:pPr>
            <w:r/>
            <w:r>
              <w:rPr>
                <w:rFonts w:ascii="Arial" w:hAnsi="Arial"/>
                <w:b w:val="0"/>
                <w:sz w:val="16"/>
              </w:rPr>
              <w:t>Primer trimestre</w:t>
            </w:r>
          </w:p>
        </w:tc>
        <w:tc>
          <w:tcPr>
            <w:tcW w:type="dxa" w:w="2436"/>
            <w:vAlign w:val="center"/>
          </w:tcPr>
          <w:p>
            <w:pPr>
              <w:spacing w:after="0"/>
              <w:jc w:val="left"/>
            </w:pPr>
            <w:r/>
            <w:r>
              <w:rPr>
                <w:rFonts w:ascii="Arial" w:hAnsi="Arial"/>
                <w:b w:val="0"/>
                <w:sz w:val="16"/>
              </w:rPr>
              <w:t>Gestión inicial y solicitud de evaluación externa</w:t>
            </w:r>
          </w:p>
        </w:tc>
        <w:tc>
          <w:tcPr>
            <w:tcW w:type="dxa" w:w="2436"/>
            <w:vAlign w:val="center"/>
          </w:tcPr>
          <w:p>
            <w:pPr>
              <w:spacing w:after="0"/>
              <w:jc w:val="left"/>
            </w:pPr>
            <w:r/>
            <w:r>
              <w:rPr>
                <w:rFonts w:ascii="Arial" w:hAnsi="Arial"/>
                <w:b w:val="0"/>
                <w:sz w:val="16"/>
              </w:rPr>
              <w:t>Cierre técnico posterior al corte con informe del 29 de mayo</w:t>
            </w:r>
          </w:p>
        </w:tc>
        <w:tc>
          <w:tcPr>
            <w:tcW w:type="dxa" w:w="2436"/>
            <w:vAlign w:val="center"/>
          </w:tcPr>
          <w:p>
            <w:pPr>
              <w:spacing w:after="0"/>
              <w:jc w:val="left"/>
            </w:pPr>
            <w:r/>
            <w:r>
              <w:rPr>
                <w:rFonts w:ascii="Arial" w:hAnsi="Arial"/>
                <w:b w:val="0"/>
                <w:sz w:val="16"/>
              </w:rPr>
              <w:t>Ejecutado con observación documental</w:t>
            </w:r>
          </w:p>
        </w:tc>
      </w:tr>
      <w:tr>
        <w:tc>
          <w:tcPr>
            <w:tcW w:type="dxa" w:w="2436"/>
            <w:vAlign w:val="center"/>
          </w:tcPr>
          <w:p>
            <w:pPr>
              <w:spacing w:after="0"/>
              <w:jc w:val="center"/>
            </w:pPr>
            <w:r/>
            <w:r>
              <w:rPr>
                <w:rFonts w:ascii="Arial" w:hAnsi="Arial"/>
                <w:b w:val="0"/>
                <w:sz w:val="16"/>
              </w:rPr>
              <w:t>Segundo trimestre</w:t>
            </w:r>
          </w:p>
        </w:tc>
        <w:tc>
          <w:tcPr>
            <w:tcW w:type="dxa" w:w="2436"/>
            <w:vAlign w:val="center"/>
          </w:tcPr>
          <w:p>
            <w:pPr>
              <w:spacing w:after="0"/>
              <w:jc w:val="left"/>
            </w:pPr>
            <w:r/>
            <w:r>
              <w:rPr>
                <w:rFonts w:ascii="Arial" w:hAnsi="Arial"/>
                <w:b w:val="0"/>
                <w:sz w:val="16"/>
              </w:rPr>
              <w:t>Línea base externa y verificación post-remediación</w:t>
            </w:r>
          </w:p>
        </w:tc>
        <w:tc>
          <w:tcPr>
            <w:tcW w:type="dxa" w:w="2436"/>
            <w:vAlign w:val="center"/>
          </w:tcPr>
          <w:p>
            <w:pPr>
              <w:spacing w:after="0"/>
              <w:jc w:val="left"/>
            </w:pPr>
            <w:r/>
            <w:r>
              <w:rPr>
                <w:rFonts w:ascii="Arial" w:hAnsi="Arial"/>
                <w:b w:val="0"/>
                <w:sz w:val="16"/>
              </w:rPr>
              <w:t>Informe OSINT, SecurityScorecard e informe del 25 de junio</w:t>
            </w:r>
          </w:p>
        </w:tc>
        <w:tc>
          <w:tcPr>
            <w:tcW w:type="dxa" w:w="2436"/>
            <w:vAlign w:val="center"/>
          </w:tcPr>
          <w:p>
            <w:pPr>
              <w:spacing w:after="0"/>
              <w:jc w:val="left"/>
            </w:pPr>
            <w:r/>
            <w:r>
              <w:rPr>
                <w:rFonts w:ascii="Arial" w:hAnsi="Arial"/>
                <w:b w:val="0"/>
                <w:sz w:val="16"/>
              </w:rPr>
              <w:t>Ejecutado</w:t>
            </w:r>
          </w:p>
        </w:tc>
      </w:tr>
      <w:tr>
        <w:tc>
          <w:tcPr>
            <w:tcW w:type="dxa" w:w="2436"/>
            <w:vAlign w:val="center"/>
          </w:tcPr>
          <w:p>
            <w:pPr>
              <w:spacing w:after="0"/>
              <w:jc w:val="center"/>
            </w:pPr>
            <w:r/>
            <w:r>
              <w:rPr>
                <w:rFonts w:ascii="Arial" w:hAnsi="Arial"/>
                <w:b w:val="0"/>
                <w:sz w:val="16"/>
              </w:rPr>
              <w:t>Total semestre</w:t>
            </w:r>
          </w:p>
        </w:tc>
        <w:tc>
          <w:tcPr>
            <w:tcW w:type="dxa" w:w="2436"/>
            <w:vAlign w:val="center"/>
          </w:tcPr>
          <w:p>
            <w:pPr>
              <w:spacing w:after="0"/>
              <w:jc w:val="left"/>
            </w:pPr>
            <w:r/>
            <w:r>
              <w:rPr>
                <w:rFonts w:ascii="Arial" w:hAnsi="Arial"/>
                <w:b w:val="0"/>
                <w:sz w:val="16"/>
              </w:rPr>
              <w:t>2 ejercicios previstos / documentados</w:t>
            </w:r>
          </w:p>
        </w:tc>
        <w:tc>
          <w:tcPr>
            <w:tcW w:type="dxa" w:w="2436"/>
            <w:vAlign w:val="center"/>
          </w:tcPr>
          <w:p>
            <w:pPr>
              <w:spacing w:after="0"/>
              <w:jc w:val="left"/>
            </w:pPr>
            <w:r/>
            <w:r>
              <w:rPr>
                <w:rFonts w:ascii="Arial" w:hAnsi="Arial"/>
                <w:b w:val="0"/>
                <w:sz w:val="16"/>
              </w:rPr>
              <w:t>2</w:t>
            </w:r>
          </w:p>
        </w:tc>
        <w:tc>
          <w:tcPr>
            <w:tcW w:type="dxa" w:w="2436"/>
            <w:vAlign w:val="center"/>
          </w:tcPr>
          <w:p>
            <w:pPr>
              <w:spacing w:after="0"/>
              <w:jc w:val="left"/>
            </w:pPr>
            <w:r/>
            <w:r>
              <w:rPr>
                <w:rFonts w:ascii="Arial" w:hAnsi="Arial"/>
                <w:b w:val="0"/>
                <w:sz w:val="16"/>
              </w:rPr>
              <w:t>100 % con observación sobre oportunidad y trazabilidad del primer trimestre</w:t>
            </w:r>
          </w:p>
        </w:tc>
      </w:tr>
    </w:tbl>
    <w:p>
      <w:pPr>
        <w:jc w:val="both"/>
      </w:pPr>
      <w:r>
        <w:t>El resultado semestral distingue dos ejercicios: la evaluación externa que estableció la línea base y la verificación técnica posterior a las correcciones. La ausencia de copia del correo inicial y la recepción del resultado después del 31 de marzo se conservan como observaciones de oportunidad y trazabilidad; no se ocultan ni se presentan como evidencia disponible al corte del primer trimestre.</w:t>
      </w:r>
    </w:p>
    <w:p>
      <w:pPr>
        <w:pStyle w:val="Heading1"/>
      </w:pPr>
      <w:r>
        <w:t>9. ACCIONES PENDIENTES Y RECOMENDACIONES</w:t>
      </w:r>
    </w:p>
    <w:p>
      <w:pPr>
        <w:pStyle w:val="ListBullet"/>
        <w:spacing w:after="80"/>
        <w:jc w:val="both"/>
      </w:pPr>
      <w:r>
        <w:t>Obtener respuesta formal de Latin American Hosting sobre el puerto 3306 y los controles de firewall.</w:t>
      </w:r>
    </w:p>
    <w:p>
      <w:pPr>
        <w:pStyle w:val="ListBullet"/>
        <w:spacing w:after="80"/>
        <w:jc w:val="both"/>
      </w:pPr>
      <w:r>
        <w:t>Validar cuáles servicios corresponden efectivamente a Promueve Más en la IP alojada.</w:t>
      </w:r>
    </w:p>
    <w:p>
      <w:pPr>
        <w:pStyle w:val="ListBullet"/>
        <w:spacing w:after="80"/>
        <w:jc w:val="both"/>
      </w:pPr>
      <w:r>
        <w:t>Revisar periódicamente reportes DMARC y utilizar preferiblemente un buzón institucional para recibirlos.</w:t>
      </w:r>
    </w:p>
    <w:p>
      <w:pPr>
        <w:pStyle w:val="ListBullet"/>
        <w:spacing w:after="80"/>
        <w:jc w:val="both"/>
      </w:pPr>
      <w:r>
        <w:t>Conservar capturas de Security Headers, Wordfence, certificados y configuraciones sin exponer secretos.</w:t>
      </w:r>
    </w:p>
    <w:p>
      <w:pPr>
        <w:pStyle w:val="ListBullet"/>
        <w:spacing w:after="80"/>
        <w:jc w:val="both"/>
      </w:pPr>
      <w:r>
        <w:t>Repetir la evaluación externa y comparar resultados con la línea base de 73/100.</w:t>
      </w:r>
    </w:p>
    <w:p>
      <w:pPr>
        <w:pStyle w:val="ListBullet"/>
        <w:spacing w:after="80"/>
        <w:jc w:val="both"/>
      </w:pPr>
      <w:r>
        <w:t>Documentar trimestralmente intentos bloqueados, alertas, escaneos, indisponibilidades y acciones tomadas.</w:t>
      </w:r>
    </w:p>
    <w:p>
      <w:pPr>
        <w:pStyle w:val="Heading1"/>
      </w:pPr>
      <w:r>
        <w:t>10. EVENTO POSTERIOR AL CORTE</w:t>
      </w:r>
    </w:p>
    <w:p>
      <w:pPr>
        <w:jc w:val="both"/>
      </w:pPr>
      <w:r>
        <w:t>El 14 de julio de 2026 se remitió a ColCERT una nueva solicitud de análisis de vulnerabilidades y huella digital del dominio institucional. Esta gestión no se contabiliza dentro del segundo trimestre, debido a que ocurrió después del 30 de junio; se registra como inicio anticipado del seguimiento del tercer trimestre y como solicitud de validación externa de las correcciones implementadas.</w:t>
      </w:r>
    </w:p>
    <w:p>
      <w:pPr>
        <w:pStyle w:val="Heading1"/>
      </w:pPr>
      <w:r>
        <w:t>11. CONCLUSIONES</w:t>
      </w:r>
    </w:p>
    <w:p>
      <w:pPr>
        <w:jc w:val="both"/>
      </w:pPr>
      <w:r>
        <w:t>El segundo trimestre registra un monitoreo ejecutado y sustentado mediante el informe OSINT, el SecurityScorecard y la verificación post-remediación. La organización pasó de no contar con monitoreo formal en 2025 a disponer en 2026 de una línea base, un plan de remediación, responsables, evidencias y continuidad de seguimiento.</w:t>
      </w:r>
    </w:p>
    <w:p>
      <w:pPr>
        <w:jc w:val="both"/>
      </w:pPr>
      <w:r>
        <w:t>El proceso no se considera cerrado: tres acciones permanecen sujetas al proveedor y el puntaje proyectado de mejora no debe presentarse como resultado alcanzado hasta que una nueva evaluación externa lo confirme. La condición correcta al corte es “ejecutado con remediación en curso”.</w:t>
      </w:r>
    </w:p>
    <w:p>
      <w:pPr>
        <w:pStyle w:val="Heading1"/>
      </w:pPr>
      <w:r>
        <w:t>12. EVIDENCIAS</w:t>
      </w:r>
    </w:p>
    <w:p>
      <w:pPr>
        <w:pStyle w:val="ListBullet"/>
        <w:spacing w:after="80"/>
        <w:jc w:val="both"/>
      </w:pPr>
      <w:r>
        <w:t>Informe técnico OSINT de ColCERT/MinTIC, 29 de mayo de 2026.</w:t>
      </w:r>
    </w:p>
    <w:p>
      <w:pPr>
        <w:pStyle w:val="ListBullet"/>
        <w:spacing w:after="80"/>
        <w:jc w:val="both"/>
      </w:pPr>
      <w:r>
        <w:t>SecurityScorecard inicial de promuevemas.com.</w:t>
      </w:r>
    </w:p>
    <w:p>
      <w:pPr>
        <w:pStyle w:val="ListBullet"/>
        <w:spacing w:after="80"/>
        <w:jc w:val="both"/>
      </w:pPr>
      <w:r>
        <w:t>Informe técnico de remediación, 25 de junio de 2026.</w:t>
      </w:r>
    </w:p>
    <w:p>
      <w:pPr>
        <w:pStyle w:val="ListBullet"/>
        <w:spacing w:after="80"/>
        <w:jc w:val="both"/>
      </w:pPr>
      <w:r>
        <w:t>Capturas y soportes de configuración técnica.</w:t>
      </w:r>
    </w:p>
    <w:p>
      <w:pPr>
        <w:pStyle w:val="ListBullet"/>
        <w:spacing w:after="80"/>
        <w:jc w:val="both"/>
      </w:pPr>
      <w:r>
        <w:t>Solicitud a Latin American Hosting por acciones pendientes.</w:t>
      </w:r>
    </w:p>
    <w:p>
      <w:pPr>
        <w:pStyle w:val="ListBullet"/>
        <w:spacing w:after="80"/>
        <w:jc w:val="both"/>
      </w:pPr>
      <w:r>
        <w:t>Correo del 14 de julio de 2026 a ColCERT, como evento posterior al corte.</w:t>
      </w:r>
    </w:p>
    <w:p>
      <w:pPr>
        <w:pStyle w:val="Heading1"/>
      </w:pPr>
      <w:r>
        <w:t>13. RESPONSABLE</w:t>
      </w:r>
    </w:p>
    <w:p>
      <w:r>
        <w:br/>
        <w:br/>
        <w:t>________________________________________</w:t>
      </w:r>
    </w:p>
    <w:p>
      <w:r>
        <w:rPr>
          <w:b/>
        </w:rPr>
        <w:t>HAMILTON QUINTERO GARCÍA</w:t>
      </w:r>
    </w:p>
    <w:p>
      <w:r>
        <w:t>Técnico Administrativo y Financiero</w:t>
        <w:br/>
        <w:t>Promueve Más S.A.S.</w:t>
      </w:r>
    </w:p>
    <w:sectPr w:rsidR="00FC693F" w:rsidRPr="0006063C" w:rsidSect="00034616">
      <w:headerReference w:type="default" r:id="rId9"/>
      <w:footerReference w:type="default" r:id="rId10"/>
      <w:pgSz w:w="12240" w:h="15840"/>
      <w:pgMar w:top="1134" w:right="1247"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PROMUEVE MÁS S.A.S. – Calle 18 # 7C-47 – Tel: 3104191960 – operaciones@promuevemas.com  |  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2F5597"/>
        <w:sz w:val="18"/>
      </w:rPr>
      <w:t>PROMUEVE MÁS S.A.S.  |  NIT 901.403.758-2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F559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F5597"/>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