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597"/>
          <w:sz w:val="32"/>
        </w:rPr>
        <w:t>PROMUEVE MÁS S.A.S.</w:t>
      </w:r>
    </w:p>
    <w:p/>
    <w:p>
      <w:pPr>
        <w:jc w:val="center"/>
      </w:pPr>
      <w:r>
        <w:rPr>
          <w:rFonts w:ascii="Arial" w:hAnsi="Arial"/>
          <w:b/>
          <w:color w:val="203864"/>
          <w:sz w:val="29"/>
        </w:rPr>
        <w:t>JUSTIFICACIÓN TÉCNICA SOBRE EL ESTADO DEL PROGRAMA</w:t>
        <w:br/>
        <w:t>DE GESTIÓN DOCUMENTAL (PGD)</w:t>
      </w:r>
    </w:p>
    <w:p/>
    <w:p>
      <w:pPr>
        <w:jc w:val="center"/>
      </w:pPr>
      <w:r>
        <w:rPr>
          <w:i/>
          <w:sz w:val="20"/>
        </w:rPr>
        <w:t>Soporte del Índice de Transparencia y Acceso a la Información (ITA) – Vigencia 2026</w:t>
        <w:br/>
        <w:t>Categoría 9.1 – Instrumentos de gestión de la información (ID 2957 a 2962)</w:t>
      </w:r>
    </w:p>
    <w:p/>
    <w:p>
      <w:pPr>
        <w:jc w:val="both"/>
      </w:pPr>
      <w:r>
        <w:rPr>
          <w:b w:val="0"/>
        </w:rPr>
        <w:t>El presente documento tiene por objeto justificar técnicamente, de manera diferenciada, el estado actual de cada uno de los cinco (5) elementos mínimos del Programa de Gestión Documental (PGD) exigidos a los sujetos obligados de naturaleza privada no cobijados por el Decreto 2609 de 2012, conforme al Anexo Técnico 2 de la Resolución 1519 de 2020: (1) Política de Gestión Documental, (2) Tablas de Retención Documental, (3) Archivo Institucional, (4) Políticas para la gestión de documentos electrónicos, y (5) Integración al Sistema Nacional de Archivos.</w:t>
      </w:r>
    </w:p>
    <w:p>
      <w:pPr>
        <w:jc w:val="both"/>
      </w:pPr>
      <w:r>
        <w:rPr>
          <w:b w:val="0"/>
        </w:rPr>
        <w:t>Se presenta esta justificación de forma diferenciada porque no todos los elementos dependen de la misma causa. Agrupar todos los pendientes bajo una única justificación (la aprobación de las Tablas de Retención Documental) no reflejaría con precisión la situación real de cada componente.</w:t>
      </w:r>
    </w:p>
    <w:p>
      <w:pPr>
        <w:pStyle w:val="Heading1"/>
      </w:pPr>
      <w:r>
        <w:t>1. ESTADO POR ELEMENTO DEL PROGRAMA DE GESTIÓN DOCUMENTAL</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35"/>
            <w:vAlign w:val="center"/>
            <w:shd w:fill="2F5597"/>
          </w:tcPr>
          <w:p>
            <w:pPr>
              <w:spacing w:after="0"/>
              <w:jc w:val="center"/>
            </w:pPr>
            <w:r/>
            <w:r>
              <w:rPr>
                <w:rFonts w:ascii="Arial" w:hAnsi="Arial"/>
                <w:b/>
                <w:color w:val="FFFFFF"/>
                <w:sz w:val="19"/>
              </w:rPr>
              <w:t>Elemento del PGD</w:t>
            </w:r>
          </w:p>
        </w:tc>
        <w:tc>
          <w:tcPr>
            <w:tcW w:type="dxa" w:w="3135"/>
            <w:vAlign w:val="center"/>
            <w:shd w:fill="2F5597"/>
          </w:tcPr>
          <w:p>
            <w:pPr>
              <w:spacing w:after="0"/>
              <w:jc w:val="center"/>
            </w:pPr>
            <w:r/>
            <w:r>
              <w:rPr>
                <w:rFonts w:ascii="Arial" w:hAnsi="Arial"/>
                <w:b/>
                <w:color w:val="FFFFFF"/>
                <w:sz w:val="19"/>
              </w:rPr>
              <w:t>Estado actual</w:t>
            </w:r>
          </w:p>
        </w:tc>
        <w:tc>
          <w:tcPr>
            <w:tcW w:type="dxa" w:w="3135"/>
            <w:vAlign w:val="center"/>
            <w:shd w:fill="2F5597"/>
          </w:tcPr>
          <w:p>
            <w:pPr>
              <w:spacing w:after="0"/>
              <w:jc w:val="center"/>
            </w:pPr>
            <w:r/>
            <w:r>
              <w:rPr>
                <w:rFonts w:ascii="Arial" w:hAnsi="Arial"/>
                <w:b/>
                <w:color w:val="FFFFFF"/>
                <w:sz w:val="19"/>
              </w:rPr>
              <w:t>Causa / dependencia</w:t>
            </w:r>
          </w:p>
        </w:tc>
      </w:tr>
      <w:tr>
        <w:tc>
          <w:tcPr>
            <w:tcW w:type="dxa" w:w="3135"/>
            <w:vAlign w:val="center"/>
          </w:tcPr>
          <w:p>
            <w:pPr>
              <w:spacing w:after="0"/>
              <w:jc w:val="left"/>
            </w:pPr>
            <w:r/>
            <w:r>
              <w:rPr>
                <w:rFonts w:ascii="Arial" w:hAnsi="Arial"/>
                <w:b/>
                <w:sz w:val="17"/>
              </w:rPr>
              <w:t>1. Política de Gestión Documental</w:t>
            </w:r>
          </w:p>
        </w:tc>
        <w:tc>
          <w:tcPr>
            <w:tcW w:type="dxa" w:w="3135"/>
            <w:vAlign w:val="center"/>
          </w:tcPr>
          <w:p>
            <w:pPr>
              <w:spacing w:after="0"/>
              <w:jc w:val="center"/>
            </w:pPr>
            <w:r/>
            <w:r>
              <w:rPr>
                <w:rFonts w:ascii="Arial" w:hAnsi="Arial"/>
                <w:b w:val="0"/>
                <w:sz w:val="17"/>
              </w:rPr>
              <w:t>Pendiente de elaboración</w:t>
            </w:r>
          </w:p>
        </w:tc>
        <w:tc>
          <w:tcPr>
            <w:tcW w:type="dxa" w:w="3135"/>
            <w:vAlign w:val="center"/>
          </w:tcPr>
          <w:p>
            <w:pPr>
              <w:spacing w:after="0"/>
              <w:jc w:val="left"/>
            </w:pPr>
            <w:r/>
            <w:r>
              <w:rPr>
                <w:rFonts w:ascii="Arial" w:hAnsi="Arial"/>
                <w:b w:val="0"/>
                <w:sz w:val="16"/>
              </w:rPr>
              <w:t>No depende de la aprobación de las Tablas de Retención Documental (TRD). Corresponde a una gestión administrativa interna independiente, pendiente de priorización por parte de la Dirección Administrativa y Financiera.</w:t>
            </w:r>
          </w:p>
        </w:tc>
      </w:tr>
      <w:tr>
        <w:tc>
          <w:tcPr>
            <w:tcW w:type="dxa" w:w="3135"/>
            <w:vAlign w:val="center"/>
          </w:tcPr>
          <w:p>
            <w:pPr>
              <w:spacing w:after="0"/>
              <w:jc w:val="left"/>
            </w:pPr>
            <w:r/>
            <w:r>
              <w:rPr>
                <w:rFonts w:ascii="Arial" w:hAnsi="Arial"/>
                <w:b/>
                <w:sz w:val="17"/>
              </w:rPr>
              <w:t>2. Tablas de Retención Documental (TRD)</w:t>
            </w:r>
          </w:p>
        </w:tc>
        <w:tc>
          <w:tcPr>
            <w:tcW w:type="dxa" w:w="3135"/>
            <w:vAlign w:val="center"/>
          </w:tcPr>
          <w:p>
            <w:pPr>
              <w:spacing w:after="0"/>
              <w:jc w:val="center"/>
            </w:pPr>
            <w:r/>
            <w:r>
              <w:rPr>
                <w:rFonts w:ascii="Arial" w:hAnsi="Arial"/>
                <w:b w:val="0"/>
                <w:sz w:val="17"/>
              </w:rPr>
              <w:t>En trámite</w:t>
            </w:r>
          </w:p>
        </w:tc>
        <w:tc>
          <w:tcPr>
            <w:tcW w:type="dxa" w:w="3135"/>
            <w:vAlign w:val="center"/>
          </w:tcPr>
          <w:p>
            <w:pPr>
              <w:spacing w:after="0"/>
              <w:jc w:val="left"/>
            </w:pPr>
            <w:r/>
            <w:r>
              <w:rPr>
                <w:rFonts w:ascii="Arial" w:hAnsi="Arial"/>
                <w:b w:val="0"/>
                <w:sz w:val="16"/>
              </w:rPr>
              <w:t>Depende directamente de la aprobación por parte del Consejo Departamental de Archivo de la Gobernación de Caldas, trámite que se adelanta con la asesoría técnica de GDI, custodio del archivo histórico de la entidad.</w:t>
            </w:r>
          </w:p>
        </w:tc>
      </w:tr>
      <w:tr>
        <w:tc>
          <w:tcPr>
            <w:tcW w:type="dxa" w:w="3135"/>
            <w:vAlign w:val="center"/>
          </w:tcPr>
          <w:p>
            <w:pPr>
              <w:spacing w:after="0"/>
              <w:jc w:val="left"/>
            </w:pPr>
            <w:r/>
            <w:r>
              <w:rPr>
                <w:rFonts w:ascii="Arial" w:hAnsi="Arial"/>
                <w:b/>
                <w:sz w:val="17"/>
              </w:rPr>
              <w:t>3. Archivo Institucional</w:t>
            </w:r>
          </w:p>
        </w:tc>
        <w:tc>
          <w:tcPr>
            <w:tcW w:type="dxa" w:w="3135"/>
            <w:vAlign w:val="center"/>
          </w:tcPr>
          <w:p>
            <w:pPr>
              <w:spacing w:after="0"/>
              <w:jc w:val="center"/>
            </w:pPr>
            <w:r/>
            <w:r>
              <w:rPr>
                <w:rFonts w:ascii="Arial" w:hAnsi="Arial"/>
                <w:b w:val="0"/>
                <w:sz w:val="17"/>
              </w:rPr>
              <w:t>Existente, en proceso de fortalecimiento</w:t>
            </w:r>
          </w:p>
        </w:tc>
        <w:tc>
          <w:tcPr>
            <w:tcW w:type="dxa" w:w="3135"/>
            <w:vAlign w:val="center"/>
          </w:tcPr>
          <w:p>
            <w:pPr>
              <w:spacing w:after="0"/>
              <w:jc w:val="left"/>
            </w:pPr>
            <w:r/>
            <w:r>
              <w:rPr>
                <w:rFonts w:ascii="Arial" w:hAnsi="Arial"/>
                <w:b w:val="0"/>
                <w:sz w:val="16"/>
              </w:rPr>
              <w:t>No depende de la aprobación de las TRD. La entidad cuenta con archivo central organizado por áreas, en proceso de fortalecimiento conforme al Plan Institucional de Archivos (PINAR) 2026.</w:t>
            </w:r>
          </w:p>
        </w:tc>
      </w:tr>
      <w:tr>
        <w:tc>
          <w:tcPr>
            <w:tcW w:type="dxa" w:w="3135"/>
            <w:vAlign w:val="center"/>
          </w:tcPr>
          <w:p>
            <w:pPr>
              <w:spacing w:after="0"/>
              <w:jc w:val="left"/>
            </w:pPr>
            <w:r/>
            <w:r>
              <w:rPr>
                <w:rFonts w:ascii="Arial" w:hAnsi="Arial"/>
                <w:b/>
                <w:sz w:val="17"/>
              </w:rPr>
              <w:t>4. Políticas para la gestión de documentos electrónicos (preservación y custodia digital)</w:t>
            </w:r>
          </w:p>
        </w:tc>
        <w:tc>
          <w:tcPr>
            <w:tcW w:type="dxa" w:w="3135"/>
            <w:vAlign w:val="center"/>
          </w:tcPr>
          <w:p>
            <w:pPr>
              <w:spacing w:after="0"/>
              <w:jc w:val="center"/>
            </w:pPr>
            <w:r/>
            <w:r>
              <w:rPr>
                <w:rFonts w:ascii="Arial" w:hAnsi="Arial"/>
                <w:b w:val="0"/>
                <w:sz w:val="17"/>
              </w:rPr>
              <w:t>Pendiente de elaboración</w:t>
            </w:r>
          </w:p>
        </w:tc>
        <w:tc>
          <w:tcPr>
            <w:tcW w:type="dxa" w:w="3135"/>
            <w:vAlign w:val="center"/>
          </w:tcPr>
          <w:p>
            <w:pPr>
              <w:spacing w:after="0"/>
              <w:jc w:val="left"/>
            </w:pPr>
            <w:r/>
            <w:r>
              <w:rPr>
                <w:rFonts w:ascii="Arial" w:hAnsi="Arial"/>
                <w:b w:val="0"/>
                <w:sz w:val="16"/>
              </w:rPr>
              <w:t>Depende parcialmente de la aprobación de las TRD, dado que la definición de criterios de preservación y custodia digital requiere conocer previamente las series y subseries documentales que estas establecerán.</w:t>
            </w:r>
          </w:p>
        </w:tc>
      </w:tr>
      <w:tr>
        <w:tc>
          <w:tcPr>
            <w:tcW w:type="dxa" w:w="3135"/>
            <w:vAlign w:val="center"/>
          </w:tcPr>
          <w:p>
            <w:pPr>
              <w:spacing w:after="0"/>
              <w:jc w:val="left"/>
            </w:pPr>
            <w:r/>
            <w:r>
              <w:rPr>
                <w:rFonts w:ascii="Arial" w:hAnsi="Arial"/>
                <w:b/>
                <w:sz w:val="17"/>
              </w:rPr>
              <w:t>5. Integración al Sistema Nacional de Archivos</w:t>
            </w:r>
          </w:p>
        </w:tc>
        <w:tc>
          <w:tcPr>
            <w:tcW w:type="dxa" w:w="3135"/>
            <w:vAlign w:val="center"/>
          </w:tcPr>
          <w:p>
            <w:pPr>
              <w:spacing w:after="0"/>
              <w:jc w:val="center"/>
            </w:pPr>
            <w:r/>
            <w:r>
              <w:rPr>
                <w:rFonts w:ascii="Arial" w:hAnsi="Arial"/>
                <w:b w:val="0"/>
                <w:sz w:val="17"/>
              </w:rPr>
              <w:t>Pendiente de gestión</w:t>
            </w:r>
          </w:p>
        </w:tc>
        <w:tc>
          <w:tcPr>
            <w:tcW w:type="dxa" w:w="3135"/>
            <w:vAlign w:val="center"/>
          </w:tcPr>
          <w:p>
            <w:pPr>
              <w:spacing w:after="0"/>
              <w:jc w:val="left"/>
            </w:pPr>
            <w:r/>
            <w:r>
              <w:rPr>
                <w:rFonts w:ascii="Arial" w:hAnsi="Arial"/>
                <w:b w:val="0"/>
                <w:sz w:val="16"/>
              </w:rPr>
              <w:t>No depende de la aprobación de las TRD. Corresponde a un trámite administrativo de registro ante el Archivo General de la Nación, pendiente de gestión independiente por parte de la entidad.</w:t>
            </w:r>
          </w:p>
        </w:tc>
      </w:tr>
    </w:tbl>
    <w:p/>
    <w:p>
      <w:pPr>
        <w:pStyle w:val="Heading1"/>
      </w:pPr>
      <w:r>
        <w:t>2. TABLAS DE RETENCIÓN DOCUMENTAL</w:t>
      </w:r>
    </w:p>
    <w:p>
      <w:pPr>
        <w:jc w:val="both"/>
      </w:pPr>
      <w:r>
        <w:rPr>
          <w:b w:val="0"/>
        </w:rPr>
        <w:t>Las Tablas de Retención Documental de Promueve Más S.A.S. se encuentran en trámite de aprobación ante el Consejo Departamental de Archivo de la Gobernación de Caldas, gestión que se adelanta con la asesoría técnica de GDI, empresa que tiene en custodia el archivo histórico de la entidad y atiende sus consultas en esta materia. En consecuencia, no ha sido posible su publicación ni la adopción del listado de series y subseries documentales, ni su formalización mediante acto administrativo, conforme al Acuerdo 004 de 2013 del Archivo General de la Nación.</w:t>
      </w:r>
    </w:p>
    <w:p>
      <w:pPr>
        <w:pStyle w:val="Heading1"/>
      </w:pPr>
      <w:r>
        <w:t>3. ELEMENTOS QUE NO DEPENDEN DE LAS TABLAS DE RETENCIÓN DOCUMENTAL</w:t>
      </w:r>
    </w:p>
    <w:p>
      <w:pPr>
        <w:jc w:val="both"/>
      </w:pPr>
      <w:r>
        <w:rPr>
          <w:b w:val="0"/>
        </w:rPr>
        <w:t>Se deja constancia expresa de que la Política de Gestión Documental y la integración al Sistema Nacional de Archivos no dependen de la aprobación de las Tablas de Retención Documental, y corresponden a gestiones administrativas pendientes, susceptibles de adelantarse de manera independiente durante el segundo semestre de 2026.</w:t>
      </w:r>
    </w:p>
    <w:p>
      <w:pPr>
        <w:pStyle w:val="Heading1"/>
      </w:pPr>
      <w:r>
        <w:t>4. CONCLUSIÓN</w:t>
      </w:r>
    </w:p>
    <w:p>
      <w:pPr>
        <w:jc w:val="both"/>
      </w:pPr>
      <w:r>
        <w:rPr>
          <w:b w:val="0"/>
        </w:rPr>
        <w:t>De los cinco (5) elementos mínimos del Programa de Gestión Documental, uno (1) —el Archivo Institucional— se encuentra existente y en proceso de fortalecimiento; uno (1) —las Tablas de Retención Documental— se encuentra en trámite ante una instancia externa; uno (1) —las políticas de documentos electrónicos— depende parcialmente de dicho trámite; y dos (2) —la Política de Gestión Documental y la integración al Sistema Nacional de Archivos— corresponden a gestión administrativa pendiente, independiente de las Tablas de Retención Documental.</w:t>
      </w:r>
    </w:p>
    <w:p/>
    <w:p>
      <w:pPr>
        <w:jc w:val="center"/>
      </w:pPr>
      <w:r>
        <w:t>Se firma en Manizales, Caldas, en julio de 2026.</w:t>
      </w:r>
    </w:p>
    <w:p/>
    <w:p/>
    <w:p/>
    <w:p>
      <w:pPr>
        <w:jc w:val="center"/>
      </w:pPr>
      <w:r>
        <w:t>________________________________________</w:t>
      </w:r>
    </w:p>
    <w:p>
      <w:pPr>
        <w:jc w:val="center"/>
      </w:pPr>
      <w:r>
        <w:rPr>
          <w:b/>
        </w:rPr>
        <w:t>HAMILTON QUINTERO GARCÍA</w:t>
      </w:r>
    </w:p>
    <w:p>
      <w:pPr>
        <w:jc w:val="center"/>
      </w:pPr>
      <w:r>
        <w:t>Técnico Administrativo y Financiero</w:t>
      </w:r>
    </w:p>
    <w:p>
      <w:pPr>
        <w:jc w:val="center"/>
      </w:pPr>
      <w:r>
        <w:t>Promueve Más S.A.S.</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PROMUEVE MÁS S.A.S. – Calle 18 # 7C-47 – Tel: 3104191960 – operaciones@promuevemas.com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